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黑体"/>
          <w:b/>
          <w:bCs/>
          <w:color w:val="FF0000"/>
          <w:kern w:val="44"/>
          <w:sz w:val="44"/>
          <w:szCs w:val="44"/>
        </w:rPr>
      </w:pPr>
    </w:p>
    <w:p>
      <w:pPr>
        <w:jc w:val="center"/>
        <w:rPr>
          <w:rFonts w:hint="eastAsia" w:ascii="宋体" w:hAnsi="宋体" w:eastAsia="黑体"/>
          <w:b/>
          <w:bCs/>
          <w:color w:val="FF0000"/>
          <w:kern w:val="44"/>
          <w:sz w:val="44"/>
          <w:szCs w:val="44"/>
        </w:rPr>
      </w:pPr>
    </w:p>
    <w:p>
      <w:pPr>
        <w:jc w:val="center"/>
        <w:rPr>
          <w:rFonts w:hint="eastAsia" w:ascii="宋体" w:hAnsi="宋体" w:eastAsia="黑体"/>
          <w:b/>
          <w:bCs/>
          <w:color w:val="FF0000"/>
          <w:kern w:val="44"/>
          <w:sz w:val="44"/>
          <w:szCs w:val="44"/>
        </w:rPr>
      </w:pPr>
      <w:bookmarkStart w:id="0" w:name="OLE_LINK17"/>
    </w:p>
    <w:p>
      <w:pPr>
        <w:jc w:val="center"/>
        <w:rPr>
          <w:rFonts w:hint="eastAsia"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pPr>
        <w:spacing w:after="240" w:afterLines="100" w:line="400" w:lineRule="exact"/>
        <w:ind w:firstLine="422" w:firstLineChars="200"/>
        <w:rPr>
          <w:rFonts w:hint="eastAsia" w:ascii="宋体" w:hAnsi="宋体" w:cs="宋体"/>
          <w:b/>
          <w:bCs/>
          <w:color w:val="FF0000"/>
          <w:szCs w:val="21"/>
        </w:rPr>
      </w:pPr>
      <w:r>
        <w:rPr>
          <w:rFonts w:hint="eastAsia" w:ascii="宋体" w:hAnsi="宋体" w:cs="宋体"/>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序号</w:t>
            </w:r>
          </w:p>
        </w:tc>
        <w:tc>
          <w:tcPr>
            <w:tcW w:w="7711" w:type="dxa"/>
            <w:vAlign w:val="center"/>
          </w:tcPr>
          <w:p>
            <w:pPr>
              <w:spacing w:line="400" w:lineRule="exact"/>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1</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2</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3</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4</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5</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6</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
          <w:color w:val="FF0000"/>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widowControl/>
        <w:jc w:val="left"/>
        <w:rPr>
          <w:rFonts w:hint="eastAsia" w:ascii="黑体" w:hAnsi="黑体" w:eastAsia="黑体"/>
          <w:sz w:val="40"/>
          <w:szCs w:val="40"/>
        </w:rPr>
      </w:pPr>
      <w:r>
        <w:rPr>
          <w:rFonts w:ascii="黑体" w:hAnsi="黑体" w:eastAsia="黑体"/>
          <w:sz w:val="40"/>
          <w:szCs w:val="40"/>
        </w:rPr>
        <w:br w:type="page"/>
      </w:r>
    </w:p>
    <w:bookmarkEnd w:id="0"/>
    <w:p>
      <w:pPr>
        <w:pStyle w:val="29"/>
        <w:jc w:val="center"/>
        <w:outlineLvl w:val="1"/>
        <w:rPr>
          <w:rFonts w:hint="eastAsia" w:ascii="黑体" w:hAnsi="黑体" w:eastAsia="黑体"/>
          <w:sz w:val="40"/>
          <w:szCs w:val="40"/>
        </w:rPr>
      </w:pPr>
      <w:r>
        <w:rPr>
          <w:rFonts w:hint="eastAsia" w:ascii="黑体" w:hAnsi="黑体" w:eastAsia="黑体"/>
          <w:sz w:val="40"/>
          <w:szCs w:val="40"/>
        </w:rPr>
        <w:t>招标文件信息</w:t>
      </w:r>
    </w:p>
    <w:tbl>
      <w:tblPr>
        <w:tblStyle w:val="33"/>
        <w:tblW w:w="7938" w:type="dxa"/>
        <w:jc w:val="center"/>
        <w:tblCellSpacing w:w="0" w:type="dxa"/>
        <w:tblInd w:w="0" w:type="dxa"/>
        <w:tblLayout w:type="fixed"/>
        <w:tblCellMar>
          <w:top w:w="45" w:type="dxa"/>
          <w:left w:w="45" w:type="dxa"/>
          <w:bottom w:w="45" w:type="dxa"/>
          <w:right w:w="45" w:type="dxa"/>
        </w:tblCellMar>
      </w:tblPr>
      <w:tblGrid>
        <w:gridCol w:w="2722"/>
        <w:gridCol w:w="5216"/>
      </w:tblGrid>
      <w:tr>
        <w:tblPrEx>
          <w:tblLayout w:type="fixed"/>
          <w:tblCellMar>
            <w:top w:w="45" w:type="dxa"/>
            <w:left w:w="45" w:type="dxa"/>
            <w:bottom w:w="45" w:type="dxa"/>
            <w:right w:w="45" w:type="dxa"/>
          </w:tblCellMar>
        </w:tblPrEx>
        <w:trPr>
          <w:trHeight w:val="856"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项目编号：</w:t>
            </w:r>
          </w:p>
        </w:tc>
        <w:tc>
          <w:tcPr>
            <w:tcW w:w="5216" w:type="dxa"/>
            <w:vAlign w:val="center"/>
          </w:tcPr>
          <w:p>
            <w:pPr>
              <w:rPr>
                <w:rFonts w:hint="eastAsia" w:ascii="宋体" w:hAnsi="宋体" w:cs="宋体"/>
                <w:sz w:val="30"/>
                <w:szCs w:val="30"/>
              </w:rPr>
            </w:pPr>
            <w:r>
              <w:rPr>
                <w:rFonts w:ascii="宋体" w:hAnsi="宋体" w:cs="宋体"/>
                <w:sz w:val="30"/>
                <w:szCs w:val="30"/>
              </w:rPr>
              <w:t>LHZC2026030132</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项目名称：</w:t>
            </w:r>
          </w:p>
        </w:tc>
        <w:tc>
          <w:tcPr>
            <w:tcW w:w="5216" w:type="dxa"/>
            <w:vAlign w:val="center"/>
          </w:tcPr>
          <w:p>
            <w:pPr>
              <w:rPr>
                <w:rFonts w:hint="eastAsia" w:ascii="宋体" w:hAnsi="宋体" w:cs="宋体"/>
                <w:sz w:val="30"/>
                <w:szCs w:val="30"/>
              </w:rPr>
            </w:pPr>
            <w:r>
              <w:rPr>
                <w:rFonts w:hint="eastAsia" w:ascii="宋体" w:hAnsi="宋体" w:cs="宋体"/>
                <w:sz w:val="30"/>
                <w:szCs w:val="30"/>
              </w:rPr>
              <w:t>2026年清水河街道食堂后勤服务项目</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项目类型：</w:t>
            </w:r>
          </w:p>
        </w:tc>
        <w:tc>
          <w:tcPr>
            <w:tcW w:w="5216" w:type="dxa"/>
            <w:vAlign w:val="center"/>
          </w:tcPr>
          <w:p>
            <w:pPr>
              <w:rPr>
                <w:rFonts w:hint="eastAsia" w:ascii="宋体" w:hAnsi="宋体" w:cs="宋体"/>
                <w:sz w:val="30"/>
                <w:szCs w:val="30"/>
              </w:rPr>
            </w:pPr>
            <w:r>
              <w:rPr>
                <w:sz w:val="30"/>
                <w:szCs w:val="30"/>
              </w:rPr>
              <w:t>服务类</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pPr>
              <w:rPr>
                <w:rFonts w:hint="eastAsia" w:ascii="宋体" w:hAnsi="宋体" w:cs="宋体"/>
                <w:sz w:val="30"/>
                <w:szCs w:val="30"/>
              </w:rPr>
            </w:pPr>
            <w:r>
              <w:rPr>
                <w:rFonts w:hint="eastAsia" w:ascii="宋体" w:hAnsi="宋体" w:cs="宋体"/>
                <w:sz w:val="30"/>
                <w:szCs w:val="30"/>
              </w:rPr>
              <w:t>自行采购</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sz w:val="30"/>
                <w:szCs w:val="30"/>
              </w:rPr>
            </w:pPr>
            <w:bookmarkStart w:id="1" w:name="OLE_LINK32"/>
            <w:r>
              <w:rPr>
                <w:rFonts w:hint="eastAsia"/>
                <w:sz w:val="30"/>
                <w:szCs w:val="30"/>
              </w:rPr>
              <w:t>采购方式：</w:t>
            </w:r>
            <w:bookmarkEnd w:id="1"/>
          </w:p>
        </w:tc>
        <w:tc>
          <w:tcPr>
            <w:tcW w:w="5216" w:type="dxa"/>
            <w:vAlign w:val="center"/>
          </w:tcPr>
          <w:p>
            <w:pPr>
              <w:rPr>
                <w:rFonts w:hint="eastAsia" w:ascii="宋体" w:hAnsi="宋体" w:cs="宋体"/>
                <w:sz w:val="30"/>
                <w:szCs w:val="30"/>
              </w:rPr>
            </w:pPr>
            <w:r>
              <w:rPr>
                <w:rFonts w:hint="eastAsia" w:ascii="宋体" w:hAnsi="宋体" w:cs="宋体"/>
                <w:sz w:val="30"/>
                <w:szCs w:val="30"/>
              </w:rPr>
              <w:t>公开征集</w:t>
            </w:r>
          </w:p>
        </w:tc>
      </w:tr>
      <w:tr>
        <w:tblPrEx>
          <w:tblLayout w:type="fixed"/>
          <w:tblCellMar>
            <w:top w:w="45" w:type="dxa"/>
            <w:left w:w="45" w:type="dxa"/>
            <w:bottom w:w="45" w:type="dxa"/>
            <w:right w:w="45" w:type="dxa"/>
          </w:tblCellMar>
        </w:tblPrEx>
        <w:trPr>
          <w:trHeight w:val="971" w:hRule="atLeast"/>
          <w:tblCellSpacing w:w="0" w:type="dxa"/>
          <w:jc w:val="center"/>
        </w:trPr>
        <w:tc>
          <w:tcPr>
            <w:tcW w:w="2722" w:type="dxa"/>
            <w:vAlign w:val="center"/>
          </w:tcPr>
          <w:p>
            <w:pPr>
              <w:jc w:val="right"/>
              <w:rPr>
                <w:rFonts w:hint="eastAsia" w:ascii="宋体" w:hAnsi="宋体" w:cs="宋体"/>
                <w:sz w:val="30"/>
                <w:szCs w:val="30"/>
              </w:rPr>
            </w:pPr>
            <w:r>
              <w:rPr>
                <w:sz w:val="30"/>
                <w:szCs w:val="30"/>
              </w:rPr>
              <w:t>货币类型：</w:t>
            </w:r>
          </w:p>
        </w:tc>
        <w:tc>
          <w:tcPr>
            <w:tcW w:w="5216" w:type="dxa"/>
            <w:vAlign w:val="center"/>
          </w:tcPr>
          <w:p>
            <w:pPr>
              <w:rPr>
                <w:rFonts w:hint="eastAsia" w:ascii="宋体" w:hAnsi="宋体" w:cs="宋体"/>
                <w:sz w:val="30"/>
                <w:szCs w:val="30"/>
              </w:rPr>
            </w:pPr>
            <w:r>
              <w:rPr>
                <w:sz w:val="30"/>
                <w:szCs w:val="30"/>
              </w:rPr>
              <w:t>人民币</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评标方法：</w:t>
            </w:r>
          </w:p>
        </w:tc>
        <w:tc>
          <w:tcPr>
            <w:tcW w:w="5216" w:type="dxa"/>
            <w:vAlign w:val="center"/>
          </w:tcPr>
          <w:p>
            <w:pPr>
              <w:rPr>
                <w:rFonts w:hint="eastAsia" w:ascii="宋体" w:hAnsi="宋体" w:cs="宋体"/>
                <w:sz w:val="30"/>
                <w:szCs w:val="30"/>
              </w:rPr>
            </w:pPr>
            <w:r>
              <w:rPr>
                <w:sz w:val="30"/>
                <w:szCs w:val="30"/>
              </w:rPr>
              <w:t>综合评分法</w:t>
            </w:r>
          </w:p>
        </w:tc>
      </w:tr>
    </w:tbl>
    <w:p>
      <w:pPr>
        <w:pStyle w:val="29"/>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33"/>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r>
              <w:rPr>
                <w:rFonts w:hint="eastAsia"/>
              </w:rPr>
              <w:t>投标供应商不具备招标文件所列的资格要求，或未提交相应的资格证明资料（详见第一册第一章招标公告的投标供应商资格要求）。</w:t>
            </w:r>
          </w:p>
        </w:tc>
      </w:tr>
    </w:tbl>
    <w:p>
      <w:pPr>
        <w:pStyle w:val="29"/>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33"/>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投标文件不得用不属于本公司的电子密钥或电子营业执照进行加密的；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bookmarkStart w:id="2" w:name="OLE_LINK30"/>
            <w:r>
              <w:rPr>
                <w:rFonts w:hint="eastAsia"/>
              </w:rPr>
              <w:t>不得与其他</w:t>
            </w:r>
            <w:bookmarkEnd w:id="2"/>
            <w:r>
              <w:rPr>
                <w:rFonts w:hint="eastAsia"/>
              </w:rPr>
              <w:t>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不得与其他投标供应商投标文件“文件创建标识码”一致；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法律、法规、规章、规范性文件规定的其他情形。</w:t>
            </w:r>
          </w:p>
        </w:tc>
      </w:tr>
    </w:tbl>
    <w:p>
      <w:pPr>
        <w:pStyle w:val="29"/>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33"/>
        <w:tblW w:w="9176" w:type="dxa"/>
        <w:jc w:val="center"/>
        <w:tblCellSpacing w:w="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0"/>
        <w:gridCol w:w="2543"/>
        <w:gridCol w:w="724"/>
        <w:gridCol w:w="4308"/>
        <w:gridCol w:w="139"/>
        <w:gridCol w:w="1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Ex>
        <w:trPr>
          <w:gridBefore w:val="1"/>
          <w:gridAfter w:val="2"/>
          <w:wBefore w:w="63" w:type="dxa"/>
          <w:wAfter w:w="240" w:type="dxa"/>
          <w:tblCellSpacing w:w="0" w:type="dxa"/>
          <w:jc w:val="center"/>
        </w:trPr>
        <w:tc>
          <w:tcPr>
            <w:tcW w:w="8873" w:type="dxa"/>
            <w:gridSpan w:val="5"/>
            <w:vAlign w:val="center"/>
          </w:tcPr>
          <w:p>
            <w:pPr>
              <w:widowControl/>
              <w:jc w:val="left"/>
              <w:rPr>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Ex>
        <w:trPr>
          <w:gridBefore w:val="1"/>
          <w:wBefore w:w="63" w:type="dxa"/>
          <w:tblCellSpacing w:w="0" w:type="dxa"/>
          <w:jc w:val="center"/>
        </w:trPr>
        <w:tc>
          <w:tcPr>
            <w:tcW w:w="9113" w:type="dxa"/>
            <w:gridSpan w:val="7"/>
            <w:vAlign w:val="center"/>
          </w:tcPr>
          <w:p>
            <w:pPr>
              <w:ind w:firstLine="420"/>
              <w:rPr>
                <w:szCs w:val="21"/>
              </w:rPr>
            </w:pP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D4F4F1"/>
            <w:vAlign w:val="center"/>
          </w:tcPr>
          <w:p>
            <w:pPr>
              <w:wordWrap w:val="0"/>
              <w:jc w:val="center"/>
              <w:rPr>
                <w:rFonts w:hint="eastAsia"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4F4F1"/>
            <w:vAlign w:val="center"/>
          </w:tcPr>
          <w:p>
            <w:pPr>
              <w:wordWrap w:val="0"/>
              <w:jc w:val="center"/>
              <w:rPr>
                <w:rFonts w:hint="eastAsia" w:ascii="宋体" w:hAnsi="宋体" w:cs="宋体"/>
                <w:b/>
                <w:bCs/>
                <w:sz w:val="24"/>
              </w:rPr>
            </w:pPr>
            <w:r>
              <w:rPr>
                <w:rFonts w:hint="eastAsia"/>
                <w:b/>
                <w:bCs/>
              </w:rPr>
              <w:t>评分项</w:t>
            </w:r>
          </w:p>
        </w:tc>
        <w:tc>
          <w:tcPr>
            <w:tcW w:w="4447" w:type="dxa"/>
            <w:gridSpan w:val="2"/>
            <w:tcBorders>
              <w:top w:val="single" w:color="000000" w:sz="8" w:space="0"/>
              <w:left w:val="single" w:color="000000" w:sz="8" w:space="0"/>
              <w:bottom w:val="single" w:color="000000" w:sz="8" w:space="0"/>
              <w:right w:val="single" w:color="000000" w:sz="8" w:space="0"/>
            </w:tcBorders>
            <w:shd w:val="clear" w:color="auto" w:fill="D4F4F1"/>
            <w:vAlign w:val="center"/>
          </w:tcPr>
          <w:p>
            <w:pPr>
              <w:wordWrap w:val="0"/>
              <w:jc w:val="center"/>
              <w:rPr>
                <w:rFonts w:hint="eastAsia" w:ascii="宋体" w:hAnsi="宋体" w:cs="宋体"/>
                <w:b/>
                <w:bCs/>
                <w:sz w:val="24"/>
              </w:rPr>
            </w:pPr>
            <w:r>
              <w:rPr>
                <w:rFonts w:hint="eastAsia"/>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 w:val="24"/>
              </w:rPr>
            </w:pPr>
            <w:r>
              <w:rPr>
                <w:rFonts w:hint="eastAsia"/>
                <w:b/>
                <w:bCs/>
                <w:color w:val="0000FF"/>
              </w:rPr>
              <w:t>价格</w:t>
            </w:r>
          </w:p>
        </w:tc>
        <w:tc>
          <w:tcPr>
            <w:tcW w:w="4447"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 w:val="24"/>
              </w:rPr>
            </w:pPr>
            <w:r>
              <w:rPr>
                <w:rFonts w:hint="eastAsia"/>
                <w:b/>
                <w:bCs/>
                <w:color w:val="0000FF"/>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b/>
                <w:bCs/>
                <w:color w:val="0000FF"/>
              </w:rPr>
            </w:pPr>
            <w:r>
              <w:rPr>
                <w:rFonts w:hint="eastAsia"/>
                <w:b/>
                <w:bCs/>
                <w:color w:val="0000FF"/>
              </w:rPr>
              <w:t>技术服务部分</w:t>
            </w:r>
          </w:p>
        </w:tc>
        <w:tc>
          <w:tcPr>
            <w:tcW w:w="4447" w:type="dxa"/>
            <w:gridSpan w:val="2"/>
            <w:tcBorders>
              <w:top w:val="single" w:color="000000" w:sz="8" w:space="0"/>
              <w:left w:val="single" w:color="000000" w:sz="8" w:space="0"/>
              <w:bottom w:val="single" w:color="000000" w:sz="8" w:space="0"/>
              <w:right w:val="single" w:color="000000" w:sz="8" w:space="0"/>
            </w:tcBorders>
          </w:tcPr>
          <w:p>
            <w:pPr>
              <w:widowControl/>
              <w:jc w:val="center"/>
              <w:rPr>
                <w:b/>
                <w:bCs/>
                <w:color w:val="0000FF"/>
              </w:rPr>
            </w:pPr>
            <w:r>
              <w:rPr>
                <w:rFonts w:hint="eastAsia"/>
                <w:b/>
                <w:bCs/>
                <w:color w:val="0000FF"/>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权重</w:t>
            </w:r>
          </w:p>
        </w:tc>
        <w:tc>
          <w:tcPr>
            <w:tcW w:w="4447" w:type="dxa"/>
            <w:gridSpan w:val="2"/>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szCs w:val="21"/>
              </w:rPr>
              <w:t>实施方案</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cs="宋体"/>
                <w:szCs w:val="21"/>
              </w:rPr>
            </w:pPr>
            <w:r>
              <w:rPr>
                <w:rFonts w:hint="eastAsia" w:ascii="宋体" w:hAnsi="宋体" w:cs="宋体"/>
                <w:szCs w:val="21"/>
              </w:rPr>
              <w:t>8</w:t>
            </w:r>
          </w:p>
        </w:tc>
        <w:tc>
          <w:tcPr>
            <w:tcW w:w="4447" w:type="dxa"/>
            <w:gridSpan w:val="2"/>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rPr>
              <w:t>根据招标需求提供实施方案，实施方案内容包括但不限制于：</w:t>
            </w:r>
          </w:p>
          <w:p>
            <w:r>
              <w:rPr>
                <w:rFonts w:hint="eastAsia"/>
              </w:rPr>
              <w:t>①食品卫生安全方案；</w:t>
            </w:r>
          </w:p>
          <w:p>
            <w:r>
              <w:rPr>
                <w:rFonts w:hint="eastAsia"/>
              </w:rPr>
              <w:t>②饭菜质量方案；</w:t>
            </w:r>
          </w:p>
          <w:p>
            <w:r>
              <w:rPr>
                <w:rFonts w:hint="eastAsia"/>
              </w:rPr>
              <w:t>③环境卫生方案；</w:t>
            </w:r>
          </w:p>
          <w:p>
            <w:r>
              <w:rPr>
                <w:rFonts w:hint="eastAsia"/>
              </w:rPr>
              <w:t>④</w:t>
            </w:r>
            <w:r>
              <w:rPr>
                <w:rFonts w:hint="eastAsia"/>
                <w:bCs/>
                <w:szCs w:val="21"/>
              </w:rPr>
              <w:t>人员管理</w:t>
            </w:r>
            <w:r>
              <w:rPr>
                <w:rFonts w:hint="eastAsia"/>
              </w:rPr>
              <w:t>方案。</w:t>
            </w:r>
          </w:p>
          <w:p>
            <w:pPr>
              <w:rPr>
                <w:b/>
              </w:rPr>
            </w:pPr>
            <w:r>
              <w:rPr>
                <w:rFonts w:hint="eastAsia"/>
                <w:b/>
              </w:rPr>
              <w:t>（二）评分依据：</w:t>
            </w:r>
          </w:p>
          <w:p>
            <w:r>
              <w:rPr>
                <w:rFonts w:hint="eastAsia"/>
              </w:rPr>
              <w:t>满足上述4点得80分；满足上述任意3点得60分；满足上述任意2点得40分；满足上述任意1点得20分；未满足不得分。</w:t>
            </w:r>
          </w:p>
          <w:p>
            <w:r>
              <w:rPr>
                <w:rFonts w:hint="eastAsia"/>
              </w:rPr>
              <w:t>在此基础上，专家根据各投标人的具体响应内容按照量化的评审因素指标进一步评审：</w:t>
            </w:r>
          </w:p>
          <w:p>
            <w:r>
              <w:rPr>
                <w:rFonts w:hint="eastAsia"/>
              </w:rPr>
              <w:t>评审为优（方案完善，内容和安排考虑周到）的加20分；</w:t>
            </w:r>
          </w:p>
          <w:p>
            <w:r>
              <w:rPr>
                <w:rFonts w:hint="eastAsia"/>
              </w:rPr>
              <w:t>评价为良（方案较完善，内容和安排考虑较周到）的加15分；</w:t>
            </w:r>
          </w:p>
          <w:p>
            <w:r>
              <w:rPr>
                <w:rFonts w:hint="eastAsia"/>
              </w:rPr>
              <w:t>评价为中（方案一般，内容和安排考虑基本周到）的加10分；</w:t>
            </w:r>
          </w:p>
          <w:p>
            <w:pPr>
              <w:jc w:val="left"/>
              <w:rPr>
                <w:rFonts w:hint="eastAsia" w:ascii="宋体" w:hAnsi="宋体" w:cs="宋体"/>
                <w:szCs w:val="21"/>
              </w:rPr>
            </w:pPr>
            <w:r>
              <w:rPr>
                <w:rFonts w:hint="eastAsia"/>
              </w:rPr>
              <w:t>评价为差（方案不完善，内容和安排考虑欠周到）的不加分。如果评审为差，需要专家书面说明理由，并记录在档。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pPr>
              <w:widowControl/>
              <w:jc w:val="left"/>
              <w:rPr>
                <w:rFonts w:ascii="Calibri" w:hAnsi="Calibri" w:cs="宋体"/>
                <w:szCs w:val="22"/>
              </w:rPr>
            </w:pPr>
            <w:r>
              <w:rPr>
                <w:rFonts w:hint="eastAsia" w:ascii="宋体" w:hAnsi="宋体" w:cs="宋体"/>
                <w:szCs w:val="21"/>
              </w:rPr>
              <w:t>项目重点难点分析、应对措施及相关的合理化建议</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ascii="Calibri" w:hAnsi="Calibri" w:cs="宋体"/>
                <w:szCs w:val="22"/>
              </w:rPr>
            </w:pPr>
            <w:r>
              <w:rPr>
                <w:rFonts w:hint="eastAsia" w:ascii="Calibri" w:hAnsi="Calibri" w:cs="宋体"/>
                <w:szCs w:val="22"/>
              </w:rPr>
              <w:t>6</w:t>
            </w:r>
          </w:p>
        </w:tc>
        <w:tc>
          <w:tcPr>
            <w:tcW w:w="4447" w:type="dxa"/>
            <w:gridSpan w:val="2"/>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rPr>
              <w:t>根据招标需求提供方案，方案内容包括但不限制于：</w:t>
            </w:r>
          </w:p>
          <w:p>
            <w:r>
              <w:rPr>
                <w:rFonts w:hint="eastAsia"/>
              </w:rPr>
              <w:t>①针对本项目的重点难点分析及应对措施；</w:t>
            </w:r>
          </w:p>
          <w:p>
            <w:r>
              <w:rPr>
                <w:rFonts w:hint="eastAsia"/>
              </w:rPr>
              <w:t>②对本项目的合理化建议。</w:t>
            </w:r>
          </w:p>
          <w:p>
            <w:pPr>
              <w:rPr>
                <w:b/>
              </w:rPr>
            </w:pPr>
            <w:r>
              <w:rPr>
                <w:rFonts w:hint="eastAsia"/>
                <w:b/>
              </w:rPr>
              <w:t>（二）评分依据：</w:t>
            </w:r>
          </w:p>
          <w:p>
            <w:r>
              <w:rPr>
                <w:rFonts w:hint="eastAsia"/>
              </w:rPr>
              <w:t>满足上述2点得80分；满足上述任意1点得40分；未满足不得分。</w:t>
            </w:r>
          </w:p>
          <w:p>
            <w:r>
              <w:rPr>
                <w:rFonts w:hint="eastAsia"/>
              </w:rPr>
              <w:t>在此基础上，专家根据各投标人的具体响应内容按照量化的评审因素指标进一步评审：</w:t>
            </w:r>
          </w:p>
          <w:p>
            <w:r>
              <w:rPr>
                <w:rFonts w:hint="eastAsia"/>
              </w:rPr>
              <w:t>评审为优（方案完善，内容和措施及建议考虑周到）的加20分；</w:t>
            </w:r>
          </w:p>
          <w:p>
            <w:r>
              <w:rPr>
                <w:rFonts w:hint="eastAsia"/>
              </w:rPr>
              <w:t>评价为良（方案较完善，内容和措施及建议考虑较周到）的加15分；</w:t>
            </w:r>
          </w:p>
          <w:p>
            <w:r>
              <w:rPr>
                <w:rFonts w:hint="eastAsia"/>
              </w:rPr>
              <w:t>评价为中（方案一般，内容和措施及建议考虑基本周到）的加 10分；</w:t>
            </w:r>
          </w:p>
          <w:p>
            <w:pPr>
              <w:spacing w:after="120"/>
            </w:pPr>
            <w:r>
              <w:rPr>
                <w:rFonts w:hint="eastAsia"/>
              </w:rPr>
              <w:t>评价为差（方案不完善，内容和措施及建议考虑欠周到）的不加分。如果评审为差，需要专家书面说明理由，并记录在档。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szCs w:val="21"/>
              </w:rPr>
              <w:t>应急预案</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ascii="Calibri" w:hAnsi="Calibri" w:cs="宋体"/>
                <w:szCs w:val="22"/>
              </w:rPr>
            </w:pPr>
            <w:r>
              <w:rPr>
                <w:rFonts w:hint="eastAsia" w:ascii="Calibri" w:hAnsi="Calibri" w:cs="宋体"/>
                <w:szCs w:val="22"/>
              </w:rPr>
              <w:t>6</w:t>
            </w:r>
          </w:p>
        </w:tc>
        <w:tc>
          <w:tcPr>
            <w:tcW w:w="4447" w:type="dxa"/>
            <w:gridSpan w:val="2"/>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rPr>
              <w:t>针对本项目提供以下方案：</w:t>
            </w:r>
          </w:p>
          <w:p>
            <w:pPr>
              <w:rPr>
                <w:rFonts w:hint="eastAsia" w:ascii="宋体" w:hAnsi="宋体" w:cs="宋体"/>
                <w:szCs w:val="21"/>
              </w:rPr>
            </w:pPr>
            <w:r>
              <w:rPr>
                <w:rFonts w:hint="eastAsia"/>
              </w:rPr>
              <w:t>①</w:t>
            </w:r>
            <w:r>
              <w:rPr>
                <w:rFonts w:hint="eastAsia" w:ascii="宋体" w:hAnsi="宋体" w:cs="宋体"/>
                <w:szCs w:val="21"/>
              </w:rPr>
              <w:t>食品留样管理预案；</w:t>
            </w:r>
          </w:p>
          <w:p>
            <w:pPr>
              <w:rPr>
                <w:rFonts w:hint="eastAsia" w:ascii="宋体" w:hAnsi="宋体" w:cs="宋体"/>
                <w:szCs w:val="21"/>
              </w:rPr>
            </w:pPr>
            <w:r>
              <w:rPr>
                <w:rFonts w:hint="eastAsia"/>
              </w:rPr>
              <w:t>②</w:t>
            </w:r>
            <w:r>
              <w:rPr>
                <w:rFonts w:hint="eastAsia" w:ascii="宋体" w:hAnsi="宋体" w:cs="宋体"/>
                <w:szCs w:val="21"/>
              </w:rPr>
              <w:t>食物中毒安全预案；</w:t>
            </w:r>
          </w:p>
          <w:p>
            <w:pPr>
              <w:rPr>
                <w:rFonts w:hint="eastAsia" w:ascii="宋体" w:hAnsi="宋体" w:cs="宋体"/>
                <w:szCs w:val="21"/>
              </w:rPr>
            </w:pPr>
            <w:r>
              <w:rPr>
                <w:rFonts w:hint="eastAsia"/>
              </w:rPr>
              <w:t>③</w:t>
            </w:r>
            <w:r>
              <w:rPr>
                <w:rFonts w:hint="eastAsia" w:ascii="宋体" w:hAnsi="宋体" w:cs="宋体"/>
                <w:szCs w:val="21"/>
              </w:rPr>
              <w:t>食堂停水、停电、停气应急预案；</w:t>
            </w:r>
          </w:p>
          <w:p>
            <w:r>
              <w:rPr>
                <w:rFonts w:hint="eastAsia"/>
              </w:rPr>
              <w:t>④</w:t>
            </w:r>
            <w:r>
              <w:rPr>
                <w:rFonts w:hint="eastAsia" w:ascii="宋体" w:hAnsi="宋体" w:cs="宋体"/>
                <w:szCs w:val="21"/>
              </w:rPr>
              <w:t>厨房设施设备故障应急预案。</w:t>
            </w:r>
          </w:p>
          <w:p>
            <w:pPr>
              <w:rPr>
                <w:b/>
              </w:rPr>
            </w:pPr>
            <w:r>
              <w:rPr>
                <w:rFonts w:hint="eastAsia"/>
                <w:b/>
              </w:rPr>
              <w:t>（二）评分依据：</w:t>
            </w:r>
          </w:p>
          <w:p>
            <w:r>
              <w:rPr>
                <w:rFonts w:hint="eastAsia"/>
              </w:rPr>
              <w:t>满足上述4点得80分；满足上述任意3点得60分；满足上述任意2点得40分；满足上述任意1点得20分；未满足不得分。</w:t>
            </w:r>
          </w:p>
          <w:p>
            <w:r>
              <w:rPr>
                <w:rFonts w:hint="eastAsia"/>
              </w:rPr>
              <w:t>在此基础上，专家根据各投标人的具体响应内容按照量化的评审因素指标进一步评审：</w:t>
            </w:r>
          </w:p>
          <w:p>
            <w:r>
              <w:rPr>
                <w:rFonts w:hint="eastAsia"/>
              </w:rPr>
              <w:t>评审为优（应急预案考虑周到）的加20分；</w:t>
            </w:r>
          </w:p>
          <w:p>
            <w:r>
              <w:rPr>
                <w:rFonts w:hint="eastAsia"/>
              </w:rPr>
              <w:t>评价为良（应急预案考虑较周到）的加15分；</w:t>
            </w:r>
          </w:p>
          <w:p>
            <w:r>
              <w:rPr>
                <w:rFonts w:hint="eastAsia"/>
              </w:rPr>
              <w:t>评价为中（应急预案考虑基本周到）的加10分；</w:t>
            </w:r>
          </w:p>
          <w:p>
            <w:pPr>
              <w:widowControl/>
              <w:jc w:val="left"/>
              <w:rPr>
                <w:rFonts w:hint="eastAsia" w:ascii="宋体" w:hAnsi="宋体"/>
                <w:szCs w:val="21"/>
              </w:rPr>
            </w:pPr>
            <w:r>
              <w:rPr>
                <w:rFonts w:hint="eastAsia"/>
              </w:rPr>
              <w:t>评价为差（应急预案考虑欠周到）的不加分，如果评审为差，需要专家书面说明理由，并记录在档。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olor w:val="FF0000"/>
              </w:rPr>
            </w:pPr>
            <w:r>
              <w:rPr>
                <w:rFonts w:hint="eastAsia" w:ascii="宋体" w:hAnsi="宋体" w:cs="宋体"/>
                <w:szCs w:val="21"/>
              </w:rPr>
              <w:t>拟安排的项目负责人（仅限1人）</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ascii="Calibri" w:hAnsi="Calibri" w:cs="宋体"/>
                <w:szCs w:val="22"/>
              </w:rPr>
            </w:pPr>
            <w:r>
              <w:rPr>
                <w:rFonts w:hint="eastAsia" w:ascii="Calibri" w:hAnsi="Calibri" w:cs="宋体"/>
                <w:szCs w:val="22"/>
              </w:rPr>
              <w:t>20</w:t>
            </w:r>
          </w:p>
        </w:tc>
        <w:tc>
          <w:tcPr>
            <w:tcW w:w="4447" w:type="dxa"/>
            <w:gridSpan w:val="2"/>
            <w:tcBorders>
              <w:top w:val="single" w:color="000000" w:sz="8" w:space="0"/>
              <w:left w:val="single" w:color="000000" w:sz="8" w:space="0"/>
              <w:bottom w:val="single" w:color="000000" w:sz="8" w:space="0"/>
              <w:right w:val="single" w:color="000000" w:sz="8" w:space="0"/>
            </w:tcBorders>
          </w:tcPr>
          <w:p>
            <w:r>
              <w:rPr>
                <w:rFonts w:hint="eastAsia"/>
              </w:rPr>
              <w:t>（一）评分内容：</w:t>
            </w:r>
            <w:r>
              <w:rPr>
                <w:rFonts w:hint="eastAsia" w:ascii="宋体" w:hAnsi="宋体"/>
                <w:szCs w:val="21"/>
              </w:rPr>
              <w:t>拟安排项目负责人为投标单位员工，否则本项不得分：</w:t>
            </w:r>
            <w:r>
              <w:rPr>
                <w:rFonts w:hint="eastAsia"/>
              </w:rPr>
              <w:br w:type="textWrapping"/>
            </w:r>
            <w:r>
              <w:rPr>
                <w:rFonts w:hint="eastAsia"/>
              </w:rPr>
              <w:t>（二）评分依据</w:t>
            </w:r>
          </w:p>
          <w:p>
            <w:r>
              <w:rPr>
                <w:rFonts w:hint="eastAsia"/>
              </w:rPr>
              <w:t>1.具有</w:t>
            </w:r>
            <w:r>
              <w:rPr>
                <w:rFonts w:hint="eastAsia" w:ascii="宋体" w:hAnsi="宋体"/>
                <w:szCs w:val="21"/>
              </w:rPr>
              <w:t>人社部门（或其他具备职称评定资格的单位或机构）颁发的</w:t>
            </w:r>
            <w:bookmarkStart w:id="196" w:name="_GoBack"/>
            <w:bookmarkEnd w:id="196"/>
            <w:r>
              <w:rPr>
                <w:rFonts w:hint="eastAsia"/>
              </w:rPr>
              <w:t>有关食品类（包括但不限于农产品、餐饮等）中级或以上职称的得35分；</w:t>
            </w:r>
          </w:p>
          <w:p>
            <w:r>
              <w:rPr>
                <w:rFonts w:hint="eastAsia"/>
              </w:rPr>
              <w:t>2.具有人力资源和社会保障部（或在人社部备案的有关评价机构）颁发的一级中式烹调类（高级技师）证书的，得15分；</w:t>
            </w:r>
          </w:p>
          <w:p>
            <w:r>
              <w:rPr>
                <w:rFonts w:hint="eastAsia"/>
              </w:rPr>
              <w:t>3.具有人力资源和社会保障部（或在人社部备案的有关评价机构）颁发的一级健康管理类（高级技师）证书的，得35分；</w:t>
            </w:r>
          </w:p>
          <w:p>
            <w:r>
              <w:rPr>
                <w:rFonts w:hint="eastAsia"/>
              </w:rPr>
              <w:t>4.具有人力资源和社会保障部（或在人社部备案的有关评价机构）颁发的三级或以上的食品检验类证书的，得15分；</w:t>
            </w:r>
          </w:p>
          <w:p>
            <w:r>
              <w:rPr>
                <w:rFonts w:hint="eastAsia"/>
              </w:rPr>
              <w:t>证明文件：</w:t>
            </w:r>
          </w:p>
          <w:p>
            <w:pPr>
              <w:jc w:val="left"/>
            </w:pPr>
            <w:r>
              <w:rPr>
                <w:rFonts w:hint="eastAsia"/>
              </w:rPr>
              <w:t>1.涉及人员社保的，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w:t>
            </w:r>
          </w:p>
          <w:p>
            <w:pPr>
              <w:jc w:val="left"/>
            </w:pPr>
          </w:p>
          <w:p>
            <w:pPr>
              <w:jc w:val="left"/>
            </w:pPr>
            <w:r>
              <w:rPr>
                <w:rFonts w:hint="eastAsia"/>
              </w:rPr>
              <w:t>2.第1项，提供职称证书扫描件及全国人力资源和社会保障政务服务平台查询截图（https://www.12333.gov.cn/）；</w:t>
            </w:r>
          </w:p>
          <w:p>
            <w:r>
              <w:rPr>
                <w:rFonts w:hint="eastAsia"/>
              </w:rPr>
              <w:t>3.第2-4项，提供证书扫描件及在技能人才评价证书全国联网查询截图</w:t>
            </w:r>
            <w:r>
              <w:rPr>
                <w:rFonts w:hint="eastAsia" w:ascii="宋体" w:hAnsi="宋体" w:cs="宋体"/>
                <w:bCs/>
              </w:rPr>
              <w:t>（http://jndj.osta.org.cn或</w:t>
            </w:r>
            <w:r>
              <w:rPr>
                <w:rFonts w:hint="eastAsia" w:ascii="宋体" w:hAnsi="宋体" w:cs="宋体"/>
                <w:szCs w:val="21"/>
              </w:rPr>
              <w:t>http://zscx.osta.org.cn/</w:t>
            </w:r>
            <w:r>
              <w:rPr>
                <w:rFonts w:hint="eastAsia" w:ascii="宋体" w:hAnsi="宋体" w:cs="宋体"/>
                <w:bCs/>
              </w:rPr>
              <w:t>）</w:t>
            </w:r>
            <w:r>
              <w:rPr>
                <w:rFonts w:hint="eastAsia"/>
              </w:rPr>
              <w:t>。</w:t>
            </w:r>
          </w:p>
          <w:p>
            <w:pPr>
              <w:rPr>
                <w:rFonts w:hint="eastAsia" w:ascii="宋体" w:hAnsi="宋体" w:cs="宋体"/>
                <w:szCs w:val="21"/>
              </w:rPr>
            </w:pPr>
            <w:r>
              <w:rPr>
                <w:rFonts w:hint="eastAsia"/>
              </w:rPr>
              <w:t>4.未按要求提供或提供不清晰导致专家无法判断的均不得分。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5</w:t>
            </w:r>
          </w:p>
        </w:tc>
        <w:tc>
          <w:tcPr>
            <w:tcW w:w="2543" w:type="dxa"/>
            <w:tcBorders>
              <w:top w:val="single" w:color="000000" w:sz="8" w:space="0"/>
              <w:left w:val="single" w:color="000000" w:sz="8" w:space="0"/>
              <w:bottom w:val="single" w:color="000000" w:sz="8" w:space="0"/>
              <w:right w:val="single" w:color="000000" w:sz="8" w:space="0"/>
            </w:tcBorders>
          </w:tcPr>
          <w:p>
            <w:pPr>
              <w:wordWrap w:val="0"/>
              <w:rPr>
                <w:szCs w:val="21"/>
              </w:rPr>
            </w:pPr>
            <w:r>
              <w:rPr>
                <w:rFonts w:hint="eastAsia" w:ascii="宋体" w:hAnsi="宋体" w:cs="宋体"/>
                <w:szCs w:val="21"/>
              </w:rPr>
              <w:t>拟安排的项目主要团队成员（项目负责人除外）</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ascii="Calibri" w:hAnsi="Calibri" w:cs="宋体"/>
                <w:szCs w:val="22"/>
              </w:rPr>
            </w:pPr>
            <w:r>
              <w:rPr>
                <w:rFonts w:hint="eastAsia" w:ascii="Calibri" w:hAnsi="Calibri" w:cs="宋体"/>
                <w:szCs w:val="22"/>
              </w:rPr>
              <w:t>15</w:t>
            </w:r>
          </w:p>
        </w:tc>
        <w:tc>
          <w:tcPr>
            <w:tcW w:w="4447" w:type="dxa"/>
            <w:gridSpan w:val="2"/>
            <w:tcBorders>
              <w:top w:val="single" w:color="000000" w:sz="8" w:space="0"/>
              <w:left w:val="single" w:color="000000" w:sz="8" w:space="0"/>
              <w:bottom w:val="single" w:color="000000" w:sz="8" w:space="0"/>
              <w:right w:val="single" w:color="000000" w:sz="8" w:space="0"/>
            </w:tcBorders>
          </w:tcPr>
          <w:p>
            <w:r>
              <w:rPr>
                <w:rFonts w:hint="eastAsia"/>
              </w:rPr>
              <w:t>（一）评分内容：</w:t>
            </w:r>
            <w:r>
              <w:rPr>
                <w:rFonts w:hint="eastAsia" w:ascii="宋体" w:hAnsi="宋体"/>
                <w:szCs w:val="21"/>
              </w:rPr>
              <w:t>拟安排项目主要团队成员为投标单位员工，否则该人员情况不计分：</w:t>
            </w:r>
          </w:p>
          <w:p>
            <w:r>
              <w:rPr>
                <w:rFonts w:hint="eastAsia"/>
              </w:rPr>
              <w:t>（二）评分依据①厨师（仅1人）：</w:t>
            </w:r>
          </w:p>
          <w:p>
            <w:r>
              <w:rPr>
                <w:rFonts w:hint="eastAsia"/>
              </w:rPr>
              <w:t>1.1具有人力资源和社会保障部（或在人社部备案的有关评价机构）颁发的一级健康管理类（高级技师）证书得20分；</w:t>
            </w:r>
          </w:p>
          <w:p>
            <w:r>
              <w:rPr>
                <w:rFonts w:hint="eastAsia"/>
              </w:rPr>
              <w:t>1.2具有人力资源和社会保障部（或在人社部备案的有关评价机构）颁发的一级中式烹调类（高级技师）证书得20分；</w:t>
            </w:r>
          </w:p>
          <w:p>
            <w:r>
              <w:rPr>
                <w:rFonts w:hint="eastAsia"/>
              </w:rPr>
              <w:t>1.3具有人力资源和社会保障部（或在人社部备案的有关评价机构）颁发的三级公共营养类（高级）或以上证书得10分；</w:t>
            </w:r>
          </w:p>
          <w:p>
            <w:r>
              <w:rPr>
                <w:rFonts w:hint="eastAsia"/>
              </w:rPr>
              <w:t>本小项最高得50分。</w:t>
            </w:r>
          </w:p>
          <w:p>
            <w:r>
              <w:rPr>
                <w:rFonts w:hint="eastAsia"/>
              </w:rPr>
              <w:t>②面点厨师（仅1人）：</w:t>
            </w:r>
          </w:p>
          <w:p>
            <w:r>
              <w:rPr>
                <w:rFonts w:hint="eastAsia"/>
              </w:rPr>
              <w:t>2.1具有人力资源和社会保障部（或在人社部备案的有关评价机构）颁发的一级食品检验类（高级技师）证书得20分；</w:t>
            </w:r>
          </w:p>
          <w:p>
            <w:r>
              <w:rPr>
                <w:rFonts w:hint="eastAsia"/>
              </w:rPr>
              <w:t>2.2具有人力资源和社会保障部（或在人社部备案的有关评价机构）颁发的一级中式面点类（高级技师）证书得20分；</w:t>
            </w:r>
          </w:p>
          <w:p>
            <w:r>
              <w:rPr>
                <w:rFonts w:hint="eastAsia"/>
              </w:rPr>
              <w:t>2.3具有人力资源和社会保障部（或在人社部备案的有关评价机构）颁发的三级健康管理类（高级）或以上证书得10分；</w:t>
            </w:r>
          </w:p>
          <w:p>
            <w:r>
              <w:rPr>
                <w:rFonts w:hint="eastAsia"/>
              </w:rPr>
              <w:t>本小项最高得50分。</w:t>
            </w:r>
          </w:p>
          <w:p>
            <w:r>
              <w:rPr>
                <w:rFonts w:hint="eastAsia"/>
              </w:rPr>
              <w:t>备注：同一人员同时具备①-②项评分条件不可重复计算得分。</w:t>
            </w:r>
          </w:p>
          <w:p>
            <w:r>
              <w:rPr>
                <w:rFonts w:hint="eastAsia"/>
              </w:rPr>
              <w:t>证明文件：</w:t>
            </w:r>
          </w:p>
          <w:p>
            <w:pPr>
              <w:jc w:val="left"/>
            </w:pPr>
            <w:r>
              <w:rPr>
                <w:rFonts w:hint="eastAsia"/>
              </w:rPr>
              <w:t>1.烹调类、面点类、健康管理类、公共营养类、食品检验类提供证书扫描件及在技能人才评价证书全国联网查询截图</w:t>
            </w:r>
            <w:r>
              <w:rPr>
                <w:rFonts w:hint="eastAsia" w:ascii="宋体" w:hAnsi="宋体" w:cs="宋体"/>
                <w:bCs/>
              </w:rPr>
              <w:t>（http://jndj.osta.org.cn或</w:t>
            </w:r>
            <w:r>
              <w:rPr>
                <w:rFonts w:hint="eastAsia" w:ascii="宋体" w:hAnsi="宋体" w:cs="宋体"/>
                <w:szCs w:val="21"/>
              </w:rPr>
              <w:t>http://zscx.osta.org.cn/</w:t>
            </w:r>
            <w:r>
              <w:rPr>
                <w:rFonts w:hint="eastAsia" w:ascii="宋体" w:hAnsi="宋体" w:cs="宋体"/>
                <w:bCs/>
              </w:rPr>
              <w:t>）；</w:t>
            </w:r>
          </w:p>
          <w:p>
            <w:r>
              <w:rPr>
                <w:rFonts w:hint="eastAsia"/>
              </w:rPr>
              <w:t>2.涉及到职称的，提供职称证书扫描件全国人力资源和社会保障政务服务平台查询截图（https://www.12333.gov.cn/）；</w:t>
            </w:r>
          </w:p>
          <w:p>
            <w:r>
              <w:rPr>
                <w:rFonts w:hint="eastAsia"/>
              </w:rPr>
              <w:t>3.涉及人员社保的，要求提供通过投标人缴纳的近三个月的任意一个月的社保证明作为本单位员工的证明依据。若供应商成立不足三个月的，需提供成立情况说明函（格式自拟），无需提供相关人员社保，亦可得分。</w:t>
            </w:r>
          </w:p>
          <w:p>
            <w:pPr>
              <w:rPr>
                <w:rFonts w:hint="eastAsia" w:ascii="宋体" w:hAnsi="宋体" w:cs="宋体"/>
                <w:szCs w:val="21"/>
              </w:rPr>
            </w:pPr>
            <w:r>
              <w:rPr>
                <w:rFonts w:hint="eastAsia"/>
              </w:rPr>
              <w:t>4.未提供或未按要求提供或提供的不清晰导致专家无法判断的，不得分。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restart"/>
            <w:tcBorders>
              <w:top w:val="single" w:color="000000" w:sz="8" w:space="0"/>
              <w:left w:val="single" w:color="000000" w:sz="8" w:space="0"/>
              <w:right w:val="single" w:color="000000" w:sz="8" w:space="0"/>
            </w:tcBorders>
          </w:tcPr>
          <w:p>
            <w:pPr>
              <w:wordWrap w:val="0"/>
              <w:jc w:val="center"/>
              <w:rPr>
                <w:rFonts w:hint="eastAsia" w:ascii="宋体" w:hAnsi="宋体" w:cs="宋体"/>
                <w:b/>
                <w:bCs/>
                <w:color w:val="0000FF"/>
                <w:sz w:val="24"/>
              </w:rPr>
            </w:pPr>
            <w:bookmarkStart w:id="3"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 w:val="24"/>
              </w:rPr>
            </w:pPr>
            <w:r>
              <w:rPr>
                <w:rFonts w:hint="eastAsia"/>
                <w:b/>
                <w:bCs/>
                <w:color w:val="0000FF"/>
              </w:rPr>
              <w:t>综合实力部分</w:t>
            </w:r>
          </w:p>
        </w:tc>
        <w:tc>
          <w:tcPr>
            <w:tcW w:w="4447"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b/>
                <w:bCs/>
                <w:color w:val="0000FF"/>
                <w:sz w:val="24"/>
              </w:rPr>
            </w:pPr>
            <w:r>
              <w:rPr>
                <w:rFonts w:hint="eastAsia" w:ascii="宋体" w:hAnsi="宋体" w:cs="宋体"/>
                <w:b/>
                <w:bCs/>
                <w:color w:val="0000FF"/>
                <w:sz w:val="24"/>
              </w:rPr>
              <w:t>30</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bookmarkStart w:id="4"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4F4F1"/>
            <w:vAlign w:val="center"/>
          </w:tcPr>
          <w:p>
            <w:pPr>
              <w:wordWrap w:val="0"/>
              <w:jc w:val="center"/>
              <w:rPr>
                <w:rFonts w:hint="eastAsia" w:ascii="宋体" w:hAnsi="宋体" w:cs="宋体"/>
                <w:szCs w:val="21"/>
              </w:rPr>
            </w:pPr>
            <w:r>
              <w:rPr>
                <w:rFonts w:hint="eastAsia"/>
                <w:szCs w:val="21"/>
              </w:rPr>
              <w:t>权重</w:t>
            </w:r>
          </w:p>
        </w:tc>
        <w:tc>
          <w:tcPr>
            <w:tcW w:w="4447" w:type="dxa"/>
            <w:gridSpan w:val="2"/>
            <w:tcBorders>
              <w:top w:val="outset" w:color="000000" w:sz="6" w:space="0"/>
              <w:left w:val="outset" w:color="000000" w:sz="6" w:space="0"/>
              <w:bottom w:val="outset" w:color="000000" w:sz="6" w:space="0"/>
              <w:right w:val="outset" w:color="000000" w:sz="6" w:space="0"/>
            </w:tcBorders>
            <w:shd w:val="clear" w:color="auto" w:fill="D4F4F1"/>
            <w:vAlign w:val="center"/>
          </w:tcPr>
          <w:p>
            <w:pPr>
              <w:jc w:val="center"/>
              <w:rPr>
                <w:rFonts w:hint="eastAsia" w:ascii="宋体" w:hAnsi="宋体"/>
                <w:color w:val="FF0000"/>
              </w:rPr>
            </w:pPr>
            <w:r>
              <w:rPr>
                <w:rFonts w:hint="eastAsia"/>
                <w:szCs w:val="21"/>
              </w:rPr>
              <w:t>评分准则</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olor w:val="FF0000"/>
              </w:rPr>
            </w:pPr>
            <w:r>
              <w:rPr>
                <w:rFonts w:hint="eastAsia" w:ascii="宋体" w:hAnsi="宋体"/>
                <w:szCs w:val="21"/>
              </w:rPr>
              <w:t>投标人同类项目业绩情况</w:t>
            </w:r>
          </w:p>
          <w:p>
            <w:pPr>
              <w:wordWrap w:val="0"/>
              <w:rPr>
                <w:rFonts w:hint="eastAsia" w:ascii="宋体" w:hAnsi="宋体"/>
              </w:rPr>
            </w:pPr>
          </w:p>
          <w:p>
            <w:pPr>
              <w:widowControl/>
              <w:jc w:val="left"/>
              <w:rPr>
                <w:rFonts w:hint="eastAsia"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cs="宋体"/>
                <w:szCs w:val="21"/>
              </w:rPr>
            </w:pPr>
            <w:r>
              <w:rPr>
                <w:rFonts w:hint="eastAsia" w:ascii="宋体" w:hAnsi="宋体" w:cs="宋体"/>
                <w:szCs w:val="21"/>
              </w:rPr>
              <w:t>10</w:t>
            </w:r>
          </w:p>
        </w:tc>
        <w:tc>
          <w:tcPr>
            <w:tcW w:w="4447" w:type="dxa"/>
            <w:gridSpan w:val="2"/>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rPr>
              <w:t>自2023年1月1日起至本项目投标截止之日（以合同签订时间为准），投标人具有食堂服务或餐饮服务或食堂管理的业绩，每提供一项得35分，最高得100分。</w:t>
            </w:r>
          </w:p>
          <w:p>
            <w:pPr>
              <w:rPr>
                <w:b/>
              </w:rPr>
            </w:pPr>
            <w:r>
              <w:rPr>
                <w:rFonts w:hint="eastAsia"/>
                <w:b/>
              </w:rPr>
              <w:t>（二）评分依据：</w:t>
            </w:r>
          </w:p>
          <w:p>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2</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olor w:val="FF0000"/>
              </w:rPr>
            </w:pPr>
            <w:r>
              <w:rPr>
                <w:rFonts w:hint="eastAsia" w:ascii="宋体" w:hAnsi="宋体"/>
                <w:szCs w:val="21"/>
              </w:rPr>
              <w:t>履约评价</w:t>
            </w:r>
          </w:p>
          <w:p>
            <w:pPr>
              <w:wordWrap w:val="0"/>
              <w:rPr>
                <w:rFonts w:hint="eastAsia"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cs="宋体"/>
                <w:szCs w:val="21"/>
              </w:rPr>
            </w:pPr>
            <w:r>
              <w:rPr>
                <w:rFonts w:hint="eastAsia" w:ascii="宋体" w:hAnsi="宋体" w:cs="宋体"/>
                <w:szCs w:val="21"/>
              </w:rPr>
              <w:t>10</w:t>
            </w:r>
          </w:p>
        </w:tc>
        <w:tc>
          <w:tcPr>
            <w:tcW w:w="4447" w:type="dxa"/>
            <w:gridSpan w:val="2"/>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rPr>
              <w:t>投标人上述“投标人同类项目业绩情况”参加评审有效的项目业绩中（且获得评分），经合同甲方考核评价/评分为“优”或“优秀”或“满意（或非常满意）”或其他最高等级的，每提供一项得35分，最多得100分，其他情况不得分。</w:t>
            </w:r>
          </w:p>
          <w:p>
            <w:pPr>
              <w:rPr>
                <w:b/>
              </w:rPr>
            </w:pPr>
            <w:r>
              <w:rPr>
                <w:rFonts w:hint="eastAsia"/>
                <w:b/>
              </w:rPr>
              <w:t>（二）评分依据：</w:t>
            </w:r>
          </w:p>
          <w:p>
            <w:pPr>
              <w:wordWrap w:val="0"/>
            </w:pPr>
            <w:r>
              <w:rPr>
                <w:rFonts w:hint="eastAsia" w:ascii="宋体" w:hAnsi="宋体"/>
              </w:rPr>
              <w:t>提供加盖合同甲方公章（或甲方业务章）项目</w:t>
            </w:r>
            <w:r>
              <w:rPr>
                <w:rFonts w:hint="eastAsia"/>
                <w:kern w:val="0"/>
              </w:rPr>
              <w:t>履约评价或验收合格证明文件</w:t>
            </w:r>
            <w:r>
              <w:rPr>
                <w:rFonts w:hint="eastAsia"/>
              </w:rPr>
              <w:t>清晰扫描件。</w:t>
            </w:r>
          </w:p>
          <w:p>
            <w:pPr>
              <w:wordWrap w:val="0"/>
              <w:rPr>
                <w:rFonts w:hint="eastAsia"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szCs w:val="21"/>
              </w:rPr>
            </w:pPr>
            <w:r>
              <w:rPr>
                <w:rFonts w:hint="eastAsia" w:ascii="宋体" w:hAnsi="宋体" w:cs="宋体"/>
                <w:szCs w:val="21"/>
              </w:rPr>
              <w:t>项目完成（服务期满）后的服务承诺</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ascii="Calibri" w:hAnsi="Calibri" w:cs="宋体"/>
                <w:szCs w:val="22"/>
              </w:rPr>
            </w:pPr>
            <w:r>
              <w:rPr>
                <w:rFonts w:hint="eastAsia" w:ascii="Calibri" w:hAnsi="Calibri" w:cs="宋体"/>
                <w:szCs w:val="22"/>
              </w:rPr>
              <w:t>5</w:t>
            </w:r>
          </w:p>
        </w:tc>
        <w:tc>
          <w:tcPr>
            <w:tcW w:w="4447" w:type="dxa"/>
            <w:gridSpan w:val="2"/>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r>
              <w:rPr>
                <w:rFonts w:hint="eastAsia"/>
              </w:rPr>
              <w:t>投标人承诺以下全部三项的得100分，否则不得分：</w:t>
            </w:r>
          </w:p>
          <w:p>
            <w:r>
              <w:rPr>
                <w:rFonts w:hint="eastAsia"/>
              </w:rPr>
              <w:t>①服务期满后主动撤离服务地；</w:t>
            </w:r>
          </w:p>
          <w:p>
            <w:r>
              <w:rPr>
                <w:rFonts w:hint="eastAsia"/>
              </w:rPr>
              <w:t>②与后续服务公司进行交接；</w:t>
            </w:r>
          </w:p>
          <w:p>
            <w:r>
              <w:rPr>
                <w:rFonts w:hint="eastAsia"/>
              </w:rPr>
              <w:t>③若服务期满，后续服务公司未到位前协助采购人做好相关交接期间服务。</w:t>
            </w:r>
          </w:p>
          <w:p>
            <w:pPr>
              <w:rPr>
                <w:b/>
              </w:rPr>
            </w:pPr>
            <w:r>
              <w:rPr>
                <w:rFonts w:hint="eastAsia"/>
                <w:b/>
              </w:rPr>
              <w:t>（二）评分依据：</w:t>
            </w:r>
          </w:p>
          <w:p>
            <w:pPr>
              <w:rPr>
                <w:rFonts w:hint="eastAsia" w:ascii="宋体" w:hAnsi="宋体" w:cs="宋体"/>
                <w:szCs w:val="21"/>
              </w:rPr>
            </w:pPr>
            <w:r>
              <w:rPr>
                <w:rFonts w:hint="eastAsia"/>
              </w:rPr>
              <w:t>提供包含以上相关内容的承诺函（格式自拟）。未提供或未按要求提供或提供的扫描件不清晰导致专家无法判断的，不得分。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rFonts w:hint="eastAsia" w:ascii="宋体" w:hAnsi="宋体" w:cs="宋体"/>
                <w:szCs w:val="21"/>
              </w:rPr>
              <w:t>4</w:t>
            </w:r>
          </w:p>
        </w:tc>
        <w:tc>
          <w:tcPr>
            <w:tcW w:w="2543"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cs="宋体"/>
                <w:szCs w:val="21"/>
              </w:rPr>
            </w:pPr>
            <w:r>
              <w:rPr>
                <w:rFonts w:hint="eastAsia" w:ascii="宋体" w:hAnsi="宋体" w:cs="宋体"/>
                <w:szCs w:val="21"/>
              </w:rPr>
              <w:t>购买保险情况</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cs="宋体"/>
                <w:szCs w:val="21"/>
              </w:rPr>
            </w:pPr>
            <w:r>
              <w:rPr>
                <w:rFonts w:hint="eastAsia" w:ascii="宋体" w:hAnsi="宋体" w:cs="宋体"/>
                <w:szCs w:val="21"/>
              </w:rPr>
              <w:t>5</w:t>
            </w:r>
          </w:p>
        </w:tc>
        <w:tc>
          <w:tcPr>
            <w:tcW w:w="4447" w:type="dxa"/>
            <w:gridSpan w:val="2"/>
            <w:tcBorders>
              <w:top w:val="single" w:color="000000" w:sz="8" w:space="0"/>
              <w:left w:val="single" w:color="000000" w:sz="8" w:space="0"/>
              <w:bottom w:val="single" w:color="000000" w:sz="8" w:space="0"/>
              <w:right w:val="single" w:color="000000" w:sz="8" w:space="0"/>
            </w:tcBorders>
          </w:tcPr>
          <w:p>
            <w:r>
              <w:rPr>
                <w:rFonts w:hint="eastAsia"/>
              </w:rPr>
              <w:t>评分内容：</w:t>
            </w:r>
          </w:p>
          <w:p>
            <w:pPr>
              <w:rPr>
                <w:rFonts w:hint="eastAsia" w:ascii="宋体" w:hAnsi="宋体" w:cs="宋体"/>
                <w:szCs w:val="21"/>
              </w:rPr>
            </w:pPr>
            <w:r>
              <w:rPr>
                <w:rFonts w:hint="eastAsia" w:ascii="宋体" w:hAnsi="宋体" w:cs="宋体"/>
                <w:szCs w:val="21"/>
              </w:rPr>
              <w:t>①在本项目投标截止日之前，投标人购买了在有效期内的食品安全保险保额或承诺中标后提供：</w:t>
            </w:r>
          </w:p>
          <w:p>
            <w:pPr>
              <w:ind w:firstLine="210" w:firstLineChars="100"/>
              <w:rPr>
                <w:rFonts w:hint="eastAsia" w:ascii="宋体" w:hAnsi="宋体" w:cs="宋体"/>
                <w:szCs w:val="21"/>
              </w:rPr>
            </w:pPr>
            <w:r>
              <w:rPr>
                <w:rFonts w:hint="eastAsia" w:ascii="宋体" w:hAnsi="宋体" w:cs="宋体"/>
                <w:szCs w:val="21"/>
              </w:rPr>
              <w:t>1、4000万元或以上的得50分；</w:t>
            </w:r>
          </w:p>
          <w:p>
            <w:pPr>
              <w:ind w:firstLine="210" w:firstLineChars="100"/>
              <w:rPr>
                <w:rFonts w:hint="eastAsia" w:ascii="宋体" w:hAnsi="宋体" w:cs="宋体"/>
                <w:szCs w:val="21"/>
              </w:rPr>
            </w:pPr>
            <w:r>
              <w:rPr>
                <w:rFonts w:hint="eastAsia" w:ascii="宋体" w:hAnsi="宋体" w:cs="宋体"/>
                <w:szCs w:val="21"/>
              </w:rPr>
              <w:t>2、2000万元（含）至4000万元（不含）的得30分；</w:t>
            </w:r>
          </w:p>
          <w:p>
            <w:pPr>
              <w:ind w:firstLine="210" w:firstLineChars="100"/>
              <w:rPr>
                <w:rFonts w:hint="eastAsia" w:ascii="宋体" w:hAnsi="宋体" w:cs="宋体"/>
                <w:szCs w:val="21"/>
              </w:rPr>
            </w:pPr>
            <w:r>
              <w:rPr>
                <w:rFonts w:hint="eastAsia" w:ascii="宋体" w:hAnsi="宋体" w:cs="宋体"/>
                <w:szCs w:val="21"/>
              </w:rPr>
              <w:t xml:space="preserve">3、2000万元以下的得10分，其他情况不得分； </w:t>
            </w:r>
          </w:p>
          <w:p>
            <w:pPr>
              <w:rPr>
                <w:rFonts w:hint="eastAsia" w:ascii="宋体" w:hAnsi="宋体" w:cs="宋体"/>
                <w:szCs w:val="21"/>
              </w:rPr>
            </w:pPr>
            <w:r>
              <w:rPr>
                <w:rFonts w:hint="eastAsia" w:ascii="宋体" w:hAnsi="宋体" w:cs="宋体"/>
                <w:szCs w:val="21"/>
              </w:rPr>
              <w:t>②在本项目投标截止日之前，投标人购买了在有效期内的公众责任保险保额或承诺中标后提供：</w:t>
            </w:r>
          </w:p>
          <w:p>
            <w:pPr>
              <w:ind w:firstLine="210" w:firstLineChars="100"/>
              <w:rPr>
                <w:rFonts w:hint="eastAsia" w:ascii="宋体" w:hAnsi="宋体" w:cs="宋体"/>
                <w:szCs w:val="21"/>
              </w:rPr>
            </w:pPr>
            <w:r>
              <w:rPr>
                <w:rFonts w:hint="eastAsia" w:ascii="宋体" w:hAnsi="宋体" w:cs="宋体"/>
                <w:szCs w:val="21"/>
              </w:rPr>
              <w:t>1、4000万元或以上的得50分；</w:t>
            </w:r>
          </w:p>
          <w:p>
            <w:pPr>
              <w:ind w:firstLine="210" w:firstLineChars="100"/>
              <w:rPr>
                <w:rFonts w:hint="eastAsia" w:ascii="宋体" w:hAnsi="宋体" w:cs="宋体"/>
                <w:szCs w:val="21"/>
              </w:rPr>
            </w:pPr>
            <w:r>
              <w:rPr>
                <w:rFonts w:hint="eastAsia" w:ascii="宋体" w:hAnsi="宋体" w:cs="宋体"/>
                <w:szCs w:val="21"/>
              </w:rPr>
              <w:t>2、2000万元（含）至4000万元（不含）的得30分；</w:t>
            </w:r>
          </w:p>
          <w:p>
            <w:pPr>
              <w:ind w:firstLine="210" w:firstLineChars="100"/>
              <w:rPr>
                <w:rFonts w:hint="eastAsia" w:ascii="宋体" w:hAnsi="宋体" w:cs="宋体"/>
                <w:szCs w:val="21"/>
              </w:rPr>
            </w:pPr>
            <w:r>
              <w:rPr>
                <w:rFonts w:hint="eastAsia" w:ascii="宋体" w:hAnsi="宋体" w:cs="宋体"/>
                <w:szCs w:val="21"/>
              </w:rPr>
              <w:t xml:space="preserve">3、2000万元以下的得10分，其他情况不得分。 </w:t>
            </w:r>
          </w:p>
          <w:p>
            <w:pPr>
              <w:rPr>
                <w:rFonts w:hint="eastAsia" w:ascii="宋体" w:hAnsi="宋体" w:cs="宋体"/>
                <w:szCs w:val="21"/>
              </w:rPr>
            </w:pPr>
            <w:r>
              <w:rPr>
                <w:rFonts w:hint="eastAsia" w:ascii="宋体" w:hAnsi="宋体" w:cs="宋体"/>
                <w:szCs w:val="21"/>
              </w:rPr>
              <w:t>以上合计最高得100分。</w:t>
            </w:r>
          </w:p>
          <w:p>
            <w:r>
              <w:rPr>
                <w:rFonts w:hint="eastAsia"/>
              </w:rPr>
              <w:t>评分依据：</w:t>
            </w:r>
          </w:p>
          <w:p>
            <w:pPr>
              <w:ind w:firstLine="210" w:firstLineChars="100"/>
              <w:rPr>
                <w:rFonts w:hint="eastAsia" w:ascii="宋体" w:hAnsi="宋体" w:cs="宋体"/>
                <w:szCs w:val="21"/>
              </w:rPr>
            </w:pPr>
            <w:r>
              <w:rPr>
                <w:rFonts w:hint="eastAsia" w:ascii="宋体" w:hAnsi="宋体" w:cs="宋体"/>
                <w:szCs w:val="21"/>
              </w:rPr>
              <w:t>（1）提供有效期内的保险单及保险单发票扫描件，投保人必须和投标人名称一致。</w:t>
            </w:r>
          </w:p>
          <w:p>
            <w:pPr>
              <w:ind w:firstLine="210" w:firstLineChars="100"/>
              <w:rPr>
                <w:rFonts w:hint="eastAsia" w:ascii="宋体" w:hAnsi="宋体" w:cs="宋体"/>
                <w:szCs w:val="21"/>
              </w:rPr>
            </w:pPr>
            <w:r>
              <w:rPr>
                <w:rFonts w:hint="eastAsia" w:ascii="宋体" w:hAnsi="宋体" w:cs="宋体"/>
                <w:szCs w:val="21"/>
              </w:rPr>
              <w:t>（2）承诺中标后提供，请提供承诺函（格式自拟）；</w:t>
            </w:r>
          </w:p>
          <w:p>
            <w:pPr>
              <w:widowControl/>
              <w:jc w:val="left"/>
              <w:rPr>
                <w:rFonts w:hint="eastAsia" w:ascii="宋体" w:hAnsi="宋体" w:cs="宋体"/>
                <w:color w:val="FF0000"/>
                <w:szCs w:val="21"/>
              </w:rPr>
            </w:pPr>
            <w:r>
              <w:rPr>
                <w:rFonts w:hint="eastAsia" w:ascii="宋体" w:hAnsi="宋体" w:cs="宋体"/>
                <w:szCs w:val="21"/>
              </w:rPr>
              <w:t>（3）原件备查，未按要求提供或提供不清晰导致专家无法判断的不得分。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rHeight w:val="379" w:hRule="atLeast"/>
          <w:tblCellSpacing w:w="0" w:type="dxa"/>
          <w:jc w:val="center"/>
        </w:trPr>
        <w:tc>
          <w:tcPr>
            <w:tcW w:w="681" w:type="dxa"/>
            <w:gridSpan w:val="2"/>
            <w:vMerge w:val="restart"/>
            <w:tcBorders>
              <w:left w:val="single" w:color="000000" w:sz="8" w:space="0"/>
              <w:right w:val="single" w:color="000000" w:sz="8" w:space="0"/>
            </w:tcBorders>
          </w:tcPr>
          <w:p>
            <w:pPr>
              <w:widowControl/>
              <w:rPr>
                <w:rFonts w:hint="eastAsia" w:ascii="宋体" w:hAnsi="宋体" w:cs="宋体"/>
                <w:b/>
                <w:bCs/>
                <w:color w:val="0000FF"/>
                <w:sz w:val="24"/>
              </w:rPr>
            </w:pPr>
            <w:r>
              <w:rPr>
                <w:rFonts w:hint="eastAsia" w:ascii="宋体" w:hAnsi="宋体" w:cs="宋体"/>
                <w:b/>
                <w:bCs/>
                <w:color w:val="0000FF"/>
                <w:sz w:val="24"/>
              </w:rPr>
              <w:t>4</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rFonts w:hint="eastAsia"/>
                <w:b/>
                <w:bCs/>
                <w:color w:val="0000FF"/>
              </w:rPr>
              <w:t>诚信情况</w:t>
            </w:r>
          </w:p>
        </w:tc>
        <w:tc>
          <w:tcPr>
            <w:tcW w:w="4447"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rFonts w:hint="eastAsia" w:ascii="宋体" w:hAnsi="宋体" w:cs="宋体"/>
                <w:b/>
                <w:bCs/>
                <w:color w:val="0000FF"/>
                <w:kern w:val="0"/>
                <w:szCs w:val="21"/>
                <w:lang w:bidi="ar"/>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bookmarkStart w:id="5"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4F4F1"/>
            <w:vAlign w:val="center"/>
          </w:tcPr>
          <w:p>
            <w:pPr>
              <w:wordWrap w:val="0"/>
              <w:jc w:val="center"/>
              <w:rPr>
                <w:rFonts w:hint="eastAsia" w:ascii="宋体" w:hAnsi="宋体" w:cs="宋体"/>
                <w:szCs w:val="21"/>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4F4F1"/>
            <w:vAlign w:val="center"/>
          </w:tcPr>
          <w:p>
            <w:pPr>
              <w:wordWrap w:val="0"/>
              <w:jc w:val="center"/>
              <w:rPr>
                <w:rFonts w:hint="eastAsia" w:ascii="宋体" w:hAnsi="宋体" w:cs="宋体"/>
                <w:szCs w:val="21"/>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4F4F1"/>
            <w:vAlign w:val="center"/>
          </w:tcPr>
          <w:p>
            <w:pPr>
              <w:wordWrap w:val="0"/>
              <w:jc w:val="center"/>
              <w:rPr>
                <w:rFonts w:hint="eastAsia" w:ascii="宋体" w:hAnsi="宋体" w:cs="宋体"/>
                <w:szCs w:val="21"/>
              </w:rPr>
            </w:pPr>
            <w:r>
              <w:rPr>
                <w:rFonts w:hint="eastAsia"/>
                <w:szCs w:val="21"/>
              </w:rPr>
              <w:t>权重</w:t>
            </w:r>
          </w:p>
        </w:tc>
        <w:tc>
          <w:tcPr>
            <w:tcW w:w="4447" w:type="dxa"/>
            <w:gridSpan w:val="2"/>
            <w:tcBorders>
              <w:top w:val="single" w:color="000000" w:sz="8" w:space="0"/>
              <w:left w:val="single" w:color="000000" w:sz="8" w:space="0"/>
              <w:bottom w:val="single" w:color="000000" w:sz="8" w:space="0"/>
              <w:right w:val="single" w:color="000000" w:sz="8" w:space="0"/>
            </w:tcBorders>
            <w:shd w:val="clear" w:color="auto" w:fill="D4F4F1"/>
            <w:vAlign w:val="center"/>
          </w:tcPr>
          <w:p>
            <w:pPr>
              <w:jc w:val="center"/>
              <w:rPr>
                <w:rFonts w:hint="eastAsia" w:ascii="宋体" w:hAnsi="宋体"/>
                <w:color w:val="FF0000"/>
              </w:rPr>
            </w:pPr>
            <w:r>
              <w:rPr>
                <w:rFonts w:hint="eastAsia"/>
                <w:szCs w:val="21"/>
              </w:rPr>
              <w:t>评分准则</w:t>
            </w:r>
          </w:p>
        </w:tc>
      </w:tr>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1</w:t>
            </w:r>
          </w:p>
        </w:tc>
        <w:tc>
          <w:tcPr>
            <w:tcW w:w="2543" w:type="dxa"/>
            <w:tcBorders>
              <w:top w:val="single" w:color="000000" w:sz="8" w:space="0"/>
              <w:left w:val="single" w:color="000000" w:sz="8" w:space="0"/>
              <w:bottom w:val="single" w:color="000000" w:sz="8" w:space="0"/>
              <w:right w:val="single" w:color="000000" w:sz="8" w:space="0"/>
            </w:tcBorders>
          </w:tcPr>
          <w:p>
            <w:pPr>
              <w:wordWrap w:val="0"/>
              <w:rPr>
                <w:szCs w:val="21"/>
              </w:rPr>
            </w:pPr>
            <w:r>
              <w:rPr>
                <w:szCs w:val="21"/>
              </w:rPr>
              <w:t>诚信情况</w:t>
            </w:r>
          </w:p>
          <w:p>
            <w:pPr>
              <w:jc w:val="left"/>
              <w:rPr>
                <w:rFonts w:ascii="Calibri" w:hAnsi="Calibri" w:cs="宋体"/>
                <w:szCs w:val="22"/>
              </w:rPr>
            </w:pPr>
          </w:p>
        </w:tc>
        <w:tc>
          <w:tcPr>
            <w:tcW w:w="724"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cs="宋体"/>
                <w:szCs w:val="21"/>
              </w:rPr>
            </w:pPr>
            <w:r>
              <w:rPr>
                <w:rFonts w:hint="eastAsia" w:ascii="宋体" w:hAnsi="宋体" w:cs="宋体"/>
                <w:b/>
                <w:bCs/>
                <w:color w:val="0000FF"/>
                <w:kern w:val="0"/>
                <w:szCs w:val="21"/>
                <w:lang w:bidi="ar"/>
              </w:rPr>
              <w:t>5</w:t>
            </w:r>
          </w:p>
        </w:tc>
        <w:tc>
          <w:tcPr>
            <w:tcW w:w="4447" w:type="dxa"/>
            <w:gridSpan w:val="2"/>
            <w:tcBorders>
              <w:top w:val="single" w:color="000000" w:sz="8" w:space="0"/>
              <w:left w:val="single" w:color="000000" w:sz="8" w:space="0"/>
              <w:bottom w:val="single" w:color="000000" w:sz="8" w:space="0"/>
              <w:right w:val="single" w:color="000000" w:sz="8" w:space="0"/>
            </w:tcBorders>
          </w:tcPr>
          <w:p>
            <w:pPr>
              <w:wordWrap w:val="0"/>
              <w:ind w:firstLine="420" w:firstLineChars="200"/>
              <w:rPr>
                <w:rFonts w:hint="eastAsia" w:ascii="宋体" w:hAnsi="宋体" w:cs="宋体"/>
                <w:szCs w:val="21"/>
              </w:rPr>
            </w:pPr>
            <w:r>
              <w:rPr>
                <w:rFonts w:hint="eastAsia" w:ascii="宋体" w:hAnsi="宋体" w:cs="宋体"/>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pPr>
              <w:wordWrap w:val="0"/>
              <w:rPr>
                <w:rFonts w:hint="eastAsia" w:ascii="宋体" w:hAnsi="宋体"/>
                <w:color w:val="FF0000"/>
              </w:rPr>
            </w:pPr>
            <w:r>
              <w:rPr>
                <w:rFonts w:hint="eastAsia" w:ascii="宋体" w:hAnsi="宋体" w:cs="宋体"/>
                <w:szCs w:val="21"/>
              </w:rPr>
              <w:t>查询渠道：通过“信用中国”（www.creditchina.gov.cn，下载信用信息报告）、“中国政府采购网”（www.ccgp.gov.cn）以及“深圳市政府采购监管网”（http://zfcg.sz.gov.cn）以及财政部门认可的“供应商诚信档案库”查查询供应商信用信息，信用信息以开标当日的查询结果为准。</w:t>
            </w:r>
          </w:p>
        </w:tc>
      </w:tr>
    </w:tbl>
    <w:p>
      <w:pPr>
        <w:pStyle w:val="32"/>
        <w:ind w:left="0" w:leftChars="0" w:firstLine="0" w:firstLineChars="0"/>
      </w:pPr>
    </w:p>
    <w:p>
      <w:pPr>
        <w:widowControl/>
        <w:jc w:val="left"/>
        <w:rPr>
          <w:rFonts w:hint="eastAsia" w:ascii="黑体" w:hAnsi="黑体" w:eastAsia="黑体"/>
          <w:color w:val="FF0000"/>
          <w:sz w:val="28"/>
          <w:szCs w:val="28"/>
        </w:rPr>
      </w:pPr>
    </w:p>
    <w:p>
      <w:pPr>
        <w:pStyle w:val="29"/>
        <w:spacing w:before="280" w:after="280" w:line="320" w:lineRule="exact"/>
        <w:jc w:val="center"/>
        <w:outlineLvl w:val="1"/>
        <w:rPr>
          <w:rFonts w:hint="eastAsia" w:ascii="黑体" w:hAnsi="黑体" w:eastAsia="黑体"/>
          <w:sz w:val="28"/>
          <w:szCs w:val="40"/>
        </w:rPr>
      </w:pPr>
      <w:bookmarkStart w:id="6" w:name="OLE_LINK34"/>
      <w:r>
        <w:rPr>
          <w:rFonts w:hint="eastAsia" w:ascii="黑体" w:hAnsi="黑体" w:eastAsia="黑体"/>
          <w:sz w:val="28"/>
          <w:szCs w:val="40"/>
        </w:rPr>
        <w:t>定标方法</w:t>
      </w:r>
    </w:p>
    <w:p>
      <w:pPr>
        <w:jc w:val="center"/>
      </w:pPr>
      <w:r>
        <w:rPr>
          <w:rFonts w:hint="eastAsia"/>
          <w:b/>
        </w:rPr>
        <w:t>非评定分离项目</w:t>
      </w:r>
    </w:p>
    <w:tbl>
      <w:tblPr>
        <w:tblStyle w:val="34"/>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4" w:type="dxa"/>
            <w:vAlign w:val="center"/>
          </w:tcPr>
          <w:p>
            <w:pPr>
              <w:jc w:val="center"/>
              <w:rPr>
                <w:b/>
                <w:bCs/>
              </w:rPr>
            </w:pPr>
            <w:r>
              <w:rPr>
                <w:rFonts w:hint="eastAsia"/>
                <w:b/>
                <w:bCs/>
              </w:rPr>
              <w:t>评标方法</w:t>
            </w:r>
          </w:p>
        </w:tc>
        <w:tc>
          <w:tcPr>
            <w:tcW w:w="5909" w:type="dxa"/>
            <w:vAlign w:val="center"/>
          </w:tcPr>
          <w:p>
            <w:pPr>
              <w:jc w:val="center"/>
              <w:rPr>
                <w:b/>
                <w:bCs/>
              </w:rPr>
            </w:pPr>
            <w:r>
              <w:rPr>
                <w:rFonts w:hint="eastAsia"/>
                <w:b/>
                <w:bCs/>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844" w:type="dxa"/>
            <w:vAlign w:val="center"/>
          </w:tcPr>
          <w:p>
            <w:pPr>
              <w:jc w:val="center"/>
            </w:pPr>
            <w:r>
              <w:rPr>
                <w:rFonts w:hint="eastAsia"/>
              </w:rPr>
              <w:t>候选中标供应商家数</w:t>
            </w:r>
          </w:p>
        </w:tc>
        <w:tc>
          <w:tcPr>
            <w:tcW w:w="5909" w:type="dxa"/>
            <w:vAlign w:val="center"/>
          </w:tcPr>
          <w:p>
            <w:pPr>
              <w:jc w:val="center"/>
            </w:pPr>
            <w:r>
              <w:rPr>
                <w:rFonts w:hint="eastAsia"/>
              </w:rPr>
              <w:t>1</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4" w:type="dxa"/>
            <w:vAlign w:val="center"/>
          </w:tcPr>
          <w:p>
            <w:pPr>
              <w:jc w:val="center"/>
            </w:pPr>
            <w:r>
              <w:rPr>
                <w:rFonts w:hint="eastAsia"/>
              </w:rPr>
              <w:t>中标供应商家数</w:t>
            </w:r>
          </w:p>
        </w:tc>
        <w:tc>
          <w:tcPr>
            <w:tcW w:w="5909" w:type="dxa"/>
            <w:vAlign w:val="center"/>
          </w:tcPr>
          <w:p>
            <w:pPr>
              <w:jc w:val="center"/>
            </w:pPr>
            <w:r>
              <w:rPr>
                <w:rFonts w:hint="eastAsia"/>
              </w:rPr>
              <w:t>1</w:t>
            </w:r>
          </w:p>
        </w:tc>
      </w:tr>
    </w:tbl>
    <w:p>
      <w:pPr>
        <w:ind w:firstLine="411" w:firstLineChars="196"/>
        <w:rPr>
          <w:rFonts w:hint="eastAsia" w:ascii="宋体" w:hAnsi="宋体" w:cs="宋体"/>
          <w:kern w:val="0"/>
          <w:szCs w:val="21"/>
        </w:rPr>
      </w:pPr>
    </w:p>
    <w:p>
      <w:pPr>
        <w:ind w:firstLine="411" w:firstLineChars="196"/>
        <w:rPr>
          <w:rFonts w:hint="eastAsia" w:ascii="宋体" w:hAnsi="宋体" w:cs="宋体"/>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pPr>
        <w:pStyle w:val="32"/>
        <w:ind w:left="0" w:leftChars="0" w:firstLine="0" w:firstLineChars="0"/>
      </w:pPr>
    </w:p>
    <w:p>
      <w:pPr>
        <w:spacing w:line="320" w:lineRule="exact"/>
      </w:pPr>
    </w:p>
    <w:p>
      <w:pPr>
        <w:pStyle w:val="29"/>
        <w:spacing w:before="280" w:after="280" w:line="320" w:lineRule="exact"/>
        <w:jc w:val="center"/>
        <w:outlineLvl w:val="1"/>
        <w:rPr>
          <w:rFonts w:hint="eastAsia" w:ascii="黑体" w:hAnsi="黑体" w:eastAsia="黑体"/>
          <w:sz w:val="28"/>
          <w:szCs w:val="40"/>
        </w:rPr>
      </w:pPr>
      <w:r>
        <w:rPr>
          <w:rFonts w:hint="eastAsia" w:ascii="黑体" w:hAnsi="黑体" w:eastAsia="黑体"/>
          <w:sz w:val="28"/>
          <w:szCs w:val="40"/>
        </w:rPr>
        <w:t>相关费用</w:t>
      </w:r>
    </w:p>
    <w:p>
      <w:pPr>
        <w:ind w:firstLine="422" w:firstLineChars="200"/>
        <w:rPr>
          <w:b/>
        </w:rPr>
      </w:pPr>
      <w:bookmarkStart w:id="7" w:name="OLE_LINK29"/>
      <w:r>
        <w:rPr>
          <w:rFonts w:hint="eastAsia"/>
          <w:b/>
        </w:rPr>
        <w:t>1、采购代理服务费</w:t>
      </w:r>
    </w:p>
    <w:p>
      <w:pPr>
        <w:ind w:firstLine="422" w:firstLineChars="200"/>
        <w:rPr>
          <w:b/>
        </w:rPr>
      </w:pPr>
      <w:r>
        <w:rPr>
          <w:rFonts w:hint="eastAsia"/>
          <w:b/>
        </w:rPr>
        <w:t>本项目为代理服务项目，将向中标（成交）供应商收取代理服务费。</w:t>
      </w:r>
    </w:p>
    <w:p>
      <w:pPr>
        <w:ind w:firstLine="420" w:firstLineChars="200"/>
      </w:pPr>
      <w:r>
        <w:rPr>
          <w:rFonts w:hint="eastAsia"/>
        </w:rPr>
        <w:t>中标</w:t>
      </w:r>
      <w:bookmarkEnd w:id="7"/>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ind w:firstLine="422" w:firstLineChars="200"/>
        <w:rPr>
          <w:b/>
          <w:color w:val="FF0000"/>
        </w:rPr>
      </w:pPr>
      <w:r>
        <w:rPr>
          <w:rFonts w:hint="eastAsia"/>
          <w:b/>
          <w:color w:val="FF0000"/>
        </w:rPr>
        <w:t>基本户信息：</w:t>
      </w:r>
    </w:p>
    <w:p>
      <w:pPr>
        <w:ind w:firstLine="420" w:firstLineChars="200"/>
        <w:rPr>
          <w:color w:val="FF0000"/>
        </w:rPr>
      </w:pPr>
      <w:r>
        <w:rPr>
          <w:rFonts w:hint="eastAsia"/>
          <w:color w:val="FF0000"/>
        </w:rPr>
        <w:t>账户名：深圳交易集团有限公司</w:t>
      </w:r>
    </w:p>
    <w:p>
      <w:pPr>
        <w:ind w:firstLine="420" w:firstLineChars="200"/>
        <w:rPr>
          <w:color w:val="FF0000"/>
        </w:rPr>
      </w:pPr>
      <w:r>
        <w:rPr>
          <w:rFonts w:hint="eastAsia"/>
          <w:color w:val="FF0000"/>
        </w:rPr>
        <w:t>账号：</w:t>
      </w:r>
      <w:r>
        <w:rPr>
          <w:color w:val="FF0000"/>
        </w:rPr>
        <w:t>632766021</w:t>
      </w:r>
    </w:p>
    <w:p>
      <w:pPr>
        <w:ind w:firstLine="420" w:firstLineChars="200"/>
        <w:rPr>
          <w:color w:val="FF0000"/>
        </w:rPr>
      </w:pPr>
      <w:r>
        <w:rPr>
          <w:rFonts w:hint="eastAsia"/>
          <w:color w:val="FF0000"/>
        </w:rPr>
        <w:t>开户行：民生银行深圳五洲支行</w:t>
      </w:r>
    </w:p>
    <w:p>
      <w:pPr>
        <w:ind w:firstLine="422" w:firstLineChars="200"/>
        <w:rPr>
          <w:b/>
          <w:color w:val="FF0000"/>
        </w:rPr>
      </w:pPr>
      <w:r>
        <w:rPr>
          <w:rFonts w:hint="eastAsia"/>
          <w:b/>
          <w:color w:val="FF0000"/>
        </w:rPr>
        <w:t>转账备注：</w:t>
      </w:r>
    </w:p>
    <w:p>
      <w:pPr>
        <w:ind w:firstLine="420" w:firstLineChars="200"/>
        <w:rPr>
          <w:color w:val="FF0000"/>
        </w:rPr>
      </w:pPr>
      <w:r>
        <w:rPr>
          <w:rFonts w:hint="eastAsia"/>
          <w:color w:val="FF0000"/>
        </w:rPr>
        <w:t>项目编号+项目名称+中标（成交）金额+中标（成交）供应商名称</w:t>
      </w:r>
    </w:p>
    <w:p>
      <w:pPr>
        <w:ind w:firstLine="422" w:firstLineChars="200"/>
        <w:rPr>
          <w:b/>
        </w:rPr>
      </w:pPr>
      <w:r>
        <w:rPr>
          <w:rFonts w:hint="eastAsia"/>
          <w:b/>
        </w:rPr>
        <w:t>2、专家评审费</w:t>
      </w:r>
    </w:p>
    <w:p>
      <w:pPr>
        <w:pStyle w:val="32"/>
        <w:ind w:left="0" w:leftChars="0"/>
      </w:pPr>
      <w:r>
        <w:rPr>
          <w:rFonts w:hint="eastAsia"/>
        </w:rPr>
        <w:t>本项目专家评审费由采购单位支付，相关费用按照&lt;&lt;深圳市政府采购评审专家劳务报酬标准&gt;&gt;(深财购[2025]58号)执行。</w:t>
      </w:r>
    </w:p>
    <w:p>
      <w:pPr>
        <w:pStyle w:val="32"/>
        <w:ind w:left="0" w:leftChars="0"/>
      </w:pPr>
    </w:p>
    <w:p>
      <w:pPr>
        <w:widowControl/>
        <w:jc w:val="center"/>
        <w:rPr>
          <w:rFonts w:hint="eastAsia" w:ascii="黑体" w:hAnsi="黑体" w:eastAsia="黑体"/>
          <w:sz w:val="28"/>
          <w:szCs w:val="40"/>
        </w:rPr>
      </w:pPr>
      <w:r>
        <w:rPr>
          <w:rFonts w:hint="eastAsia" w:ascii="黑体" w:hAnsi="黑体" w:eastAsia="黑体"/>
          <w:sz w:val="28"/>
          <w:szCs w:val="40"/>
        </w:rPr>
        <w:t>订单融资情况</w:t>
      </w:r>
    </w:p>
    <w:p>
      <w:pPr>
        <w:widowControl/>
        <w:jc w:val="left"/>
        <w:rPr>
          <w:b/>
        </w:rPr>
      </w:pPr>
      <w:r>
        <w:rPr>
          <w:rFonts w:hint="eastAsia" w:ascii="宋体" w:hAnsi="宋体"/>
          <w:szCs w:val="21"/>
        </w:rPr>
        <w:t xml:space="preserve"> </w:t>
      </w:r>
      <w:r>
        <w:rPr>
          <w:rFonts w:hint="eastAsia"/>
          <w:b/>
        </w:rPr>
        <w:t xml:space="preserve">  </w:t>
      </w:r>
    </w:p>
    <w:p>
      <w:pPr>
        <w:ind w:firstLine="422" w:firstLineChars="200"/>
        <w:rPr>
          <w:b/>
          <w:bCs/>
        </w:rPr>
      </w:pPr>
      <w:r>
        <w:rPr>
          <w:rFonts w:hint="eastAsia"/>
          <w:b/>
          <w:bCs/>
        </w:rPr>
        <w:t>关于政府采购订单融资政策</w:t>
      </w:r>
    </w:p>
    <w:p>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6"/>
    <w:p>
      <w:pPr>
        <w:pStyle w:val="32"/>
      </w:pPr>
    </w:p>
    <w:p>
      <w:r>
        <w:rPr>
          <w:rFonts w:hint="eastAsia"/>
        </w:rPr>
        <w:br w:type="page"/>
      </w:r>
    </w:p>
    <w:p>
      <w:pPr>
        <w:pStyle w:val="3"/>
        <w:rPr>
          <w:rFonts w:hint="eastAsia"/>
        </w:rPr>
      </w:pPr>
      <w:r>
        <w:rPr>
          <w:rFonts w:hint="eastAsia"/>
        </w:rPr>
        <w:t>第一册  招标项目需求</w:t>
      </w:r>
    </w:p>
    <w:p>
      <w:pPr>
        <w:pStyle w:val="6"/>
        <w:rPr>
          <w:rFonts w:hint="eastAsia"/>
        </w:rPr>
      </w:pPr>
      <w:r>
        <w:rPr>
          <w:rFonts w:hint="eastAsia"/>
        </w:rPr>
        <w:t>第一章  招标公告</w:t>
      </w:r>
    </w:p>
    <w:p>
      <w:pPr>
        <w:ind w:firstLine="482" w:firstLineChars="200"/>
        <w:rPr>
          <w:rFonts w:hint="eastAsia" w:ascii="宋体" w:hAnsi="宋体" w:cs="宋体"/>
          <w:b/>
          <w:color w:val="FF0000"/>
          <w:kern w:val="0"/>
          <w:sz w:val="24"/>
          <w:szCs w:val="21"/>
        </w:rPr>
      </w:pPr>
      <w:bookmarkStart w:id="8"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pPr>
        <w:ind w:firstLine="420" w:firstLineChars="200"/>
        <w:rPr>
          <w:rFonts w:hint="eastAsia" w:cs="宋体" w:asciiTheme="minorEastAsia" w:hAnsiTheme="minorEastAsia" w:eastAsiaTheme="minorEastAsia"/>
          <w:kern w:val="0"/>
        </w:rPr>
      </w:pPr>
    </w:p>
    <w:p>
      <w:pPr>
        <w:ind w:firstLine="420" w:firstLineChars="200"/>
        <w:rPr>
          <w:rFonts w:hint="eastAsia" w:cs="宋体" w:asciiTheme="minorEastAsia" w:hAnsiTheme="minorEastAsia" w:eastAsiaTheme="minorEastAsia"/>
          <w:kern w:val="0"/>
        </w:rPr>
      </w:pPr>
      <w:bookmarkStart w:id="9" w:name="OLE_LINK35"/>
      <w:r>
        <w:rPr>
          <w:rFonts w:hint="eastAsia" w:cs="宋体" w:asciiTheme="minorEastAsia" w:hAnsiTheme="minorEastAsia" w:eastAsiaTheme="minorEastAsia"/>
          <w:kern w:val="0"/>
        </w:rPr>
        <w:t>1.具有独立承担民事责任的能力（提供营业执照或事业单位法人证书等证明资料扫描件，原件备查，分支机构参与投标的，须同时提供总部授权文件且授权书载明其民事责任由总公司承担）；</w:t>
      </w:r>
    </w:p>
    <w:p>
      <w:pPr>
        <w:ind w:firstLine="420" w:firstLineChars="200"/>
        <w:rPr>
          <w:rFonts w:hint="eastAsia" w:cs="宋体" w:asciiTheme="minorEastAsia" w:hAnsiTheme="minorEastAsia" w:eastAsiaTheme="minorEastAsia"/>
          <w:color w:val="FF0000"/>
          <w:kern w:val="0"/>
        </w:rPr>
      </w:pPr>
      <w:r>
        <w:rPr>
          <w:rFonts w:hint="eastAsia" w:cs="宋体" w:asciiTheme="minorEastAsia" w:hAnsiTheme="minorEastAsia" w:eastAsiaTheme="minorEastAsia"/>
          <w:color w:val="FF0000"/>
          <w:kern w:val="0"/>
        </w:rPr>
        <w:t>2.本项目不接受联合体投标，不允许非主体非关键性工作分包，禁止转包，是否允许投标人选用进口产品参与投标以招标文件“第二章 项目需求书”为准（由供应商在《政府采购投标及履约承诺函》中作出声明）；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3、参与本项目政府采购活动时不存在被有关部门禁止参与政府采购活动且在有效期内的情况（由供应商在《政府采购投标及履约承诺函》中作出声明）；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4.具备《中华人民共和国政府采购法》第二十二条第一款的条件（由供应商在《政府采购投标及履约承诺函》中作出声明）；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5.未被列入失信被执行人、重大税收违法案件当事人名单、政府采购严重违法失信行为记录名单（由供应商在《政府采购投标及履约承诺函》中作出声明）；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6.不存在《深圳市财政局政府采购供应商信用信息管理办法》（深财规〔2023〕3号）列明的严重违法失信行为（由供应商在《政府采购投标及履约承诺函》中作出声明）；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7.为采购项目提供整体设计、规范编制或者项目管理、监理、检测等服务的供应商，不得再参加该采购项目的其他采购活动（由供应商在《政府采购投标及履约承诺函》中作出声明）；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cs="宋体"/>
          <w:kern w:val="0"/>
          <w:szCs w:val="21"/>
        </w:rPr>
      </w:pPr>
      <w:r>
        <w:rPr>
          <w:rFonts w:hint="eastAsia" w:ascii="宋体" w:hAnsi="宋体" w:cs="宋体"/>
          <w:kern w:val="0"/>
          <w:szCs w:val="21"/>
        </w:rPr>
        <w:t>9.本项目全部专门面向中小企业采购：否。</w:t>
      </w:r>
    </w:p>
    <w:p>
      <w:pPr>
        <w:widowControl/>
        <w:ind w:firstLine="420" w:firstLineChars="200"/>
        <w:jc w:val="left"/>
        <w:rPr>
          <w:rFonts w:hint="eastAsia"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0" w:name="OLE_LINK27"/>
    </w:p>
    <w:p>
      <w:pPr>
        <w:widowControl/>
        <w:ind w:firstLine="420" w:firstLineChars="200"/>
        <w:jc w:val="left"/>
      </w:pPr>
      <w:r>
        <w:rPr>
          <w:rFonts w:hint="eastAsia" w:ascii="宋体" w:hAnsi="宋体"/>
        </w:rPr>
        <w:t>（2）</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9"/>
    <w:bookmarkEnd w:id="10"/>
    <w:p>
      <w:pPr>
        <w:rPr>
          <w:rFonts w:hint="eastAsia" w:ascii="宋体" w:hAnsi="宋体" w:cs="宋体"/>
          <w:b/>
          <w:color w:val="FF0000"/>
          <w:kern w:val="0"/>
          <w:szCs w:val="21"/>
          <w:highlight w:val="yellow"/>
        </w:rPr>
      </w:pPr>
    </w:p>
    <w:p>
      <w:pPr>
        <w:widowControl/>
        <w:jc w:val="left"/>
        <w:rPr>
          <w:rFonts w:hint="eastAsia" w:ascii="宋体" w:hAnsi="宋体" w:cs="宋体"/>
          <w:kern w:val="0"/>
          <w:szCs w:val="21"/>
        </w:rPr>
      </w:pPr>
      <w:r>
        <w:rPr>
          <w:rFonts w:hint="eastAsia"/>
          <w:b/>
          <w:sz w:val="22"/>
          <w:szCs w:val="18"/>
        </w:rPr>
        <w:t>完整公告内容详见：</w:t>
      </w:r>
      <w:bookmarkStart w:id="11" w:name="OLE_LINK3"/>
      <w:r>
        <w:rPr>
          <w:rFonts w:hint="eastAsia"/>
          <w:b/>
          <w:color w:val="FF0000"/>
          <w:sz w:val="22"/>
          <w:szCs w:val="18"/>
        </w:rPr>
        <w:t>深圳交易集团罗湖分公司官网https://lh.szexgrp.com/jyfw/zfcg-view.html?id=zfcg</w:t>
      </w:r>
      <w:bookmarkEnd w:id="8"/>
      <w:bookmarkEnd w:id="11"/>
      <w:r>
        <w:rPr>
          <w:rFonts w:ascii="宋体" w:hAnsi="宋体" w:cs="宋体"/>
          <w:kern w:val="0"/>
          <w:szCs w:val="21"/>
        </w:rPr>
        <w:br w:type="page"/>
      </w:r>
    </w:p>
    <w:p>
      <w:pPr>
        <w:ind w:firstLine="420" w:firstLineChars="200"/>
        <w:rPr>
          <w:rFonts w:hint="eastAsia" w:ascii="宋体" w:hAnsi="宋体" w:cs="宋体"/>
          <w:kern w:val="0"/>
          <w:szCs w:val="21"/>
        </w:rPr>
      </w:pPr>
    </w:p>
    <w:p>
      <w:pPr>
        <w:pStyle w:val="6"/>
        <w:rPr>
          <w:rFonts w:hint="eastAsia"/>
        </w:rPr>
      </w:pPr>
      <w:r>
        <w:rPr>
          <w:rFonts w:hint="eastAsia"/>
        </w:rPr>
        <w:t>第二章  项目需求书</w:t>
      </w:r>
    </w:p>
    <w:p>
      <w:pPr>
        <w:pStyle w:val="4"/>
        <w:jc w:val="center"/>
        <w:rPr>
          <w:rFonts w:hint="eastAsia" w:ascii="黑体" w:eastAsia="黑体"/>
          <w:b w:val="0"/>
          <w:kern w:val="0"/>
          <w:sz w:val="24"/>
        </w:rPr>
      </w:pPr>
      <w:bookmarkStart w:id="12" w:name="_Toc128884461"/>
      <w:r>
        <w:rPr>
          <w:rFonts w:hint="eastAsia" w:ascii="黑体" w:eastAsia="黑体"/>
          <w:b w:val="0"/>
          <w:kern w:val="0"/>
          <w:sz w:val="24"/>
        </w:rPr>
        <w:t>一、</w:t>
      </w:r>
      <w:bookmarkEnd w:id="12"/>
      <w:r>
        <w:rPr>
          <w:rFonts w:hint="eastAsia" w:ascii="黑体" w:eastAsia="黑体"/>
          <w:b w:val="0"/>
          <w:kern w:val="0"/>
          <w:sz w:val="24"/>
        </w:rPr>
        <w:t>项目情况介绍</w:t>
      </w:r>
    </w:p>
    <w:p>
      <w:pPr>
        <w:pStyle w:val="5"/>
        <w:jc w:val="center"/>
        <w:rPr>
          <w:b w:val="0"/>
          <w:bCs w:val="0"/>
          <w:sz w:val="24"/>
          <w:szCs w:val="24"/>
        </w:rPr>
      </w:pPr>
      <w:r>
        <w:rPr>
          <w:rFonts w:hint="eastAsia"/>
          <w:b w:val="0"/>
          <w:bCs w:val="0"/>
          <w:sz w:val="24"/>
          <w:szCs w:val="24"/>
        </w:rPr>
        <w:t>（一）项目</w:t>
      </w:r>
      <w:bookmarkStart w:id="13" w:name="_Toc128884464"/>
      <w:r>
        <w:rPr>
          <w:rFonts w:hint="eastAsia"/>
          <w:b w:val="0"/>
          <w:bCs w:val="0"/>
          <w:sz w:val="24"/>
          <w:szCs w:val="24"/>
        </w:rPr>
        <w:t>概况</w:t>
      </w:r>
    </w:p>
    <w:p>
      <w:pPr>
        <w:pStyle w:val="19"/>
        <w:spacing w:line="240" w:lineRule="auto"/>
      </w:pPr>
      <w:r>
        <w:rPr>
          <w:rFonts w:hint="eastAsia" w:ascii="宋体" w:hAnsi="宋体"/>
          <w:color w:val="000000"/>
          <w:szCs w:val="21"/>
        </w:rPr>
        <w:t>1、</w:t>
      </w:r>
      <w:r>
        <w:rPr>
          <w:rFonts w:hint="eastAsia"/>
        </w:rPr>
        <w:t>采购单位：</w:t>
      </w:r>
      <w:r>
        <w:rPr>
          <w:rFonts w:hint="eastAsia"/>
          <w:u w:val="single"/>
        </w:rPr>
        <w:t xml:space="preserve"> 深圳市罗湖区清水河街道办事处</w:t>
      </w:r>
    </w:p>
    <w:p>
      <w:pPr>
        <w:ind w:firstLine="420" w:firstLineChars="200"/>
      </w:pPr>
      <w:r>
        <w:rPr>
          <w:rFonts w:hint="eastAsia" w:ascii="宋体" w:hAnsi="宋体"/>
          <w:color w:val="000000"/>
          <w:szCs w:val="21"/>
        </w:rPr>
        <w:t>2、</w:t>
      </w:r>
      <w:r>
        <w:rPr>
          <w:rFonts w:hint="eastAsia"/>
        </w:rPr>
        <w:t>项目关键信息：</w:t>
      </w:r>
    </w:p>
    <w:p>
      <w:pPr>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rPr>
        <w:t>500000</w:t>
      </w:r>
      <w:r>
        <w:rPr>
          <w:rFonts w:hint="eastAsia" w:ascii="宋体" w:hAnsi="宋体"/>
          <w:snapToGrid w:val="0"/>
          <w:color w:val="FF0000"/>
          <w:kern w:val="0"/>
        </w:rPr>
        <w:t>元；</w:t>
      </w:r>
    </w:p>
    <w:p>
      <w:pPr>
        <w:pStyle w:val="15"/>
        <w:ind w:firstLine="840" w:firstLineChars="400"/>
      </w:pPr>
      <w:r>
        <w:rPr>
          <w:rFonts w:hint="eastAsia" w:ascii="宋体" w:hAnsi="宋体"/>
          <w:snapToGrid w:val="0"/>
          <w:color w:val="FF0000"/>
          <w:kern w:val="0"/>
        </w:rPr>
        <w:t>（2）</w:t>
      </w:r>
      <w:r>
        <w:rPr>
          <w:rFonts w:hint="eastAsia" w:ascii="宋体" w:hAnsi="宋体"/>
          <w:color w:val="FF0000"/>
        </w:rPr>
        <w:t>★本项目合同期为自签订之日起一年。本项目为长期服务项目，长期服务政府采购合同履行期限最长不得超过三十六个月。如甲方对履约情况不满意，甲方不再续约。</w:t>
      </w:r>
    </w:p>
    <w:p>
      <w:pPr>
        <w:jc w:val="center"/>
        <w:rPr>
          <w:b/>
        </w:rPr>
      </w:pPr>
      <w:r>
        <w:rPr>
          <w:rFonts w:hint="eastAsia"/>
          <w:b/>
        </w:rPr>
        <w:t>（二）实质性条款</w:t>
      </w:r>
    </w:p>
    <w:p>
      <w:pPr>
        <w:jc w:val="center"/>
        <w:rPr>
          <w:b/>
        </w:rPr>
      </w:pP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宋体" w:hAnsi="宋体"/>
                <w:szCs w:val="21"/>
              </w:rPr>
            </w:pPr>
            <w:r>
              <w:rPr>
                <w:rFonts w:ascii="宋体" w:hAnsi="宋体"/>
                <w:szCs w:val="21"/>
              </w:rPr>
              <w:t>序号</w:t>
            </w:r>
          </w:p>
        </w:tc>
        <w:tc>
          <w:tcPr>
            <w:tcW w:w="7513" w:type="dxa"/>
          </w:tcPr>
          <w:p>
            <w:pPr>
              <w:adjustRightInd w:val="0"/>
              <w:snapToGrid w:val="0"/>
              <w:spacing w:line="360" w:lineRule="auto"/>
              <w:jc w:val="center"/>
              <w:rPr>
                <w:rFonts w:hint="eastAsia" w:ascii="宋体" w:hAnsi="宋体"/>
                <w:b/>
                <w:kern w:val="0"/>
                <w:szCs w:val="21"/>
              </w:rPr>
            </w:pPr>
            <w:r>
              <w:rPr>
                <w:rFonts w:hint="eastAsia" w:ascii="宋体" w:hAnsi="宋体"/>
                <w:b/>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宋体" w:hAnsi="宋体"/>
                <w:szCs w:val="21"/>
              </w:rPr>
            </w:pPr>
            <w:r>
              <w:rPr>
                <w:rFonts w:hint="eastAsia" w:ascii="宋体" w:hAnsi="宋体"/>
                <w:szCs w:val="21"/>
              </w:rPr>
              <w:t>1</w:t>
            </w:r>
          </w:p>
        </w:tc>
        <w:tc>
          <w:tcPr>
            <w:tcW w:w="7513" w:type="dxa"/>
          </w:tcPr>
          <w:p>
            <w:pPr>
              <w:rPr>
                <w:rFonts w:hint="eastAsia" w:hAnsi="宋体" w:eastAsiaTheme="minorEastAsia"/>
                <w:kern w:val="0"/>
                <w:szCs w:val="21"/>
              </w:rPr>
            </w:pPr>
            <w:r>
              <w:rPr>
                <w:rFonts w:hint="eastAsia"/>
                <w:color w:val="FF0000"/>
                <w:szCs w:val="21"/>
              </w:rPr>
              <w:t>★</w:t>
            </w:r>
            <w:r>
              <w:rPr>
                <w:rFonts w:hint="eastAsia"/>
                <w:color w:val="FF0000"/>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宋体" w:hAnsi="宋体"/>
                <w:szCs w:val="21"/>
              </w:rPr>
            </w:pPr>
            <w:r>
              <w:rPr>
                <w:rFonts w:ascii="宋体" w:hAnsi="宋体"/>
                <w:szCs w:val="21"/>
              </w:rPr>
              <w:t>2</w:t>
            </w:r>
          </w:p>
        </w:tc>
        <w:tc>
          <w:tcPr>
            <w:tcW w:w="7513" w:type="dxa"/>
          </w:tcPr>
          <w:p>
            <w:pPr>
              <w:jc w:val="left"/>
              <w:rPr>
                <w:rFonts w:hint="eastAsia"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pPr>
        <w:rPr>
          <w:b/>
        </w:rPr>
      </w:pPr>
      <w:r>
        <w:rPr>
          <w:rFonts w:hint="eastAsia"/>
          <w:b/>
        </w:rPr>
        <w:t>注：上表所列内容为不可负偏离条款，负偏离将视为未实质性满足招标文件要求作投标无效处理。</w:t>
      </w:r>
    </w:p>
    <w:p>
      <w:pPr>
        <w:pStyle w:val="32"/>
        <w:spacing w:line="360" w:lineRule="auto"/>
        <w:ind w:left="0" w:leftChars="0"/>
      </w:pPr>
    </w:p>
    <w:p>
      <w:pPr>
        <w:pStyle w:val="4"/>
        <w:jc w:val="center"/>
        <w:rPr>
          <w:rFonts w:hint="eastAsia" w:ascii="黑体" w:eastAsia="黑体"/>
          <w:b w:val="0"/>
          <w:kern w:val="0"/>
          <w:sz w:val="24"/>
        </w:rPr>
      </w:pPr>
      <w:r>
        <w:rPr>
          <w:rFonts w:hint="eastAsia" w:ascii="黑体" w:eastAsia="黑体"/>
          <w:b w:val="0"/>
          <w:kern w:val="0"/>
          <w:sz w:val="24"/>
        </w:rPr>
        <w:t>二、项目技术及管理要求</w:t>
      </w:r>
    </w:p>
    <w:p>
      <w:pPr>
        <w:pStyle w:val="89"/>
        <w:rPr>
          <w:rFonts w:hint="eastAsia" w:ascii="宋体" w:hAnsi="宋体"/>
          <w:snapToGrid w:val="0"/>
          <w:kern w:val="0"/>
        </w:rPr>
      </w:pPr>
      <w:r>
        <w:rPr>
          <w:rFonts w:hint="eastAsia" w:ascii="宋体" w:hAnsi="宋体"/>
          <w:snapToGrid w:val="0"/>
          <w:kern w:val="0"/>
        </w:rPr>
        <w:t>（一）服务场所</w:t>
      </w:r>
    </w:p>
    <w:p>
      <w:pPr>
        <w:autoSpaceDE w:val="0"/>
        <w:autoSpaceDN w:val="0"/>
        <w:spacing w:before="292" w:line="560" w:lineRule="exact"/>
        <w:jc w:val="left"/>
        <w:rPr>
          <w:rFonts w:hint="eastAsia" w:ascii="宋体" w:hAnsi="宋体"/>
          <w:snapToGrid w:val="0"/>
          <w:kern w:val="0"/>
        </w:rPr>
      </w:pPr>
      <w:r>
        <w:rPr>
          <w:rFonts w:hint="eastAsia" w:ascii="宋体" w:hAnsi="宋体"/>
          <w:snapToGrid w:val="0"/>
          <w:kern w:val="0"/>
        </w:rPr>
        <w:t>单位名称：深圳市罗湖区清水河街道办事处</w:t>
      </w:r>
    </w:p>
    <w:p>
      <w:pPr>
        <w:autoSpaceDE w:val="0"/>
        <w:autoSpaceDN w:val="0"/>
        <w:spacing w:before="295" w:line="560" w:lineRule="exact"/>
        <w:jc w:val="left"/>
        <w:rPr>
          <w:rFonts w:hint="eastAsia" w:ascii="宋体" w:hAnsi="宋体"/>
          <w:snapToGrid w:val="0"/>
          <w:kern w:val="0"/>
        </w:rPr>
      </w:pPr>
      <w:r>
        <w:rPr>
          <w:rFonts w:hint="eastAsia" w:ascii="宋体" w:hAnsi="宋体"/>
          <w:snapToGrid w:val="0"/>
          <w:kern w:val="0"/>
        </w:rPr>
        <w:t>服务地址：</w:t>
      </w:r>
      <w:r>
        <w:rPr>
          <w:rStyle w:val="39"/>
          <w:rFonts w:hint="eastAsia"/>
        </w:rPr>
        <w:t>深圳市罗湖器清水河街道坭岗西路1046号鸿颖大厦7楼</w:t>
      </w:r>
    </w:p>
    <w:p>
      <w:pPr>
        <w:autoSpaceDE w:val="0"/>
        <w:autoSpaceDN w:val="0"/>
        <w:spacing w:before="295" w:line="560" w:lineRule="exact"/>
        <w:jc w:val="left"/>
        <w:outlineLvl w:val="0"/>
        <w:rPr>
          <w:rFonts w:hint="eastAsia" w:ascii="宋体" w:hAnsi="宋体"/>
          <w:snapToGrid w:val="0"/>
          <w:kern w:val="0"/>
        </w:rPr>
      </w:pPr>
      <w:r>
        <w:rPr>
          <w:rFonts w:hint="eastAsia" w:ascii="宋体" w:hAnsi="宋体"/>
          <w:snapToGrid w:val="0"/>
          <w:kern w:val="0"/>
        </w:rPr>
        <w:t>（二）主要设备</w:t>
      </w:r>
    </w:p>
    <w:p>
      <w:pPr>
        <w:autoSpaceDE w:val="0"/>
        <w:autoSpaceDN w:val="0"/>
        <w:spacing w:before="295" w:line="560" w:lineRule="exact"/>
        <w:ind w:firstLine="420" w:firstLineChars="200"/>
        <w:jc w:val="left"/>
        <w:outlineLvl w:val="0"/>
        <w:rPr>
          <w:rFonts w:hint="eastAsia" w:ascii="宋体" w:hAnsi="宋体"/>
          <w:snapToGrid w:val="0"/>
          <w:kern w:val="0"/>
        </w:rPr>
      </w:pPr>
      <w:r>
        <w:rPr>
          <w:rFonts w:hint="eastAsia" w:ascii="宋体" w:hAnsi="宋体"/>
          <w:snapToGrid w:val="0"/>
          <w:kern w:val="0"/>
        </w:rPr>
        <w:t>饭堂设备及用具由甲方免费提供，饭堂设备非自然损耗(如丢失、 人为损坏等)由乙方赔偿。</w:t>
      </w:r>
    </w:p>
    <w:p>
      <w:pPr>
        <w:autoSpaceDE w:val="0"/>
        <w:autoSpaceDN w:val="0"/>
        <w:spacing w:before="1" w:line="560" w:lineRule="exact"/>
        <w:jc w:val="left"/>
        <w:outlineLvl w:val="0"/>
        <w:rPr>
          <w:rFonts w:hint="eastAsia" w:ascii="宋体" w:hAnsi="宋体"/>
          <w:snapToGrid w:val="0"/>
          <w:kern w:val="0"/>
        </w:rPr>
      </w:pPr>
      <w:r>
        <w:rPr>
          <w:rFonts w:hint="eastAsia" w:ascii="宋体" w:hAnsi="宋体"/>
          <w:snapToGrid w:val="0"/>
          <w:kern w:val="0"/>
        </w:rPr>
        <w:t>（三）食堂服务人员相关要求：</w:t>
      </w:r>
    </w:p>
    <w:p>
      <w:pPr>
        <w:widowControl/>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1.所有人员应通过卫生防疫部门的体检，并领取饮食行业健康证或卫生知识培训合格证，且将原件交采购人查验后才能上岗，复印件交采购人存档。拟安排人员需中标供应商与街道协商，人选须经街道面试认可。</w:t>
      </w:r>
    </w:p>
    <w:p>
      <w:pPr>
        <w:pStyle w:val="20"/>
        <w:adjustRightInd w:val="0"/>
        <w:snapToGrid w:val="0"/>
        <w:spacing w:line="360" w:lineRule="auto"/>
        <w:ind w:firstLine="420" w:firstLineChars="200"/>
        <w:rPr>
          <w:rFonts w:hint="eastAsia" w:hAnsi="宋体"/>
          <w:snapToGrid w:val="0"/>
          <w:kern w:val="0"/>
          <w:szCs w:val="24"/>
        </w:rPr>
      </w:pPr>
      <w:r>
        <w:rPr>
          <w:rFonts w:hint="eastAsia" w:hAnsi="宋体"/>
          <w:snapToGrid w:val="0"/>
          <w:kern w:val="0"/>
          <w:szCs w:val="24"/>
        </w:rPr>
        <w:t>2.食堂人员要保持良好个人卫生，生产经营食品时，应当将手洗净，穿戴清洁的工作衣、帽及口罩，配餐时戴手套操作；不得留长指甲、佩戴饰物，手部有外伤的人员不得从事食品生产经营活动。</w:t>
      </w:r>
    </w:p>
    <w:p>
      <w:pPr>
        <w:pStyle w:val="20"/>
        <w:adjustRightInd w:val="0"/>
        <w:snapToGrid w:val="0"/>
        <w:spacing w:line="360" w:lineRule="auto"/>
        <w:ind w:firstLine="420" w:firstLineChars="200"/>
        <w:rPr>
          <w:rFonts w:hint="eastAsia" w:hAnsi="宋体"/>
          <w:snapToGrid w:val="0"/>
          <w:kern w:val="0"/>
          <w:szCs w:val="24"/>
        </w:rPr>
      </w:pPr>
      <w:r>
        <w:rPr>
          <w:rFonts w:hint="eastAsia" w:hAnsi="宋体"/>
          <w:snapToGrid w:val="0"/>
          <w:kern w:val="0"/>
          <w:szCs w:val="24"/>
        </w:rPr>
        <w:t>3.符合国家用工规定。</w:t>
      </w:r>
    </w:p>
    <w:p>
      <w:pPr>
        <w:pStyle w:val="20"/>
        <w:adjustRightInd w:val="0"/>
        <w:snapToGrid w:val="0"/>
        <w:spacing w:line="360" w:lineRule="auto"/>
        <w:ind w:firstLine="420" w:firstLineChars="200"/>
        <w:rPr>
          <w:rFonts w:hint="eastAsia" w:hAnsi="宋体"/>
          <w:snapToGrid w:val="0"/>
          <w:kern w:val="0"/>
          <w:szCs w:val="24"/>
        </w:rPr>
      </w:pPr>
      <w:r>
        <w:rPr>
          <w:rFonts w:hint="eastAsia" w:hAnsi="宋体"/>
          <w:snapToGrid w:val="0"/>
          <w:kern w:val="0"/>
          <w:szCs w:val="24"/>
        </w:rPr>
        <w:t>4.如因用工引起的劳动纠纷问题由中标人负责解决并承担相关责任。</w:t>
      </w:r>
    </w:p>
    <w:p>
      <w:pPr>
        <w:pStyle w:val="20"/>
        <w:adjustRightInd w:val="0"/>
        <w:snapToGrid w:val="0"/>
        <w:spacing w:line="360" w:lineRule="auto"/>
        <w:rPr>
          <w:rFonts w:hint="eastAsia" w:hAnsi="宋体"/>
          <w:snapToGrid w:val="0"/>
          <w:kern w:val="0"/>
          <w:szCs w:val="24"/>
        </w:rPr>
      </w:pPr>
      <w:r>
        <w:rPr>
          <w:rFonts w:hint="eastAsia" w:hAnsi="宋体"/>
          <w:snapToGrid w:val="0"/>
          <w:kern w:val="0"/>
          <w:szCs w:val="24"/>
        </w:rPr>
        <w:t>（四）岗位需求</w:t>
      </w:r>
    </w:p>
    <w:tbl>
      <w:tblPr>
        <w:tblStyle w:val="34"/>
        <w:tblW w:w="5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2" w:type="dxa"/>
          </w:tcPr>
          <w:p>
            <w:pPr>
              <w:pStyle w:val="20"/>
              <w:adjustRightInd w:val="0"/>
              <w:snapToGrid w:val="0"/>
              <w:spacing w:line="360" w:lineRule="auto"/>
              <w:ind w:firstLine="440"/>
              <w:rPr>
                <w:rFonts w:hint="eastAsia" w:ascii="CESI仿宋-GB2312" w:hAnsi="CESI仿宋-GB2312" w:eastAsia="CESI仿宋-GB2312" w:cs="CESI仿宋-GB2312"/>
                <w:bCs/>
                <w:sz w:val="22"/>
                <w:szCs w:val="22"/>
              </w:rPr>
            </w:pPr>
            <w:r>
              <w:rPr>
                <w:rFonts w:hint="eastAsia" w:ascii="CESI仿宋-GB2312" w:hAnsi="CESI仿宋-GB2312" w:eastAsia="CESI仿宋-GB2312" w:cs="CESI仿宋-GB2312"/>
                <w:bCs/>
                <w:sz w:val="22"/>
                <w:szCs w:val="22"/>
              </w:rPr>
              <w:t>岗位名称</w:t>
            </w:r>
          </w:p>
        </w:tc>
        <w:tc>
          <w:tcPr>
            <w:tcW w:w="2952" w:type="dxa"/>
          </w:tcPr>
          <w:p>
            <w:pPr>
              <w:pStyle w:val="20"/>
              <w:adjustRightInd w:val="0"/>
              <w:snapToGrid w:val="0"/>
              <w:spacing w:line="360" w:lineRule="auto"/>
              <w:ind w:firstLine="440"/>
              <w:rPr>
                <w:rFonts w:hint="eastAsia" w:ascii="CESI仿宋-GB2312" w:hAnsi="CESI仿宋-GB2312" w:eastAsia="CESI仿宋-GB2312" w:cs="CESI仿宋-GB2312"/>
                <w:bCs/>
                <w:sz w:val="22"/>
                <w:szCs w:val="22"/>
              </w:rPr>
            </w:pPr>
            <w:r>
              <w:rPr>
                <w:rFonts w:hint="eastAsia" w:ascii="CESI仿宋-GB2312" w:hAnsi="CESI仿宋-GB2312" w:eastAsia="CESI仿宋-GB2312" w:cs="CESI仿宋-GB2312"/>
                <w:bCs/>
                <w:sz w:val="22"/>
                <w:szCs w:val="22"/>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2" w:type="dxa"/>
          </w:tcPr>
          <w:p>
            <w:pPr>
              <w:pStyle w:val="20"/>
              <w:adjustRightInd w:val="0"/>
              <w:snapToGrid w:val="0"/>
              <w:spacing w:line="360" w:lineRule="auto"/>
              <w:rPr>
                <w:rFonts w:hint="eastAsia" w:ascii="CESI仿宋-GB2312" w:hAnsi="CESI仿宋-GB2312" w:eastAsia="CESI仿宋-GB2312" w:cs="CESI仿宋-GB2312"/>
                <w:bCs/>
                <w:sz w:val="22"/>
                <w:szCs w:val="22"/>
              </w:rPr>
            </w:pPr>
            <w:r>
              <w:rPr>
                <w:rFonts w:hint="eastAsia" w:ascii="CESI仿宋-GB2312" w:hAnsi="CESI仿宋-GB2312" w:eastAsia="CESI仿宋-GB2312" w:cs="CESI仿宋-GB2312"/>
                <w:spacing w:val="-5"/>
                <w:sz w:val="22"/>
                <w:szCs w:val="22"/>
              </w:rPr>
              <w:t>厨师</w:t>
            </w:r>
          </w:p>
        </w:tc>
        <w:tc>
          <w:tcPr>
            <w:tcW w:w="2952" w:type="dxa"/>
          </w:tcPr>
          <w:p>
            <w:pPr>
              <w:pStyle w:val="20"/>
              <w:adjustRightInd w:val="0"/>
              <w:snapToGrid w:val="0"/>
              <w:spacing w:line="360" w:lineRule="auto"/>
              <w:ind w:firstLine="440"/>
              <w:rPr>
                <w:rFonts w:hint="eastAsia" w:ascii="CESI仿宋-GB2312" w:hAnsi="CESI仿宋-GB2312" w:eastAsia="CESI仿宋-GB2312" w:cs="CESI仿宋-GB2312"/>
                <w:bCs/>
                <w:sz w:val="22"/>
                <w:szCs w:val="22"/>
              </w:rPr>
            </w:pPr>
            <w:r>
              <w:rPr>
                <w:rFonts w:hint="eastAsia" w:ascii="CESI仿宋-GB2312" w:hAnsi="CESI仿宋-GB2312" w:eastAsia="CESI仿宋-GB2312" w:cs="CESI仿宋-GB2312"/>
                <w:bCs/>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2" w:type="dxa"/>
          </w:tcPr>
          <w:p>
            <w:pPr>
              <w:pStyle w:val="20"/>
              <w:adjustRightInd w:val="0"/>
              <w:snapToGrid w:val="0"/>
              <w:spacing w:line="360" w:lineRule="auto"/>
              <w:rPr>
                <w:rFonts w:hint="eastAsia" w:ascii="CESI仿宋-GB2312" w:hAnsi="CESI仿宋-GB2312" w:eastAsia="CESI仿宋-GB2312" w:cs="CESI仿宋-GB2312"/>
                <w:bCs/>
                <w:sz w:val="22"/>
                <w:szCs w:val="22"/>
              </w:rPr>
            </w:pPr>
            <w:r>
              <w:rPr>
                <w:rFonts w:hint="eastAsia" w:ascii="CESI仿宋-GB2312" w:hAnsi="CESI仿宋-GB2312" w:eastAsia="CESI仿宋-GB2312" w:cs="CESI仿宋-GB2312"/>
                <w:spacing w:val="-5"/>
                <w:sz w:val="22"/>
                <w:szCs w:val="22"/>
              </w:rPr>
              <w:t>厨工</w:t>
            </w:r>
          </w:p>
        </w:tc>
        <w:tc>
          <w:tcPr>
            <w:tcW w:w="2952" w:type="dxa"/>
          </w:tcPr>
          <w:p>
            <w:pPr>
              <w:pStyle w:val="20"/>
              <w:adjustRightInd w:val="0"/>
              <w:snapToGrid w:val="0"/>
              <w:spacing w:line="360" w:lineRule="auto"/>
              <w:ind w:firstLine="440"/>
              <w:rPr>
                <w:rFonts w:hint="eastAsia" w:ascii="CESI仿宋-GB2312" w:hAnsi="CESI仿宋-GB2312" w:eastAsia="CESI仿宋-GB2312" w:cs="CESI仿宋-GB2312"/>
                <w:bCs/>
                <w:sz w:val="22"/>
                <w:szCs w:val="22"/>
              </w:rPr>
            </w:pPr>
            <w:r>
              <w:rPr>
                <w:rFonts w:hint="eastAsia" w:ascii="CESI仿宋-GB2312" w:hAnsi="CESI仿宋-GB2312" w:eastAsia="CESI仿宋-GB2312" w:cs="CESI仿宋-GB2312"/>
                <w:bCs/>
                <w:sz w:val="22"/>
                <w:szCs w:val="22"/>
              </w:rPr>
              <w:t>3</w:t>
            </w:r>
          </w:p>
        </w:tc>
      </w:tr>
    </w:tbl>
    <w:p>
      <w:pPr>
        <w:pStyle w:val="89"/>
        <w:ind w:firstLine="420" w:firstLineChars="200"/>
        <w:rPr>
          <w:rFonts w:hint="eastAsia" w:ascii="宋体" w:hAnsi="宋体"/>
          <w:snapToGrid w:val="0"/>
          <w:kern w:val="0"/>
        </w:rPr>
      </w:pPr>
      <w:r>
        <w:rPr>
          <w:rFonts w:hint="eastAsia" w:ascii="宋体" w:hAnsi="宋体"/>
          <w:snapToGrid w:val="0"/>
          <w:kern w:val="0"/>
        </w:rPr>
        <w:t>食堂人工服务包括食材烹饪、人员招聘、厨具餐具的清洁维护保养、厨房场所的保洁等。中标人按时完成采购人要求的开膳工作，为街道职工提供餐饮服务。</w:t>
      </w:r>
    </w:p>
    <w:p>
      <w:pPr>
        <w:pStyle w:val="89"/>
        <w:rPr>
          <w:rFonts w:hint="eastAsia" w:ascii="宋体" w:hAnsi="宋体"/>
          <w:snapToGrid w:val="0"/>
          <w:kern w:val="0"/>
        </w:rPr>
      </w:pPr>
      <w:r>
        <w:rPr>
          <w:rFonts w:hint="eastAsia" w:ascii="宋体" w:hAnsi="宋体"/>
          <w:snapToGrid w:val="0"/>
          <w:kern w:val="0"/>
        </w:rPr>
        <w:t>（五）各岗位人员具体工作职责：</w:t>
      </w:r>
    </w:p>
    <w:p>
      <w:pPr>
        <w:pStyle w:val="89"/>
        <w:rPr>
          <w:rFonts w:hint="eastAsia" w:ascii="宋体" w:hAnsi="宋体"/>
          <w:snapToGrid w:val="0"/>
          <w:kern w:val="0"/>
        </w:rPr>
      </w:pPr>
      <w:r>
        <w:rPr>
          <w:rFonts w:hint="eastAsia" w:ascii="宋体" w:hAnsi="宋体"/>
          <w:snapToGrid w:val="0"/>
          <w:kern w:val="0"/>
        </w:rPr>
        <w:t>厨师：</w:t>
      </w:r>
    </w:p>
    <w:p>
      <w:pPr>
        <w:pStyle w:val="89"/>
        <w:rPr>
          <w:rFonts w:hint="eastAsia" w:ascii="宋体" w:hAnsi="宋体"/>
          <w:snapToGrid w:val="0"/>
          <w:kern w:val="0"/>
        </w:rPr>
      </w:pPr>
      <w:r>
        <w:rPr>
          <w:rFonts w:hint="eastAsia" w:ascii="宋体" w:hAnsi="宋体"/>
          <w:snapToGrid w:val="0"/>
          <w:kern w:val="0"/>
        </w:rPr>
        <w:t>（1）负责早、中、晚菜点烹制，根据采购方的要求，烹饪不同菜式，兼顾各种口味。</w:t>
      </w:r>
    </w:p>
    <w:p>
      <w:pPr>
        <w:pStyle w:val="89"/>
        <w:rPr>
          <w:rFonts w:hint="eastAsia" w:ascii="宋体" w:hAnsi="宋体"/>
          <w:snapToGrid w:val="0"/>
          <w:kern w:val="0"/>
        </w:rPr>
      </w:pPr>
      <w:r>
        <w:rPr>
          <w:rFonts w:hint="eastAsia" w:ascii="宋体" w:hAnsi="宋体"/>
          <w:snapToGrid w:val="0"/>
          <w:kern w:val="0"/>
        </w:rPr>
        <w:t>（2）根据季节行情实际，研究制定每周菜谱，控制成本。严格按照菜式规定，烹制各种菜肴，保证菜谱5天内不重样，并提前一周公布菜谱。</w:t>
      </w:r>
    </w:p>
    <w:p>
      <w:pPr>
        <w:pStyle w:val="89"/>
        <w:rPr>
          <w:rFonts w:hint="eastAsia" w:ascii="宋体" w:hAnsi="宋体"/>
          <w:snapToGrid w:val="0"/>
          <w:kern w:val="0"/>
        </w:rPr>
      </w:pPr>
      <w:r>
        <w:rPr>
          <w:rFonts w:hint="eastAsia" w:ascii="宋体" w:hAnsi="宋体"/>
          <w:snapToGrid w:val="0"/>
          <w:kern w:val="0"/>
        </w:rPr>
        <w:t>（3）注意营养合理搭配：早餐做到蛋白质、粗粮合理搭配；午餐和晚餐做到荤素合理搭配，种类多样化。</w:t>
      </w:r>
    </w:p>
    <w:p>
      <w:pPr>
        <w:pStyle w:val="89"/>
        <w:rPr>
          <w:rFonts w:hint="eastAsia" w:ascii="宋体" w:hAnsi="宋体"/>
          <w:snapToGrid w:val="0"/>
          <w:kern w:val="0"/>
        </w:rPr>
      </w:pPr>
      <w:r>
        <w:rPr>
          <w:rFonts w:hint="eastAsia" w:ascii="宋体" w:hAnsi="宋体"/>
          <w:snapToGrid w:val="0"/>
          <w:kern w:val="0"/>
        </w:rPr>
        <w:t>（4）保持地方菜特色和风味，能满足就餐者多样化的口味需求，提高就餐人员的满意度。</w:t>
      </w:r>
    </w:p>
    <w:p>
      <w:pPr>
        <w:pStyle w:val="89"/>
        <w:rPr>
          <w:rFonts w:hint="eastAsia" w:ascii="宋体" w:hAnsi="宋体"/>
          <w:snapToGrid w:val="0"/>
          <w:kern w:val="0"/>
        </w:rPr>
      </w:pPr>
      <w:r>
        <w:rPr>
          <w:rFonts w:hint="eastAsia" w:ascii="宋体" w:hAnsi="宋体"/>
          <w:snapToGrid w:val="0"/>
          <w:kern w:val="0"/>
        </w:rPr>
        <w:t>厨工：</w:t>
      </w:r>
    </w:p>
    <w:p>
      <w:pPr>
        <w:pStyle w:val="89"/>
        <w:rPr>
          <w:rFonts w:hint="eastAsia" w:ascii="宋体" w:hAnsi="宋体"/>
          <w:snapToGrid w:val="0"/>
          <w:kern w:val="0"/>
        </w:rPr>
      </w:pPr>
      <w:r>
        <w:rPr>
          <w:rFonts w:hint="eastAsia" w:ascii="宋体" w:hAnsi="宋体"/>
          <w:snapToGrid w:val="0"/>
          <w:kern w:val="0"/>
        </w:rPr>
        <w:t>（1）清洗加工食品先检查质量，腐败变质、发霉生虫、掺杂掺假，有毒有害食品禁止加工。</w:t>
      </w:r>
    </w:p>
    <w:p>
      <w:pPr>
        <w:pStyle w:val="89"/>
        <w:rPr>
          <w:rFonts w:hint="eastAsia" w:ascii="宋体" w:hAnsi="宋体"/>
          <w:snapToGrid w:val="0"/>
          <w:kern w:val="0"/>
        </w:rPr>
      </w:pPr>
      <w:r>
        <w:rPr>
          <w:rFonts w:hint="eastAsia" w:ascii="宋体" w:hAnsi="宋体"/>
          <w:snapToGrid w:val="0"/>
          <w:kern w:val="0"/>
        </w:rPr>
        <w:t>（2）蔬菜须清洗干净，洗后无泥沙杂草残留。</w:t>
      </w:r>
    </w:p>
    <w:p>
      <w:pPr>
        <w:pStyle w:val="89"/>
        <w:rPr>
          <w:rFonts w:hint="eastAsia" w:ascii="宋体" w:hAnsi="宋体"/>
          <w:snapToGrid w:val="0"/>
          <w:kern w:val="0"/>
        </w:rPr>
      </w:pPr>
      <w:r>
        <w:rPr>
          <w:rFonts w:hint="eastAsia" w:ascii="宋体" w:hAnsi="宋体"/>
          <w:snapToGrid w:val="0"/>
          <w:kern w:val="0"/>
        </w:rPr>
        <w:t>（3）动物性食品、植物性食品应专池分开清洗，必须时消毒处理。</w:t>
      </w:r>
    </w:p>
    <w:p>
      <w:pPr>
        <w:pStyle w:val="89"/>
        <w:rPr>
          <w:rFonts w:hint="eastAsia" w:ascii="宋体" w:hAnsi="宋体"/>
          <w:snapToGrid w:val="0"/>
          <w:kern w:val="0"/>
        </w:rPr>
      </w:pPr>
      <w:r>
        <w:rPr>
          <w:rFonts w:hint="eastAsia" w:ascii="宋体" w:hAnsi="宋体"/>
          <w:snapToGrid w:val="0"/>
          <w:kern w:val="0"/>
        </w:rPr>
        <w:t>（4）动物性食品、植物性食品，水产品盛器用后冲洗干净分开使用。</w:t>
      </w:r>
    </w:p>
    <w:p>
      <w:pPr>
        <w:pStyle w:val="89"/>
        <w:rPr>
          <w:rFonts w:hint="eastAsia" w:ascii="宋体" w:hAnsi="宋体"/>
          <w:snapToGrid w:val="0"/>
          <w:kern w:val="0"/>
        </w:rPr>
      </w:pPr>
      <w:r>
        <w:rPr>
          <w:rFonts w:hint="eastAsia" w:ascii="宋体" w:hAnsi="宋体"/>
          <w:snapToGrid w:val="0"/>
          <w:kern w:val="0"/>
        </w:rPr>
        <w:t>（5）注意食品安全卫生，清洗过的食品不落地存放，食品仓库或加工区域不得存放私人物品。</w:t>
      </w:r>
    </w:p>
    <w:p>
      <w:pPr>
        <w:pStyle w:val="89"/>
        <w:rPr>
          <w:rFonts w:hint="eastAsia" w:ascii="宋体" w:hAnsi="宋体"/>
          <w:snapToGrid w:val="0"/>
          <w:kern w:val="0"/>
        </w:rPr>
      </w:pPr>
      <w:r>
        <w:rPr>
          <w:rFonts w:hint="eastAsia" w:ascii="宋体" w:hAnsi="宋体"/>
          <w:snapToGrid w:val="0"/>
          <w:kern w:val="0"/>
        </w:rPr>
        <w:t>（6）负责餐具的清洗、消毒工作：①餐具要分池清洗，分柜消毒存放；②按照餐具清洗流程，合理使用洗洁精，减少化学化工类物资残留。</w:t>
      </w:r>
    </w:p>
    <w:p>
      <w:pPr>
        <w:pStyle w:val="89"/>
        <w:rPr>
          <w:rFonts w:hint="eastAsia" w:ascii="宋体" w:hAnsi="宋体"/>
          <w:snapToGrid w:val="0"/>
          <w:kern w:val="0"/>
        </w:rPr>
      </w:pPr>
      <w:r>
        <w:rPr>
          <w:rFonts w:hint="eastAsia" w:ascii="宋体" w:hAnsi="宋体"/>
          <w:snapToGrid w:val="0"/>
          <w:kern w:val="0"/>
        </w:rPr>
        <w:t>（7）负责厨房的卫生工作。</w:t>
      </w:r>
    </w:p>
    <w:p>
      <w:pPr>
        <w:pStyle w:val="89"/>
        <w:rPr>
          <w:rFonts w:hint="eastAsia" w:ascii="宋体" w:hAnsi="宋体"/>
          <w:snapToGrid w:val="0"/>
          <w:kern w:val="0"/>
        </w:rPr>
      </w:pPr>
      <w:r>
        <w:rPr>
          <w:rFonts w:hint="eastAsia" w:ascii="宋体" w:hAnsi="宋体"/>
          <w:snapToGrid w:val="0"/>
          <w:kern w:val="0"/>
        </w:rPr>
        <w:t>（六）服务要求</w:t>
      </w:r>
    </w:p>
    <w:p>
      <w:pPr>
        <w:pStyle w:val="89"/>
        <w:rPr>
          <w:rFonts w:hint="eastAsia" w:ascii="宋体" w:hAnsi="宋体"/>
          <w:snapToGrid w:val="0"/>
          <w:kern w:val="0"/>
        </w:rPr>
      </w:pPr>
      <w:r>
        <w:rPr>
          <w:rFonts w:hint="eastAsia" w:ascii="宋体" w:hAnsi="宋体"/>
          <w:snapToGrid w:val="0"/>
          <w:kern w:val="0"/>
        </w:rPr>
        <w:t xml:space="preserve">1.本项目由中标人负责膳食服务相关的所有事务，包括但不限于人员招聘、人员管理、工资发放、劳动纠纷、用工风险、食堂人员工伤赔偿等一切人力资源服务，采购人负责监督。    </w:t>
      </w:r>
    </w:p>
    <w:p>
      <w:pPr>
        <w:pStyle w:val="89"/>
        <w:rPr>
          <w:rFonts w:hint="eastAsia" w:ascii="宋体" w:hAnsi="宋体"/>
          <w:snapToGrid w:val="0"/>
          <w:kern w:val="0"/>
        </w:rPr>
      </w:pPr>
      <w:r>
        <w:rPr>
          <w:rFonts w:hint="eastAsia" w:ascii="宋体" w:hAnsi="宋体"/>
          <w:snapToGrid w:val="0"/>
          <w:kern w:val="0"/>
        </w:rPr>
        <w:t>2.中标人必须遵守采购人相关规章制度，接受采购人的管理和监督。</w:t>
      </w:r>
    </w:p>
    <w:p>
      <w:pPr>
        <w:pStyle w:val="89"/>
        <w:rPr>
          <w:rFonts w:hint="eastAsia" w:ascii="宋体" w:hAnsi="宋体"/>
          <w:snapToGrid w:val="0"/>
          <w:kern w:val="0"/>
        </w:rPr>
      </w:pPr>
      <w:r>
        <w:rPr>
          <w:rFonts w:hint="eastAsia" w:ascii="宋体" w:hAnsi="宋体"/>
          <w:snapToGrid w:val="0"/>
          <w:kern w:val="0"/>
        </w:rPr>
        <w:t xml:space="preserve">3.中标人对食堂服务人员必须按《中华人民共和国劳动法》等相关政策法规办理相关合法用工手续。对所录用食堂服务人员健康卫生问题要严格审查，保证食堂服务人员身体健康。   </w:t>
      </w:r>
    </w:p>
    <w:p>
      <w:pPr>
        <w:pStyle w:val="89"/>
        <w:rPr>
          <w:rFonts w:hint="eastAsia" w:ascii="宋体" w:hAnsi="宋体"/>
          <w:snapToGrid w:val="0"/>
          <w:kern w:val="0"/>
        </w:rPr>
      </w:pPr>
      <w:r>
        <w:rPr>
          <w:rFonts w:hint="eastAsia" w:ascii="宋体" w:hAnsi="宋体"/>
          <w:snapToGrid w:val="0"/>
          <w:kern w:val="0"/>
        </w:rPr>
        <w:t>4.采购人对重要的管理决策有直接参与权与审批权。</w:t>
      </w:r>
    </w:p>
    <w:p>
      <w:pPr>
        <w:pStyle w:val="89"/>
        <w:rPr>
          <w:rFonts w:hint="eastAsia" w:ascii="宋体" w:hAnsi="宋体"/>
          <w:snapToGrid w:val="0"/>
          <w:kern w:val="0"/>
        </w:rPr>
      </w:pPr>
      <w:r>
        <w:rPr>
          <w:rFonts w:hint="eastAsia" w:ascii="宋体" w:hAnsi="宋体"/>
          <w:snapToGrid w:val="0"/>
          <w:kern w:val="0"/>
        </w:rPr>
        <w:t>5.中标人在做好工作的同时，有责任向采购人提供合理化建议，以提高管理效率和管理质量。</w:t>
      </w:r>
    </w:p>
    <w:p>
      <w:pPr>
        <w:pStyle w:val="89"/>
        <w:rPr>
          <w:rFonts w:hint="eastAsia" w:ascii="宋体" w:hAnsi="宋体"/>
          <w:snapToGrid w:val="0"/>
          <w:kern w:val="0"/>
        </w:rPr>
      </w:pPr>
      <w:r>
        <w:rPr>
          <w:rFonts w:hint="eastAsia" w:ascii="宋体" w:hAnsi="宋体"/>
          <w:snapToGrid w:val="0"/>
          <w:kern w:val="0"/>
        </w:rPr>
        <w:t>6.中标人在合同期内，必须严格遵守《中华人民共和国劳动法》、《食品安全法》、消防法律法规等各项法律法规的规定，履行食堂运营服务义务。因中标人违法及违规操作或因食材安全问题带来的损失和责任，由中标人全部承担。</w:t>
      </w:r>
    </w:p>
    <w:p>
      <w:pPr>
        <w:pStyle w:val="89"/>
        <w:rPr>
          <w:rFonts w:hint="eastAsia" w:ascii="宋体" w:hAnsi="宋体"/>
          <w:snapToGrid w:val="0"/>
          <w:kern w:val="0"/>
        </w:rPr>
      </w:pPr>
      <w:r>
        <w:rPr>
          <w:rFonts w:hint="eastAsia" w:ascii="宋体" w:hAnsi="宋体"/>
          <w:snapToGrid w:val="0"/>
          <w:kern w:val="0"/>
        </w:rPr>
        <w:t>7.中标人必须接受有关管理部门（安全环保、消防、食品安全、综合治理、卫生监督等）和采购人的监督和检查。若被有关监督部门处罚的，处罚款由中标人承担。</w:t>
      </w:r>
    </w:p>
    <w:p>
      <w:pPr>
        <w:pStyle w:val="89"/>
        <w:rPr>
          <w:rFonts w:hint="eastAsia" w:ascii="宋体" w:hAnsi="宋体"/>
          <w:snapToGrid w:val="0"/>
          <w:kern w:val="0"/>
        </w:rPr>
      </w:pPr>
      <w:r>
        <w:rPr>
          <w:rFonts w:hint="eastAsia" w:ascii="宋体" w:hAnsi="宋体"/>
          <w:snapToGrid w:val="0"/>
          <w:kern w:val="0"/>
        </w:rPr>
        <w:t>8.中标人须接受采购人对食堂的卫生状况、安全操作、消防操作、节能降耗的监督检查，并对采购人提出的问题进行及时整改，如中标人对存在问题不进行整改，采购人有权单方终止合同。</w:t>
      </w:r>
    </w:p>
    <w:p>
      <w:pPr>
        <w:pStyle w:val="89"/>
        <w:rPr>
          <w:rFonts w:hint="eastAsia" w:ascii="宋体" w:hAnsi="宋体"/>
          <w:snapToGrid w:val="0"/>
          <w:kern w:val="0"/>
        </w:rPr>
      </w:pPr>
      <w:r>
        <w:rPr>
          <w:rFonts w:hint="eastAsia" w:ascii="宋体" w:hAnsi="宋体"/>
          <w:snapToGrid w:val="0"/>
          <w:kern w:val="0"/>
        </w:rPr>
        <w:t>9.中标人要做好食堂与从业人员的卫生管理工作，服务期间的卫生检疫、办理健康证、体检等费用均由中标人负责。</w:t>
      </w:r>
    </w:p>
    <w:p>
      <w:pPr>
        <w:pStyle w:val="89"/>
        <w:rPr>
          <w:rFonts w:hint="eastAsia" w:ascii="宋体" w:hAnsi="宋体"/>
          <w:snapToGrid w:val="0"/>
          <w:kern w:val="0"/>
        </w:rPr>
      </w:pPr>
      <w:r>
        <w:rPr>
          <w:rFonts w:hint="eastAsia" w:ascii="宋体" w:hAnsi="宋体"/>
          <w:snapToGrid w:val="0"/>
          <w:kern w:val="0"/>
        </w:rPr>
        <w:t>（七）用餐要求</w:t>
      </w:r>
    </w:p>
    <w:p>
      <w:pPr>
        <w:pStyle w:val="89"/>
        <w:rPr>
          <w:rFonts w:hint="eastAsia" w:ascii="宋体" w:hAnsi="宋体"/>
          <w:snapToGrid w:val="0"/>
          <w:kern w:val="0"/>
        </w:rPr>
      </w:pPr>
      <w:r>
        <w:rPr>
          <w:rFonts w:hint="eastAsia" w:ascii="宋体" w:hAnsi="宋体"/>
          <w:snapToGrid w:val="0"/>
          <w:kern w:val="0"/>
        </w:rPr>
        <w:t>1、用餐要求：</w:t>
      </w:r>
    </w:p>
    <w:p>
      <w:pPr>
        <w:pStyle w:val="89"/>
        <w:rPr>
          <w:rFonts w:hint="eastAsia" w:ascii="宋体" w:hAnsi="宋体"/>
          <w:snapToGrid w:val="0"/>
          <w:kern w:val="0"/>
        </w:rPr>
      </w:pPr>
      <w:r>
        <w:rPr>
          <w:rFonts w:hint="eastAsia" w:ascii="宋体" w:hAnsi="宋体"/>
          <w:snapToGrid w:val="0"/>
          <w:kern w:val="0"/>
        </w:rPr>
        <w:t>(1)早餐供应：早餐自选餐：</w:t>
      </w:r>
    </w:p>
    <w:p>
      <w:pPr>
        <w:pStyle w:val="89"/>
        <w:rPr>
          <w:rFonts w:hint="eastAsia" w:ascii="宋体" w:hAnsi="宋体"/>
          <w:snapToGrid w:val="0"/>
          <w:kern w:val="0"/>
        </w:rPr>
      </w:pPr>
      <w:r>
        <w:rPr>
          <w:rFonts w:hint="eastAsia" w:ascii="宋体" w:hAnsi="宋体"/>
          <w:snapToGrid w:val="0"/>
          <w:kern w:val="0"/>
        </w:rPr>
        <w:t>品种：总共提供 6 种以上品种供员工选择，主要包括：包点、各式 炒(汤) 粉面类、蛋类、小菜、粥或豆浆、粗粮、青菜等。</w:t>
      </w:r>
    </w:p>
    <w:p>
      <w:pPr>
        <w:pStyle w:val="89"/>
        <w:rPr>
          <w:rFonts w:hint="eastAsia" w:ascii="宋体" w:hAnsi="宋体"/>
          <w:snapToGrid w:val="0"/>
          <w:kern w:val="0"/>
        </w:rPr>
      </w:pPr>
      <w:r>
        <w:rPr>
          <w:rFonts w:hint="eastAsia" w:ascii="宋体" w:hAnsi="宋体"/>
          <w:snapToGrid w:val="0"/>
          <w:kern w:val="0"/>
        </w:rPr>
        <w:t>(2)中餐供应自选套餐：</w:t>
      </w:r>
    </w:p>
    <w:p>
      <w:pPr>
        <w:pStyle w:val="89"/>
        <w:rPr>
          <w:rFonts w:hint="eastAsia" w:ascii="宋体" w:hAnsi="宋体"/>
          <w:snapToGrid w:val="0"/>
          <w:kern w:val="0"/>
        </w:rPr>
      </w:pPr>
      <w:r>
        <w:rPr>
          <w:rFonts w:hint="eastAsia" w:ascii="宋体" w:hAnsi="宋体"/>
          <w:snapToGrid w:val="0"/>
          <w:kern w:val="0"/>
        </w:rPr>
        <w:t>品种：中餐提供 6 种菜品供员工选择，主要包括：荤菜 3 种、素菜、老火汤和米饭、粥等。</w:t>
      </w:r>
    </w:p>
    <w:p>
      <w:pPr>
        <w:pStyle w:val="89"/>
        <w:rPr>
          <w:rFonts w:hint="eastAsia" w:ascii="宋体" w:hAnsi="宋体"/>
          <w:snapToGrid w:val="0"/>
          <w:kern w:val="0"/>
          <w:lang w:val="en"/>
        </w:rPr>
      </w:pPr>
      <w:r>
        <w:rPr>
          <w:rFonts w:hint="eastAsia" w:ascii="宋体" w:hAnsi="宋体"/>
          <w:snapToGrid w:val="0"/>
          <w:kern w:val="0"/>
        </w:rPr>
        <w:t>(3) 就餐时间：早餐 08：</w:t>
      </w:r>
      <w:r>
        <w:rPr>
          <w:rFonts w:hint="eastAsia" w:ascii="宋体" w:hAnsi="宋体"/>
          <w:snapToGrid w:val="0"/>
          <w:kern w:val="0"/>
          <w:lang w:val="en"/>
        </w:rPr>
        <w:t>0</w:t>
      </w:r>
      <w:r>
        <w:rPr>
          <w:rFonts w:hint="eastAsia" w:ascii="宋体" w:hAnsi="宋体"/>
          <w:snapToGrid w:val="0"/>
          <w:kern w:val="0"/>
        </w:rPr>
        <w:t>0- 09：00 、中餐 12：00-12：</w:t>
      </w:r>
      <w:r>
        <w:rPr>
          <w:rFonts w:hint="eastAsia" w:ascii="宋体" w:hAnsi="宋体"/>
          <w:snapToGrid w:val="0"/>
          <w:kern w:val="0"/>
          <w:lang w:val="en"/>
        </w:rPr>
        <w:t>45</w:t>
      </w:r>
    </w:p>
    <w:p>
      <w:pPr>
        <w:pStyle w:val="89"/>
        <w:rPr>
          <w:rFonts w:hint="eastAsia" w:ascii="CESI仿宋-GB2312" w:hAnsi="CESI仿宋-GB2312" w:eastAsia="CESI仿宋-GB2312" w:cs="CESI仿宋-GB2312"/>
          <w:sz w:val="28"/>
          <w:szCs w:val="28"/>
        </w:rPr>
      </w:pPr>
      <w:r>
        <w:rPr>
          <w:rFonts w:hint="eastAsia" w:ascii="宋体" w:hAnsi="宋体"/>
          <w:snapToGrid w:val="0"/>
          <w:kern w:val="0"/>
        </w:rPr>
        <w:t>每星期提供一次糖水(6-10月)，平日的晚餐和非工作日一般不提 供，甲方因特殊情况有要求提供的除外。</w:t>
      </w:r>
    </w:p>
    <w:p/>
    <w:p/>
    <w:bookmarkEnd w:id="13"/>
    <w:p>
      <w:pPr>
        <w:pStyle w:val="4"/>
        <w:jc w:val="center"/>
        <w:rPr>
          <w:rFonts w:hint="eastAsia" w:ascii="黑体" w:eastAsia="黑体"/>
          <w:b w:val="0"/>
          <w:kern w:val="0"/>
          <w:sz w:val="24"/>
        </w:rPr>
      </w:pPr>
      <w:bookmarkStart w:id="14" w:name="_Toc128884465"/>
      <w:r>
        <w:rPr>
          <w:rFonts w:hint="eastAsia" w:ascii="黑体" w:eastAsia="黑体"/>
          <w:b w:val="0"/>
          <w:kern w:val="0"/>
          <w:sz w:val="24"/>
        </w:rPr>
        <w:t>三、</w:t>
      </w:r>
      <w:bookmarkEnd w:id="14"/>
      <w:r>
        <w:rPr>
          <w:rFonts w:hint="eastAsia" w:ascii="黑体" w:eastAsia="黑体"/>
          <w:b w:val="0"/>
          <w:kern w:val="0"/>
          <w:sz w:val="24"/>
        </w:rPr>
        <w:t>项目商务要求</w:t>
      </w:r>
    </w:p>
    <w:p>
      <w:pPr>
        <w:pStyle w:val="5"/>
        <w:jc w:val="center"/>
        <w:rPr>
          <w:b w:val="0"/>
          <w:bCs w:val="0"/>
          <w:sz w:val="24"/>
          <w:szCs w:val="24"/>
        </w:rPr>
      </w:pPr>
      <w:r>
        <w:rPr>
          <w:rFonts w:hint="eastAsia"/>
          <w:b w:val="0"/>
          <w:bCs w:val="0"/>
          <w:sz w:val="24"/>
          <w:szCs w:val="24"/>
        </w:rPr>
        <w:t>（一）履约保证金</w:t>
      </w:r>
    </w:p>
    <w:p>
      <w:pPr>
        <w:pStyle w:val="8"/>
        <w:spacing w:before="60" w:beforeLines="25" w:after="60" w:afterLines="25" w:line="360" w:lineRule="exact"/>
        <w:ind w:firstLine="392" w:firstLineChars="187"/>
        <w:rPr>
          <w:rFonts w:hint="eastAsia" w:ascii="宋体" w:hAnsi="宋体"/>
          <w:color w:val="000000"/>
          <w:szCs w:val="21"/>
        </w:rPr>
      </w:pPr>
      <w:r>
        <w:rPr>
          <w:rFonts w:hint="eastAsia" w:ascii="宋体" w:hAnsi="宋体"/>
          <w:color w:val="000000"/>
          <w:szCs w:val="21"/>
        </w:rPr>
        <w:t>本项目无需提供履约保证金。</w:t>
      </w:r>
    </w:p>
    <w:p>
      <w:pPr>
        <w:pStyle w:val="5"/>
        <w:spacing w:line="400" w:lineRule="exact"/>
        <w:jc w:val="center"/>
        <w:rPr>
          <w:b w:val="0"/>
          <w:bCs w:val="0"/>
          <w:sz w:val="24"/>
          <w:szCs w:val="24"/>
        </w:rPr>
      </w:pPr>
      <w:bookmarkStart w:id="15" w:name="OLE_LINK9"/>
      <w:r>
        <w:rPr>
          <w:rFonts w:hint="eastAsia"/>
          <w:b w:val="0"/>
          <w:bCs w:val="0"/>
          <w:sz w:val="24"/>
          <w:szCs w:val="24"/>
        </w:rPr>
        <w:t>（二）投标报价构成</w:t>
      </w:r>
    </w:p>
    <w:bookmarkEnd w:id="15"/>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pPr>
        <w:pStyle w:val="5"/>
        <w:spacing w:line="400" w:lineRule="exact"/>
        <w:jc w:val="center"/>
        <w:rPr>
          <w:b w:val="0"/>
          <w:bCs w:val="0"/>
          <w:sz w:val="24"/>
          <w:szCs w:val="24"/>
        </w:rPr>
      </w:pPr>
      <w:bookmarkStart w:id="16" w:name="OLE_LINK37"/>
      <w:r>
        <w:rPr>
          <w:rFonts w:hint="eastAsia"/>
          <w:b w:val="0"/>
          <w:bCs w:val="0"/>
          <w:sz w:val="24"/>
          <w:szCs w:val="24"/>
        </w:rPr>
        <w:t>（三）其他重要条款</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1、“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2、供应商提供报价合理性、澄清、说明、补正或者错误的修正的方式，包括但不限于现场提交（地址：深圳市罗湖区深南东路1076号党群服务中心4楼）、电邮提交（邮箱：szexlhfgs@szexgrp.com）等便捷方式。</w:t>
      </w:r>
    </w:p>
    <w:bookmarkEnd w:id="16"/>
    <w:p>
      <w:pPr>
        <w:widowControl/>
        <w:spacing w:line="360" w:lineRule="exact"/>
        <w:ind w:firstLine="482" w:firstLineChars="200"/>
        <w:jc w:val="left"/>
        <w:rPr>
          <w:rFonts w:hint="eastAsia" w:ascii="黑体" w:hAnsi="宋体" w:eastAsia="黑体" w:cs="宋体"/>
          <w:kern w:val="0"/>
          <w:sz w:val="24"/>
          <w:szCs w:val="32"/>
        </w:rPr>
      </w:pPr>
      <w:r>
        <w:rPr>
          <w:rFonts w:ascii="黑体" w:eastAsia="黑体"/>
          <w:b/>
          <w:kern w:val="0"/>
          <w:sz w:val="24"/>
        </w:rPr>
        <w:br w:type="page"/>
      </w:r>
    </w:p>
    <w:p>
      <w:pPr>
        <w:pStyle w:val="4"/>
        <w:jc w:val="center"/>
        <w:rPr>
          <w:rFonts w:hint="eastAsia" w:ascii="黑体" w:eastAsia="黑体"/>
          <w:b w:val="0"/>
          <w:kern w:val="0"/>
          <w:sz w:val="24"/>
        </w:rPr>
      </w:pPr>
      <w:r>
        <w:rPr>
          <w:rFonts w:hint="eastAsia" w:ascii="黑体" w:eastAsia="黑体"/>
          <w:b w:val="0"/>
          <w:kern w:val="0"/>
          <w:sz w:val="24"/>
        </w:rPr>
        <w:t>四、投标文件组成</w:t>
      </w:r>
    </w:p>
    <w:p>
      <w:pPr>
        <w:ind w:firstLine="422" w:firstLineChars="200"/>
        <w:rPr>
          <w:rFonts w:hint="eastAsia"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ind w:firstLine="422" w:firstLineChars="200"/>
        <w:rPr>
          <w:b/>
          <w:color w:val="FF0000"/>
          <w:highlight w:val="yellow"/>
        </w:rPr>
      </w:pPr>
    </w:p>
    <w:p>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pPr>
        <w:spacing w:line="320" w:lineRule="exact"/>
        <w:ind w:firstLine="422" w:firstLineChars="200"/>
        <w:rPr>
          <w:rFonts w:hint="eastAsia" w:ascii="宋体" w:hAnsi="宋体"/>
          <w:b/>
          <w:snapToGrid w:val="0"/>
          <w:color w:val="FF0000"/>
          <w:kern w:val="0"/>
          <w:highlight w:val="yellow"/>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投标供应商编写的投标文件应包括下列部分：</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一、关键信息</w:t>
      </w:r>
    </w:p>
    <w:p>
      <w:pPr>
        <w:spacing w:line="400" w:lineRule="exact"/>
        <w:ind w:firstLine="840" w:firstLineChars="400"/>
        <w:rPr>
          <w:rFonts w:hint="eastAsia" w:ascii="宋体" w:hAnsi="宋体"/>
          <w:color w:val="000000"/>
          <w:szCs w:val="21"/>
        </w:rPr>
      </w:pPr>
      <w:r>
        <w:rPr>
          <w:rFonts w:hint="eastAsia" w:ascii="宋体" w:hAnsi="宋体"/>
          <w:color w:val="000000"/>
          <w:szCs w:val="21"/>
        </w:rPr>
        <w:t>（1）开标一览表</w:t>
      </w:r>
    </w:p>
    <w:p>
      <w:pPr>
        <w:spacing w:line="400" w:lineRule="exact"/>
        <w:ind w:firstLine="840" w:firstLineChars="400"/>
        <w:rPr>
          <w:rFonts w:hint="eastAsia" w:ascii="宋体" w:hAnsi="宋体"/>
          <w:color w:val="000000"/>
          <w:szCs w:val="21"/>
        </w:rPr>
      </w:pPr>
      <w:r>
        <w:rPr>
          <w:rFonts w:hint="eastAsia" w:ascii="宋体" w:hAnsi="宋体"/>
          <w:color w:val="000000"/>
          <w:szCs w:val="21"/>
        </w:rPr>
        <w:t>（2）政府采购投标及履约承诺函</w:t>
      </w:r>
    </w:p>
    <w:p>
      <w:pPr>
        <w:spacing w:line="400" w:lineRule="exact"/>
        <w:ind w:firstLine="840" w:firstLineChars="400"/>
        <w:rPr>
          <w:rFonts w:hint="eastAsia" w:ascii="宋体" w:hAnsi="宋体"/>
          <w:color w:val="000000"/>
          <w:szCs w:val="21"/>
        </w:rPr>
      </w:pPr>
      <w:r>
        <w:rPr>
          <w:rFonts w:hint="eastAsia" w:ascii="宋体" w:hAnsi="宋体"/>
          <w:color w:val="000000"/>
          <w:szCs w:val="21"/>
        </w:rPr>
        <w:t>（3）供应商资格证明文件</w:t>
      </w:r>
    </w:p>
    <w:p>
      <w:pPr>
        <w:spacing w:line="400" w:lineRule="exact"/>
        <w:ind w:firstLine="840" w:firstLineChars="400"/>
        <w:rPr>
          <w:rFonts w:hint="eastAsia" w:ascii="宋体" w:hAnsi="宋体"/>
          <w:color w:val="000000"/>
          <w:szCs w:val="21"/>
        </w:rPr>
      </w:pPr>
      <w:r>
        <w:rPr>
          <w:rFonts w:hint="eastAsia" w:ascii="宋体" w:hAnsi="宋体"/>
          <w:color w:val="000000"/>
          <w:szCs w:val="21"/>
        </w:rPr>
        <w:t>（4）实质性服务条款（以★号标注）证明文件（如有）</w:t>
      </w:r>
    </w:p>
    <w:p>
      <w:pPr>
        <w:spacing w:line="400" w:lineRule="exact"/>
        <w:ind w:firstLine="840" w:firstLineChars="400"/>
        <w:rPr>
          <w:rFonts w:hint="eastAsia" w:ascii="宋体" w:hAnsi="宋体"/>
          <w:color w:val="000000"/>
          <w:szCs w:val="21"/>
        </w:rPr>
      </w:pPr>
      <w:r>
        <w:rPr>
          <w:rFonts w:hint="eastAsia" w:ascii="宋体" w:hAnsi="宋体"/>
          <w:color w:val="000000"/>
          <w:szCs w:val="21"/>
        </w:rPr>
        <w:t>（5）法定代表人（负责人）资格证明书</w:t>
      </w:r>
    </w:p>
    <w:p>
      <w:pPr>
        <w:spacing w:line="400" w:lineRule="exact"/>
        <w:ind w:firstLine="840" w:firstLineChars="400"/>
        <w:rPr>
          <w:rFonts w:hint="eastAsia" w:ascii="宋体" w:hAnsi="宋体"/>
          <w:color w:val="000000"/>
          <w:szCs w:val="21"/>
        </w:rPr>
      </w:pPr>
      <w:r>
        <w:rPr>
          <w:rFonts w:hint="eastAsia" w:ascii="宋体" w:hAnsi="宋体"/>
          <w:color w:val="000000"/>
          <w:szCs w:val="21"/>
        </w:rPr>
        <w:t>（6）投标文件签署授权委托书</w:t>
      </w:r>
    </w:p>
    <w:p>
      <w:pPr>
        <w:spacing w:line="400" w:lineRule="exact"/>
        <w:ind w:firstLine="840" w:firstLineChars="400"/>
        <w:rPr>
          <w:rFonts w:hint="eastAsia" w:ascii="宋体" w:hAnsi="宋体"/>
          <w:color w:val="000000"/>
          <w:szCs w:val="21"/>
        </w:rPr>
      </w:pPr>
      <w:r>
        <w:rPr>
          <w:rFonts w:hint="eastAsia" w:ascii="宋体" w:hAnsi="宋体"/>
          <w:color w:val="000000"/>
          <w:szCs w:val="21"/>
        </w:rPr>
        <w:t>（7）分项报价清单</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二、技术服务部分</w:t>
      </w:r>
    </w:p>
    <w:p>
      <w:pPr>
        <w:spacing w:line="400" w:lineRule="exact"/>
        <w:ind w:firstLine="840" w:firstLineChars="400"/>
        <w:rPr>
          <w:rFonts w:hint="eastAsia" w:ascii="宋体" w:hAnsi="宋体"/>
          <w:color w:val="000000"/>
          <w:szCs w:val="21"/>
        </w:rPr>
      </w:pPr>
      <w:r>
        <w:rPr>
          <w:rFonts w:hint="eastAsia" w:ascii="宋体" w:hAnsi="宋体"/>
          <w:color w:val="000000"/>
          <w:szCs w:val="21"/>
        </w:rPr>
        <w:t>（1）</w:t>
      </w:r>
      <w:r>
        <w:rPr>
          <w:rFonts w:hint="eastAsia" w:ascii="宋体" w:hAnsi="宋体"/>
        </w:rPr>
        <w:t>实施方案</w:t>
      </w:r>
    </w:p>
    <w:p>
      <w:pPr>
        <w:spacing w:line="400" w:lineRule="exact"/>
        <w:ind w:firstLine="840" w:firstLineChars="400"/>
        <w:rPr>
          <w:rFonts w:hint="eastAsia" w:ascii="宋体" w:hAnsi="宋体"/>
          <w:color w:val="000000"/>
          <w:szCs w:val="21"/>
        </w:rPr>
      </w:pPr>
      <w:r>
        <w:rPr>
          <w:rFonts w:hint="eastAsia" w:ascii="宋体" w:hAnsi="宋体"/>
          <w:color w:val="000000"/>
          <w:szCs w:val="21"/>
        </w:rPr>
        <w:t>（2）</w:t>
      </w:r>
      <w:r>
        <w:rPr>
          <w:rFonts w:hint="eastAsia" w:ascii="宋体" w:hAnsi="宋体"/>
        </w:rPr>
        <w:t>项目重点难点分析、应对措施及相关的合理化建议</w:t>
      </w:r>
    </w:p>
    <w:p>
      <w:pPr>
        <w:spacing w:line="400" w:lineRule="exact"/>
        <w:ind w:firstLine="840" w:firstLineChars="400"/>
        <w:rPr>
          <w:rFonts w:hint="eastAsia" w:ascii="宋体" w:hAnsi="宋体"/>
          <w:color w:val="000000"/>
          <w:szCs w:val="21"/>
        </w:rPr>
      </w:pPr>
      <w:r>
        <w:rPr>
          <w:rFonts w:hint="eastAsia" w:ascii="宋体" w:hAnsi="宋体"/>
          <w:color w:val="000000"/>
          <w:szCs w:val="21"/>
        </w:rPr>
        <w:t>（3）</w:t>
      </w:r>
      <w:r>
        <w:rPr>
          <w:rFonts w:hint="eastAsia" w:cs="宋体" w:asciiTheme="minorHAnsi" w:hAnsiTheme="minorHAnsi"/>
          <w:szCs w:val="22"/>
        </w:rPr>
        <w:t>应急预案</w:t>
      </w:r>
    </w:p>
    <w:p>
      <w:pPr>
        <w:spacing w:line="400" w:lineRule="exact"/>
        <w:ind w:firstLine="840" w:firstLineChars="400"/>
        <w:rPr>
          <w:rFonts w:hint="eastAsia" w:ascii="宋体" w:hAnsi="宋体"/>
          <w:color w:val="000000"/>
          <w:szCs w:val="21"/>
        </w:rPr>
      </w:pPr>
      <w:r>
        <w:rPr>
          <w:rFonts w:hint="eastAsia" w:ascii="宋体" w:hAnsi="宋体"/>
          <w:color w:val="000000"/>
          <w:szCs w:val="21"/>
        </w:rPr>
        <w:t>（4）</w:t>
      </w:r>
      <w:r>
        <w:rPr>
          <w:rFonts w:hint="eastAsia"/>
          <w:szCs w:val="21"/>
        </w:rPr>
        <w:t>拟安排的项目负责人（仅限1人）</w:t>
      </w:r>
    </w:p>
    <w:p>
      <w:pPr>
        <w:spacing w:line="400" w:lineRule="exact"/>
        <w:ind w:firstLine="840" w:firstLineChars="400"/>
        <w:rPr>
          <w:rFonts w:hint="eastAsia" w:ascii="宋体" w:hAnsi="宋体"/>
          <w:color w:val="000000"/>
          <w:szCs w:val="21"/>
        </w:rPr>
      </w:pPr>
      <w:r>
        <w:rPr>
          <w:rFonts w:hint="eastAsia" w:ascii="宋体" w:hAnsi="宋体"/>
          <w:color w:val="000000"/>
          <w:szCs w:val="21"/>
        </w:rPr>
        <w:t>（5）拟安排的项目主要团队成员（项目负责人除外）</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三、综合实力部分</w:t>
      </w:r>
    </w:p>
    <w:p>
      <w:pPr>
        <w:spacing w:line="400" w:lineRule="exact"/>
        <w:ind w:firstLine="840" w:firstLineChars="400"/>
        <w:rPr>
          <w:rFonts w:hint="eastAsia" w:ascii="宋体" w:hAnsi="宋体"/>
          <w:color w:val="000000"/>
          <w:szCs w:val="21"/>
        </w:rPr>
      </w:pPr>
      <w:r>
        <w:rPr>
          <w:rFonts w:hint="eastAsia" w:ascii="宋体" w:hAnsi="宋体"/>
          <w:color w:val="000000"/>
          <w:szCs w:val="21"/>
        </w:rPr>
        <w:t>（1）</w:t>
      </w:r>
      <w:r>
        <w:rPr>
          <w:rFonts w:hint="eastAsia" w:ascii="宋体" w:hAnsi="宋体"/>
          <w:szCs w:val="21"/>
        </w:rPr>
        <w:t>投标人同类项目业绩情况</w:t>
      </w:r>
    </w:p>
    <w:p>
      <w:pPr>
        <w:spacing w:line="400" w:lineRule="exact"/>
        <w:ind w:firstLine="840" w:firstLineChars="400"/>
        <w:rPr>
          <w:rFonts w:hint="eastAsia" w:ascii="宋体" w:hAnsi="宋体"/>
          <w:szCs w:val="21"/>
        </w:rPr>
      </w:pPr>
      <w:r>
        <w:rPr>
          <w:rFonts w:hint="eastAsia" w:ascii="宋体" w:hAnsi="宋体"/>
          <w:color w:val="000000"/>
          <w:szCs w:val="21"/>
        </w:rPr>
        <w:t>（2）</w:t>
      </w:r>
      <w:r>
        <w:rPr>
          <w:rFonts w:hint="eastAsia" w:ascii="宋体" w:hAnsi="宋体"/>
          <w:szCs w:val="21"/>
        </w:rPr>
        <w:t>履约评价</w:t>
      </w:r>
    </w:p>
    <w:p>
      <w:pPr>
        <w:spacing w:line="400" w:lineRule="exact"/>
        <w:ind w:firstLine="840" w:firstLineChars="400"/>
        <w:rPr>
          <w:rFonts w:hint="eastAsia" w:ascii="宋体" w:hAnsi="宋体"/>
          <w:szCs w:val="21"/>
        </w:rPr>
      </w:pPr>
      <w:r>
        <w:rPr>
          <w:rFonts w:hint="eastAsia" w:ascii="宋体" w:hAnsi="宋体"/>
          <w:color w:val="000000"/>
          <w:szCs w:val="21"/>
        </w:rPr>
        <w:t>（3）</w:t>
      </w:r>
      <w:r>
        <w:rPr>
          <w:rFonts w:hint="eastAsia" w:ascii="宋体" w:hAnsi="宋体"/>
          <w:szCs w:val="21"/>
        </w:rPr>
        <w:t>项目完成（服务期满）后的服务承诺</w:t>
      </w:r>
    </w:p>
    <w:p>
      <w:pPr>
        <w:spacing w:line="400" w:lineRule="exact"/>
        <w:ind w:firstLine="840" w:firstLineChars="400"/>
        <w:rPr>
          <w:rFonts w:hint="eastAsia" w:ascii="宋体" w:hAnsi="宋体"/>
          <w:color w:val="000000"/>
          <w:szCs w:val="21"/>
        </w:rPr>
      </w:pPr>
      <w:r>
        <w:rPr>
          <w:rFonts w:hint="eastAsia" w:ascii="宋体" w:hAnsi="宋体"/>
          <w:color w:val="000000"/>
          <w:szCs w:val="21"/>
        </w:rPr>
        <w:t>（4）</w:t>
      </w:r>
      <w:r>
        <w:rPr>
          <w:rFonts w:hint="eastAsia" w:ascii="宋体" w:hAnsi="宋体"/>
          <w:szCs w:val="21"/>
        </w:rPr>
        <w:t>购买保险情况</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pPr>
        <w:spacing w:line="400" w:lineRule="exact"/>
        <w:ind w:firstLine="840" w:firstLineChars="400"/>
        <w:rPr>
          <w:rFonts w:hint="eastAsia" w:ascii="宋体" w:hAnsi="宋体"/>
          <w:color w:val="000000"/>
          <w:szCs w:val="21"/>
        </w:rPr>
      </w:pPr>
      <w:r>
        <w:rPr>
          <w:rFonts w:hint="eastAsia" w:ascii="宋体" w:hAnsi="宋体"/>
          <w:color w:val="000000"/>
          <w:szCs w:val="21"/>
        </w:rPr>
        <w:t>（1）政府采购违法行为风险知悉确认书</w:t>
      </w:r>
    </w:p>
    <w:p>
      <w:pPr>
        <w:rPr>
          <w:rFonts w:hint="eastAsia" w:ascii="宋体" w:hAnsi="宋体"/>
          <w:color w:val="000000"/>
          <w:szCs w:val="21"/>
        </w:rPr>
      </w:pPr>
    </w:p>
    <w:p>
      <w:r>
        <w:rPr>
          <w:rFonts w:hint="eastAsia"/>
        </w:rPr>
        <w:br w:type="page"/>
      </w:r>
    </w:p>
    <w:p>
      <w:pPr>
        <w:pStyle w:val="3"/>
        <w:rPr>
          <w:rFonts w:hint="eastAsia"/>
          <w:sz w:val="24"/>
        </w:rPr>
      </w:pPr>
      <w:r>
        <w:rPr>
          <w:rFonts w:hint="eastAsia"/>
        </w:rPr>
        <w:t xml:space="preserve">第二册  </w:t>
      </w:r>
      <w:r>
        <w:rPr>
          <w:rFonts w:hint="eastAsia"/>
          <w:kern w:val="2"/>
        </w:rPr>
        <w:t>投标文件的格式及合同</w:t>
      </w:r>
    </w:p>
    <w:p>
      <w:pPr>
        <w:pStyle w:val="6"/>
        <w:rPr>
          <w:rFonts w:hint="eastAsia"/>
          <w:b w:val="0"/>
          <w:color w:val="000000"/>
        </w:rPr>
      </w:pPr>
      <w:bookmarkStart w:id="17" w:name="bt附件"/>
      <w:bookmarkEnd w:id="17"/>
      <w:bookmarkStart w:id="18" w:name="bt投标书"/>
      <w:bookmarkEnd w:id="18"/>
      <w:bookmarkStart w:id="19" w:name="_Toc194467285"/>
      <w:r>
        <w:rPr>
          <w:rFonts w:hint="eastAsia"/>
          <w:kern w:val="2"/>
        </w:rPr>
        <w:t>第一章  投标文件的格式</w:t>
      </w:r>
      <w:bookmarkEnd w:id="19"/>
    </w:p>
    <w:p>
      <w:pPr>
        <w:spacing w:line="360" w:lineRule="exact"/>
        <w:ind w:firstLine="422" w:firstLineChars="200"/>
        <w:rPr>
          <w:rFonts w:hint="eastAsia"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spacing w:line="360" w:lineRule="exact"/>
        <w:rPr>
          <w:rFonts w:ascii="仿宋_GB2312" w:eastAsia="仿宋_GB2312"/>
          <w:color w:val="FF0000"/>
          <w:sz w:val="24"/>
        </w:rPr>
      </w:pPr>
    </w:p>
    <w:p>
      <w:pPr>
        <w:spacing w:line="360" w:lineRule="exact"/>
        <w:ind w:firstLine="422" w:firstLineChars="200"/>
        <w:rPr>
          <w:b/>
          <w:color w:val="FF0000"/>
          <w:szCs w:val="21"/>
        </w:rPr>
      </w:pPr>
      <w:r>
        <w:rPr>
          <w:rFonts w:hint="eastAsia"/>
          <w:b/>
          <w:color w:val="FF0000"/>
          <w:szCs w:val="21"/>
        </w:rPr>
        <w:t>温馨提示：</w:t>
      </w:r>
    </w:p>
    <w:p>
      <w:pPr>
        <w:spacing w:line="360" w:lineRule="exact"/>
        <w:ind w:firstLine="422" w:firstLineChars="200"/>
        <w:rPr>
          <w:rFonts w:hint="eastAsia"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pPr>
        <w:spacing w:line="360" w:lineRule="exact"/>
        <w:ind w:firstLine="480"/>
        <w:rPr>
          <w:rFonts w:hint="eastAsia" w:ascii="宋体" w:hAnsi="宋体"/>
          <w:color w:val="000000"/>
          <w:szCs w:val="21"/>
        </w:rPr>
      </w:pPr>
      <w:r>
        <w:rPr>
          <w:rFonts w:hint="eastAsia" w:ascii="宋体" w:hAnsi="宋体"/>
          <w:color w:val="000000"/>
          <w:szCs w:val="21"/>
        </w:rPr>
        <w:t>1.《</w:t>
      </w:r>
      <w:bookmarkStart w:id="20" w:name="OLE_LINK28"/>
      <w:r>
        <w:rPr>
          <w:rFonts w:hint="eastAsia" w:ascii="宋体" w:hAnsi="宋体"/>
          <w:color w:val="000000"/>
          <w:szCs w:val="21"/>
        </w:rPr>
        <w:t>政府采购投标及履约承诺函</w:t>
      </w:r>
      <w:bookmarkEnd w:id="20"/>
      <w:r>
        <w:rPr>
          <w:rFonts w:hint="eastAsia" w:ascii="宋体" w:hAnsi="宋体"/>
          <w:color w:val="000000"/>
          <w:szCs w:val="21"/>
        </w:rPr>
        <w:t>》、《法定代表人（负责人）资格证明书》、《投标文件签署授权委托书》、《分项报价清单》未按照招标文件规定的样式及要求填写；</w:t>
      </w:r>
    </w:p>
    <w:p>
      <w:pPr>
        <w:spacing w:line="360" w:lineRule="exact"/>
        <w:ind w:firstLine="480"/>
        <w:rPr>
          <w:rFonts w:hint="eastAsia" w:ascii="宋体" w:hAnsi="宋体"/>
          <w:color w:val="000000"/>
          <w:szCs w:val="21"/>
        </w:rPr>
      </w:pPr>
      <w:r>
        <w:rPr>
          <w:rFonts w:hint="eastAsia" w:ascii="宋体" w:hAnsi="宋体"/>
          <w:color w:val="000000"/>
          <w:szCs w:val="21"/>
        </w:rPr>
        <w:t>2.《政府采购投标及履约承诺函》中的抬头、项目编号、项目名称、投标供应商名称、法定代表人或其委托代理人的名称、日期填写错误；</w:t>
      </w:r>
    </w:p>
    <w:p>
      <w:pPr>
        <w:spacing w:line="360" w:lineRule="exact"/>
        <w:rPr>
          <w:rFonts w:hint="eastAsia"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pPr>
        <w:spacing w:line="360" w:lineRule="exact"/>
        <w:rPr>
          <w:rFonts w:hint="eastAsia"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pPr>
        <w:rPr>
          <w:rFonts w:ascii="仿宋_GB2312" w:eastAsia="仿宋_GB2312"/>
          <w:sz w:val="24"/>
          <w:lang w:val="en"/>
        </w:rPr>
      </w:pPr>
    </w:p>
    <w:p>
      <w:pPr>
        <w:widowControl/>
        <w:jc w:val="left"/>
        <w:rPr>
          <w:rFonts w:hint="eastAsia" w:ascii="宋体" w:hAnsi="宋体" w:cs="宋体"/>
          <w:b/>
          <w:sz w:val="28"/>
          <w:szCs w:val="32"/>
        </w:rPr>
      </w:pPr>
      <w:bookmarkStart w:id="21" w:name="_Toc194467288"/>
      <w:r>
        <w:br w:type="page"/>
      </w:r>
    </w:p>
    <w:p>
      <w:pPr>
        <w:pStyle w:val="4"/>
        <w:jc w:val="center"/>
        <w:rPr>
          <w:rFonts w:hint="eastAsia"/>
        </w:rPr>
      </w:pPr>
      <w:r>
        <w:rPr>
          <w:rFonts w:hint="eastAsia"/>
        </w:rPr>
        <w:t>一、关键信息</w:t>
      </w:r>
    </w:p>
    <w:p>
      <w:pPr>
        <w:pStyle w:val="4"/>
        <w:jc w:val="center"/>
        <w:rPr>
          <w:rFonts w:hint="eastAsia"/>
        </w:rPr>
      </w:pPr>
      <w:r>
        <w:rPr>
          <w:rFonts w:hint="eastAsia"/>
        </w:rPr>
        <w:t>（一）开标一览表</w:t>
      </w:r>
    </w:p>
    <w:tbl>
      <w:tblPr>
        <w:tblStyle w:val="33"/>
        <w:tblW w:w="8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2"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2"/>
    </w:tbl>
    <w:p/>
    <w:p>
      <w:pPr>
        <w:widowControl/>
        <w:jc w:val="left"/>
        <w:rPr>
          <w:rFonts w:ascii="Arial" w:hAnsi="Arial" w:eastAsia="黑体"/>
          <w:bCs/>
          <w:sz w:val="24"/>
        </w:rPr>
      </w:pPr>
      <w:r>
        <w:rPr>
          <w:b/>
          <w:sz w:val="24"/>
        </w:rPr>
        <w:br w:type="page"/>
      </w:r>
    </w:p>
    <w:p>
      <w:pPr>
        <w:pStyle w:val="4"/>
        <w:jc w:val="center"/>
        <w:rPr>
          <w:rFonts w:hint="eastAsia"/>
        </w:rPr>
      </w:pPr>
      <w:r>
        <w:rPr>
          <w:rFonts w:hint="eastAsia"/>
        </w:rPr>
        <w:t>（二）</w:t>
      </w:r>
      <w:bookmarkEnd w:id="21"/>
      <w:r>
        <w:rPr>
          <w:rFonts w:hint="eastAsia"/>
        </w:rPr>
        <w:t>政府采购投标及履约承诺函</w:t>
      </w:r>
    </w:p>
    <w:p>
      <w:pPr>
        <w:spacing w:line="360" w:lineRule="exact"/>
        <w:rPr>
          <w:rFonts w:hint="eastAsia" w:ascii="宋体" w:hAnsi="宋体" w:cs="宋体"/>
          <w:b/>
          <w:bCs/>
          <w:color w:val="FF0000"/>
          <w:szCs w:val="21"/>
          <w:u w:val="single"/>
        </w:rPr>
      </w:pPr>
      <w:r>
        <w:rPr>
          <w:rFonts w:hint="eastAsia" w:ascii="宋体" w:hAnsi="宋体" w:cs="宋体"/>
          <w:color w:val="FF0000"/>
          <w:szCs w:val="21"/>
        </w:rPr>
        <w:t>致：</w:t>
      </w:r>
      <w:r>
        <w:rPr>
          <w:rFonts w:hint="eastAsia" w:ascii="宋体" w:hAnsi="宋体" w:cs="宋体"/>
          <w:b/>
          <w:bCs/>
          <w:color w:val="FF0000"/>
          <w:szCs w:val="21"/>
          <w:u w:val="single"/>
        </w:rPr>
        <w:t xml:space="preserve">（采购人）            </w:t>
      </w:r>
    </w:p>
    <w:p>
      <w:pPr>
        <w:spacing w:line="360" w:lineRule="exact"/>
        <w:ind w:firstLine="420" w:firstLineChars="200"/>
        <w:rPr>
          <w:rFonts w:hint="eastAsia" w:ascii="宋体" w:hAnsi="宋体" w:cs="宋体"/>
          <w:szCs w:val="21"/>
        </w:rPr>
      </w:pPr>
      <w:r>
        <w:rPr>
          <w:rFonts w:hint="eastAsia" w:ascii="宋体" w:hAnsi="宋体" w:cs="宋体"/>
          <w:szCs w:val="21"/>
        </w:rPr>
        <w:t>我单位承诺：</w:t>
      </w:r>
    </w:p>
    <w:p>
      <w:pPr>
        <w:spacing w:line="360" w:lineRule="exact"/>
        <w:ind w:firstLine="420" w:firstLineChars="200"/>
        <w:rPr>
          <w:rFonts w:hint="eastAsia" w:ascii="宋体" w:hAnsi="宋体" w:cs="宋体"/>
          <w:szCs w:val="21"/>
        </w:rPr>
      </w:pPr>
      <w:r>
        <w:rPr>
          <w:rFonts w:hint="eastAsia" w:ascii="宋体" w:hAnsi="宋体" w:cs="宋体"/>
          <w:szCs w:val="21"/>
        </w:rPr>
        <w:t>1.我单位参与本项目符合资格条件关于联合体、进口产品的要求。</w:t>
      </w:r>
    </w:p>
    <w:p>
      <w:pPr>
        <w:spacing w:line="360" w:lineRule="exact"/>
        <w:ind w:firstLine="420" w:firstLineChars="200"/>
        <w:rPr>
          <w:rFonts w:hint="eastAsia" w:ascii="宋体" w:hAnsi="宋体" w:cs="宋体"/>
          <w:szCs w:val="21"/>
        </w:rPr>
      </w:pPr>
      <w:r>
        <w:rPr>
          <w:rFonts w:hint="eastAsia" w:ascii="宋体" w:hAnsi="宋体" w:cs="宋体"/>
          <w:szCs w:val="21"/>
        </w:rPr>
        <w:t>2.我单位参与本项目所投标（响应）的货物、工程或服务，不存在侵犯知识产权的情况。</w:t>
      </w:r>
    </w:p>
    <w:p>
      <w:pPr>
        <w:spacing w:line="360" w:lineRule="exact"/>
        <w:ind w:firstLine="420" w:firstLineChars="200"/>
        <w:rPr>
          <w:rFonts w:hint="eastAsia" w:ascii="宋体" w:hAnsi="宋体" w:cs="宋体"/>
          <w:szCs w:val="21"/>
        </w:rPr>
      </w:pPr>
      <w:r>
        <w:rPr>
          <w:rFonts w:hint="eastAsia" w:ascii="宋体" w:hAnsi="宋体" w:cs="宋体"/>
          <w:szCs w:val="21"/>
        </w:rPr>
        <w:t>3.我单位参与本项目政府采购活动时不存在被有关部门禁止参与政府采购活动且在有效期内的情况。</w:t>
      </w:r>
    </w:p>
    <w:p>
      <w:pPr>
        <w:spacing w:line="360" w:lineRule="exact"/>
        <w:ind w:firstLine="420" w:firstLineChars="200"/>
        <w:rPr>
          <w:rFonts w:hint="eastAsia" w:ascii="宋体" w:hAnsi="宋体" w:cs="宋体"/>
          <w:szCs w:val="21"/>
        </w:rPr>
      </w:pPr>
      <w:r>
        <w:rPr>
          <w:rFonts w:hint="eastAsia" w:ascii="宋体" w:hAnsi="宋体" w:cs="宋体"/>
          <w:szCs w:val="21"/>
        </w:rPr>
        <w:t>4.我单位具备《中华人民共和国政府采购法》第二十二条第一款规定的六项条件。</w:t>
      </w:r>
    </w:p>
    <w:p>
      <w:pPr>
        <w:spacing w:line="360" w:lineRule="exact"/>
        <w:ind w:firstLine="420" w:firstLineChars="200"/>
        <w:rPr>
          <w:rFonts w:hint="eastAsia" w:ascii="宋体" w:hAnsi="宋体" w:cs="宋体"/>
          <w:szCs w:val="21"/>
        </w:rPr>
      </w:pPr>
      <w:r>
        <w:rPr>
          <w:rFonts w:hint="eastAsia" w:ascii="宋体" w:hAnsi="宋体" w:cs="宋体"/>
          <w:szCs w:val="21"/>
        </w:rPr>
        <w:t>5.我单位未被列入失信被执行人、重大税收违法案件当事人名单、政府采购严重违法失信行为记录名单。</w:t>
      </w:r>
    </w:p>
    <w:p>
      <w:pPr>
        <w:spacing w:line="360" w:lineRule="exact"/>
        <w:ind w:firstLine="420" w:firstLineChars="200"/>
        <w:rPr>
          <w:rFonts w:hint="eastAsia" w:ascii="宋体" w:hAnsi="宋体" w:cs="宋体"/>
          <w:szCs w:val="21"/>
        </w:rPr>
      </w:pPr>
      <w:r>
        <w:rPr>
          <w:rFonts w:hint="eastAsia" w:ascii="宋体" w:hAnsi="宋体" w:cs="宋体"/>
          <w:szCs w:val="21"/>
        </w:rPr>
        <w:t>6.我单位不存在《深圳市财政局政府采购供应商信用信息管理办法》（深财规〔2023〕3号）列明的严重违法失信行为。</w:t>
      </w:r>
    </w:p>
    <w:p>
      <w:pPr>
        <w:spacing w:line="360" w:lineRule="exact"/>
        <w:ind w:firstLine="420" w:firstLineChars="200"/>
        <w:rPr>
          <w:rFonts w:hint="eastAsia" w:ascii="宋体" w:hAnsi="宋体" w:cs="宋体"/>
          <w:szCs w:val="21"/>
        </w:rPr>
      </w:pPr>
      <w:r>
        <w:rPr>
          <w:rFonts w:hint="eastAsia" w:ascii="宋体" w:hAnsi="宋体" w:cs="宋体"/>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360" w:lineRule="exact"/>
        <w:ind w:firstLine="420" w:firstLineChars="200"/>
        <w:rPr>
          <w:rFonts w:hint="eastAsia" w:ascii="宋体" w:hAnsi="宋体" w:cs="宋体"/>
          <w:szCs w:val="21"/>
        </w:rPr>
      </w:pPr>
      <w:r>
        <w:rPr>
          <w:rFonts w:hint="eastAsia" w:ascii="宋体" w:hAnsi="宋体" w:cs="宋体"/>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exact"/>
        <w:ind w:firstLine="420" w:firstLineChars="200"/>
        <w:rPr>
          <w:rFonts w:hint="eastAsia" w:ascii="宋体" w:hAnsi="宋体" w:cs="宋体"/>
          <w:szCs w:val="21"/>
        </w:rPr>
      </w:pPr>
      <w:r>
        <w:rPr>
          <w:rFonts w:hint="eastAsia" w:ascii="宋体" w:hAnsi="宋体" w:cs="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exact"/>
        <w:ind w:firstLine="420" w:firstLineChars="200"/>
        <w:rPr>
          <w:rFonts w:hint="eastAsia" w:ascii="宋体" w:hAnsi="宋体" w:cs="宋体"/>
          <w:szCs w:val="21"/>
        </w:rPr>
      </w:pPr>
      <w:r>
        <w:rPr>
          <w:rFonts w:hint="eastAsia" w:ascii="宋体" w:hAnsi="宋体" w:cs="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exact"/>
        <w:ind w:firstLine="420" w:firstLineChars="200"/>
        <w:rPr>
          <w:rFonts w:hint="eastAsia" w:ascii="宋体" w:hAnsi="宋体" w:cs="宋体"/>
          <w:szCs w:val="21"/>
        </w:rPr>
      </w:pPr>
      <w:r>
        <w:rPr>
          <w:rFonts w:hint="eastAsia" w:ascii="宋体" w:hAnsi="宋体" w:cs="宋体"/>
          <w:szCs w:val="21"/>
        </w:rPr>
        <w:t>10.我单位承诺中标后项目不转包，未经采购人同意不进行分包。</w:t>
      </w:r>
    </w:p>
    <w:p>
      <w:pPr>
        <w:spacing w:line="360" w:lineRule="exact"/>
        <w:ind w:firstLine="420" w:firstLineChars="200"/>
        <w:rPr>
          <w:rFonts w:hint="eastAsia" w:ascii="宋体" w:hAnsi="宋体" w:cs="宋体"/>
          <w:szCs w:val="21"/>
        </w:rPr>
      </w:pPr>
      <w:r>
        <w:rPr>
          <w:rFonts w:hint="eastAsia" w:ascii="宋体" w:hAnsi="宋体" w:cs="宋体"/>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exact"/>
        <w:ind w:firstLine="420" w:firstLineChars="200"/>
        <w:rPr>
          <w:rFonts w:hint="eastAsia" w:ascii="宋体" w:hAnsi="宋体" w:cs="宋体"/>
          <w:szCs w:val="21"/>
        </w:rPr>
      </w:pPr>
      <w:r>
        <w:rPr>
          <w:rFonts w:hint="eastAsia" w:ascii="宋体" w:hAnsi="宋体" w:cs="宋体"/>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spacing w:line="360" w:lineRule="exact"/>
        <w:ind w:firstLine="420" w:firstLineChars="200"/>
        <w:rPr>
          <w:rFonts w:hint="eastAsia" w:ascii="宋体" w:hAnsi="宋体" w:cs="宋体"/>
          <w:szCs w:val="21"/>
        </w:rPr>
      </w:pPr>
      <w:r>
        <w:rPr>
          <w:rFonts w:hint="eastAsia" w:ascii="宋体" w:hAnsi="宋体" w:cs="宋体"/>
          <w:szCs w:val="21"/>
        </w:rPr>
        <w:t>13.我单位已知悉并同意中标（成交）结果信息公示（公开）的内容。</w:t>
      </w:r>
    </w:p>
    <w:p>
      <w:pPr>
        <w:spacing w:line="360" w:lineRule="exact"/>
        <w:ind w:firstLine="420" w:firstLineChars="200"/>
        <w:rPr>
          <w:rFonts w:hint="eastAsia" w:ascii="宋体" w:hAnsi="宋体" w:cs="宋体"/>
          <w:szCs w:val="21"/>
        </w:rPr>
      </w:pPr>
      <w:r>
        <w:rPr>
          <w:rFonts w:hint="eastAsia" w:ascii="宋体" w:hAnsi="宋体" w:cs="宋体"/>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pacing w:line="360" w:lineRule="exact"/>
        <w:ind w:firstLine="422" w:firstLineChars="200"/>
        <w:rPr>
          <w:rFonts w:hint="eastAsia" w:ascii="宋体" w:hAnsi="宋体" w:cs="宋体"/>
          <w:b/>
          <w:bCs/>
          <w:szCs w:val="21"/>
        </w:rPr>
      </w:pPr>
      <w:r>
        <w:rPr>
          <w:rFonts w:hint="eastAsia" w:ascii="宋体" w:hAnsi="宋体" w:cs="宋体"/>
          <w:b/>
          <w:bCs/>
          <w:szCs w:val="21"/>
        </w:rPr>
        <w:t>15.我单位清楚，如存在违反投标承诺行为情节严重的，将根据《深圳市财政局关于印发&lt;深圳市财政局政府采购供应商信用信息管理办法&gt;的通知》，依法被列入失信信息。</w:t>
      </w:r>
    </w:p>
    <w:p>
      <w:pPr>
        <w:spacing w:line="360" w:lineRule="exact"/>
        <w:ind w:firstLine="420" w:firstLineChars="200"/>
        <w:rPr>
          <w:rFonts w:hint="eastAsia" w:ascii="宋体" w:hAnsi="宋体" w:cs="宋体"/>
          <w:szCs w:val="21"/>
        </w:rPr>
      </w:pPr>
    </w:p>
    <w:p>
      <w:pPr>
        <w:spacing w:line="360" w:lineRule="exact"/>
        <w:ind w:firstLine="420" w:firstLineChars="200"/>
        <w:rPr>
          <w:rFonts w:hint="eastAsia" w:ascii="宋体" w:hAnsi="宋体" w:cs="宋体"/>
          <w:szCs w:val="21"/>
        </w:rPr>
      </w:pPr>
      <w:r>
        <w:rPr>
          <w:rFonts w:hint="eastAsia" w:ascii="宋体" w:hAnsi="宋体" w:cs="宋体"/>
          <w:szCs w:val="21"/>
        </w:rPr>
        <w:t>以上承诺，如有违反，愿依照国家相关法律法规处理，并承担由此给采购人带来的损失。</w:t>
      </w:r>
    </w:p>
    <w:p>
      <w:pPr>
        <w:spacing w:line="360" w:lineRule="exact"/>
        <w:ind w:firstLine="420" w:firstLineChars="200"/>
        <w:rPr>
          <w:rFonts w:hint="eastAsia" w:ascii="宋体" w:hAnsi="宋体" w:cs="宋体"/>
          <w:szCs w:val="21"/>
        </w:rPr>
      </w:pPr>
    </w:p>
    <w:p>
      <w:pPr>
        <w:spacing w:line="360" w:lineRule="exact"/>
        <w:ind w:firstLine="420" w:firstLineChars="200"/>
        <w:jc w:val="center"/>
        <w:rPr>
          <w:rFonts w:hint="eastAsia" w:ascii="宋体" w:hAnsi="宋体" w:cs="宋体"/>
          <w:color w:val="FF0000"/>
          <w:szCs w:val="21"/>
          <w:u w:val="single"/>
        </w:rPr>
      </w:pPr>
      <w:r>
        <w:rPr>
          <w:rFonts w:hint="eastAsia" w:ascii="宋体" w:hAnsi="宋体" w:cs="宋体"/>
          <w:szCs w:val="21"/>
        </w:rPr>
        <w:t xml:space="preserve">                          </w:t>
      </w:r>
      <w:r>
        <w:rPr>
          <w:rFonts w:hint="eastAsia" w:ascii="宋体" w:hAnsi="宋体" w:cs="宋体"/>
          <w:color w:val="FF0000"/>
          <w:szCs w:val="21"/>
        </w:rPr>
        <w:t xml:space="preserve"> 投标供应商名称：</w:t>
      </w:r>
      <w:r>
        <w:rPr>
          <w:rFonts w:hint="eastAsia" w:ascii="宋体" w:hAnsi="宋体" w:cs="宋体"/>
          <w:color w:val="FF0000"/>
          <w:szCs w:val="21"/>
          <w:u w:val="single"/>
        </w:rPr>
        <w:t xml:space="preserve">                 </w:t>
      </w:r>
    </w:p>
    <w:p>
      <w:pPr>
        <w:widowControl/>
        <w:spacing w:line="360" w:lineRule="exact"/>
        <w:ind w:firstLine="420" w:firstLineChars="200"/>
        <w:jc w:val="right"/>
        <w:rPr>
          <w:rFonts w:hint="eastAsia" w:ascii="宋体" w:hAnsi="宋体" w:cs="宋体"/>
          <w:spacing w:val="-6"/>
          <w:szCs w:val="21"/>
        </w:rPr>
      </w:pPr>
      <w:r>
        <w:rPr>
          <w:rFonts w:hint="eastAsia" w:ascii="宋体" w:hAnsi="宋体" w:cs="宋体"/>
          <w:color w:val="FF0000"/>
          <w:szCs w:val="21"/>
        </w:rPr>
        <w:t>日期：    年   月   日</w:t>
      </w:r>
    </w:p>
    <w:p>
      <w:pPr>
        <w:spacing w:line="320" w:lineRule="exact"/>
        <w:rPr>
          <w:color w:val="FF0000"/>
          <w:szCs w:val="21"/>
        </w:rPr>
      </w:pPr>
    </w:p>
    <w:p>
      <w:pPr>
        <w:ind w:left="257"/>
        <w:jc w:val="right"/>
        <w:rPr>
          <w:rFonts w:hint="eastAsia" w:ascii="宋体" w:hAnsi="宋体"/>
          <w:szCs w:val="21"/>
        </w:rPr>
      </w:pPr>
    </w:p>
    <w:p>
      <w:pPr>
        <w:widowControl/>
        <w:jc w:val="left"/>
        <w:rPr>
          <w:rFonts w:ascii="Arial" w:hAnsi="Arial" w:eastAsia="黑体"/>
          <w:bCs/>
          <w:sz w:val="24"/>
        </w:rPr>
      </w:pPr>
      <w:r>
        <w:rPr>
          <w:b/>
          <w:sz w:val="24"/>
        </w:rPr>
        <w:br w:type="page"/>
      </w:r>
    </w:p>
    <w:p>
      <w:pPr>
        <w:pStyle w:val="4"/>
        <w:jc w:val="center"/>
        <w:rPr>
          <w:rFonts w:hint="eastAsia"/>
        </w:rPr>
      </w:pPr>
      <w:r>
        <w:rPr>
          <w:rFonts w:hint="eastAsia"/>
          <w:szCs w:val="24"/>
        </w:rPr>
        <w:t>（三）</w:t>
      </w:r>
      <w:r>
        <w:rPr>
          <w:rFonts w:hint="eastAsia"/>
        </w:rPr>
        <w:t>供应商资格证明文件</w:t>
      </w:r>
    </w:p>
    <w:p>
      <w:pPr>
        <w:spacing w:before="120" w:beforeLines="50"/>
        <w:ind w:firstLine="422" w:firstLineChars="200"/>
        <w:rPr>
          <w:b/>
          <w:bCs/>
          <w:color w:val="FF0000"/>
        </w:rPr>
      </w:pPr>
      <w:bookmarkStart w:id="23"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3"/>
    <w:p>
      <w:pPr>
        <w:spacing w:before="120" w:beforeLines="50"/>
        <w:ind w:firstLine="422" w:firstLineChars="200"/>
        <w:rPr>
          <w:bCs/>
        </w:rPr>
      </w:pPr>
      <w:r>
        <w:rPr>
          <w:rFonts w:hint="eastAsia"/>
          <w:b/>
          <w:bCs/>
          <w:color w:val="FF0000"/>
        </w:rPr>
        <w:t>1、资格证明材料：</w:t>
      </w:r>
      <w:r>
        <w:rPr>
          <w:bCs/>
        </w:rPr>
        <w:t xml:space="preserve"> </w:t>
      </w:r>
    </w:p>
    <w:p>
      <w:pPr>
        <w:pStyle w:val="5"/>
        <w:jc w:val="center"/>
        <w:rPr>
          <w:b w:val="0"/>
        </w:rPr>
      </w:pPr>
      <w:r>
        <w:rPr>
          <w:rFonts w:hint="eastAsia"/>
          <w:b w:val="0"/>
        </w:rPr>
        <w:t>（1）供应商基本情况表</w:t>
      </w:r>
    </w:p>
    <w:tbl>
      <w:tblPr>
        <w:tblStyle w:val="3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bookmarkStart w:id="24" w:name="OLE_LINK25"/>
            <w:r>
              <w:rPr>
                <w:rFonts w:hint="eastAsia" w:ascii="宋体" w:hAnsi="宋体" w:cs="宋体"/>
                <w:b/>
                <w:bCs/>
                <w:szCs w:val="21"/>
              </w:rPr>
              <w:t>投标（响应）供应商</w:t>
            </w:r>
          </w:p>
        </w:tc>
        <w:tc>
          <w:tcPr>
            <w:tcW w:w="219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b/>
                <w:bCs/>
                <w:szCs w:val="21"/>
              </w:rPr>
              <w:t>采购项目名称及编号</w:t>
            </w:r>
          </w:p>
        </w:tc>
        <w:tc>
          <w:tcPr>
            <w:tcW w:w="367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职务</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姓名</w:t>
            </w: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身份证号码</w:t>
            </w:r>
          </w:p>
        </w:tc>
        <w:tc>
          <w:tcPr>
            <w:tcW w:w="1898"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Cs w:val="21"/>
              </w:rPr>
            </w:pPr>
            <w:r>
              <w:rPr>
                <w:rFonts w:hint="eastAsia" w:ascii="宋体" w:hAnsi="宋体" w:cs="宋体"/>
                <w:b/>
                <w:bCs/>
                <w:szCs w:val="21"/>
              </w:rPr>
              <w:t>劳动合同</w:t>
            </w:r>
          </w:p>
          <w:p>
            <w:pPr>
              <w:snapToGrid w:val="0"/>
              <w:jc w:val="center"/>
              <w:rPr>
                <w:rFonts w:hint="eastAsia" w:ascii="宋体" w:hAnsi="宋体" w:cs="宋体"/>
                <w:b/>
                <w:bCs/>
                <w:szCs w:val="21"/>
              </w:rPr>
            </w:pPr>
            <w:r>
              <w:rPr>
                <w:rFonts w:hint="eastAsia" w:ascii="宋体" w:hAnsi="宋体" w:cs="宋体"/>
                <w:b/>
                <w:bCs/>
                <w:szCs w:val="21"/>
              </w:rPr>
              <w:t>关系单位</w:t>
            </w:r>
          </w:p>
        </w:tc>
        <w:tc>
          <w:tcPr>
            <w:tcW w:w="1779"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Cs w:val="21"/>
              </w:rPr>
            </w:pPr>
            <w:r>
              <w:rPr>
                <w:rFonts w:hint="eastAsia" w:ascii="宋体" w:hAnsi="宋体" w:cs="宋体"/>
                <w:b/>
                <w:bCs/>
                <w:szCs w:val="21"/>
              </w:rPr>
              <w:t>缴纳社会</w:t>
            </w:r>
          </w:p>
          <w:p>
            <w:pPr>
              <w:snapToGrid w:val="0"/>
              <w:jc w:val="center"/>
              <w:rPr>
                <w:rFonts w:hint="eastAsia" w:ascii="宋体" w:hAnsi="宋体" w:cs="宋体"/>
                <w:b/>
                <w:bCs/>
                <w:szCs w:val="21"/>
              </w:rPr>
            </w:pPr>
            <w:r>
              <w:rPr>
                <w:rFonts w:hint="eastAsia" w:ascii="宋体" w:hAnsi="宋体" w:cs="宋体"/>
                <w:b/>
                <w:bCs/>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法定代表人/单位负责人/主要经营负责人</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项目投标授权代表人</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3</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项目负责人</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4</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主要技术人员</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5</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投标文件编制人员</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bCs/>
                <w:szCs w:val="21"/>
              </w:rPr>
            </w:pPr>
            <w:r>
              <w:rPr>
                <w:rFonts w:hint="eastAsia" w:ascii="宋体" w:hAnsi="宋体" w:cs="宋体"/>
                <w:b/>
                <w:bCs/>
                <w:szCs w:val="21"/>
              </w:rPr>
              <w:t>说明：1.同一职务有多人担任（如主要技术人员），应分行填写。</w:t>
            </w:r>
          </w:p>
          <w:p>
            <w:pPr>
              <w:rPr>
                <w:rFonts w:hint="eastAsia" w:ascii="宋体" w:hAnsi="宋体" w:cs="宋体"/>
                <w:szCs w:val="21"/>
              </w:rPr>
            </w:pPr>
            <w:r>
              <w:rPr>
                <w:rFonts w:hint="eastAsia" w:ascii="宋体" w:hAnsi="宋体" w:cs="宋体"/>
                <w:b/>
                <w:bCs/>
                <w:szCs w:val="21"/>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关联关系类型</w:t>
            </w:r>
          </w:p>
        </w:tc>
        <w:tc>
          <w:tcPr>
            <w:tcW w:w="3212"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关联主体名称</w:t>
            </w:r>
          </w:p>
        </w:tc>
        <w:tc>
          <w:tcPr>
            <w:tcW w:w="367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3212"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3212"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是指对投标（响应）供应商不具有出资持股关系，但对其存在管理关系的主体。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bookmarkEnd w:id="24"/>
    </w:tbl>
    <w:p/>
    <w:p>
      <w:pPr>
        <w:jc w:val="center"/>
      </w:pPr>
    </w:p>
    <w:p>
      <w:pPr>
        <w:jc w:val="center"/>
      </w:pPr>
    </w:p>
    <w:p>
      <w:pPr>
        <w:pStyle w:val="4"/>
        <w:jc w:val="center"/>
        <w:rPr>
          <w:rFonts w:hint="eastAsia"/>
        </w:rPr>
      </w:pPr>
      <w:r>
        <w:rPr>
          <w:rFonts w:hint="eastAsia"/>
          <w:szCs w:val="24"/>
        </w:rPr>
        <w:t>（四）</w:t>
      </w:r>
      <w:r>
        <w:rPr>
          <w:rFonts w:hint="eastAsia"/>
        </w:rPr>
        <w:t>实质性服务条款（以★号标注）证明文件（如有）</w:t>
      </w:r>
    </w:p>
    <w:p>
      <w:pPr>
        <w:ind w:firstLine="420" w:firstLineChars="200"/>
        <w:rPr>
          <w:color w:val="FF0000"/>
        </w:rPr>
      </w:pPr>
      <w:r>
        <w:rPr>
          <w:rFonts w:hint="eastAsia"/>
          <w:color w:val="FF0000"/>
        </w:rPr>
        <w:t>备注：</w:t>
      </w:r>
    </w:p>
    <w:p>
      <w:pPr>
        <w:spacing w:line="320" w:lineRule="exact"/>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pPr>
        <w:spacing w:line="320" w:lineRule="exact"/>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25"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3774" w:type="dxa"/>
          </w:tcPr>
          <w:p>
            <w:pPr>
              <w:rPr>
                <w:rFonts w:hint="eastAsia"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hint="eastAsia" w:ascii="宋体" w:hAnsi="宋体"/>
                <w:kern w:val="0"/>
                <w:szCs w:val="21"/>
              </w:rPr>
            </w:pPr>
          </w:p>
        </w:tc>
        <w:tc>
          <w:tcPr>
            <w:tcW w:w="1275" w:type="dxa"/>
          </w:tcPr>
          <w:p>
            <w:pPr>
              <w:adjustRightInd w:val="0"/>
              <w:snapToGrid w:val="0"/>
              <w:spacing w:line="360" w:lineRule="auto"/>
              <w:rPr>
                <w:rFonts w:hint="eastAsia" w:ascii="宋体" w:hAnsi="宋体"/>
                <w:kern w:val="0"/>
                <w:szCs w:val="21"/>
              </w:rPr>
            </w:pPr>
          </w:p>
        </w:tc>
        <w:tc>
          <w:tcPr>
            <w:tcW w:w="933" w:type="dxa"/>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3774" w:type="dxa"/>
            <w:vAlign w:val="center"/>
          </w:tcPr>
          <w:p>
            <w:pPr>
              <w:adjustRightInd w:val="0"/>
              <w:snapToGrid w:val="0"/>
              <w:spacing w:line="360" w:lineRule="auto"/>
              <w:jc w:val="center"/>
              <w:rPr>
                <w:rFonts w:hint="eastAsia" w:hAnsi="宋体"/>
                <w:kern w:val="0"/>
                <w:szCs w:val="21"/>
              </w:rPr>
            </w:pPr>
            <w:r>
              <w:rPr>
                <w:rFonts w:hint="eastAsia"/>
                <w:color w:val="FF0000"/>
                <w:szCs w:val="21"/>
              </w:rPr>
              <w:t>★</w:t>
            </w:r>
            <w:r>
              <w:rPr>
                <w:rFonts w:hint="eastAsia" w:ascii="宋体" w:hAnsi="宋体"/>
                <w:color w:val="FF0000"/>
              </w:rPr>
              <w:t>完全满足本项目其他★标记条款的要求。</w:t>
            </w:r>
          </w:p>
        </w:tc>
        <w:tc>
          <w:tcPr>
            <w:tcW w:w="1530" w:type="dxa"/>
          </w:tcPr>
          <w:p>
            <w:pPr>
              <w:adjustRightInd w:val="0"/>
              <w:snapToGrid w:val="0"/>
              <w:spacing w:line="360" w:lineRule="auto"/>
              <w:rPr>
                <w:rFonts w:hint="eastAsia" w:ascii="宋体" w:hAnsi="宋体"/>
                <w:kern w:val="0"/>
                <w:szCs w:val="21"/>
              </w:rPr>
            </w:pPr>
          </w:p>
        </w:tc>
        <w:tc>
          <w:tcPr>
            <w:tcW w:w="1275" w:type="dxa"/>
          </w:tcPr>
          <w:p>
            <w:pPr>
              <w:adjustRightInd w:val="0"/>
              <w:snapToGrid w:val="0"/>
              <w:spacing w:line="360" w:lineRule="auto"/>
              <w:rPr>
                <w:rFonts w:hint="eastAsia" w:ascii="宋体" w:hAnsi="宋体"/>
                <w:kern w:val="0"/>
                <w:szCs w:val="21"/>
              </w:rPr>
            </w:pPr>
          </w:p>
        </w:tc>
        <w:tc>
          <w:tcPr>
            <w:tcW w:w="933" w:type="dxa"/>
          </w:tcPr>
          <w:p>
            <w:pPr>
              <w:adjustRightInd w:val="0"/>
              <w:snapToGrid w:val="0"/>
              <w:spacing w:line="360" w:lineRule="auto"/>
              <w:rPr>
                <w:rFonts w:hint="eastAsia" w:ascii="宋体" w:hAnsi="宋体"/>
                <w:kern w:val="0"/>
                <w:szCs w:val="21"/>
              </w:rPr>
            </w:pPr>
          </w:p>
        </w:tc>
      </w:tr>
    </w:tbl>
    <w:p>
      <w:pPr>
        <w:ind w:firstLine="420" w:firstLineChars="200"/>
      </w:pPr>
      <w:r>
        <w:rPr>
          <w:rFonts w:hint="eastAsia"/>
        </w:rPr>
        <w:t>注：</w:t>
      </w:r>
    </w:p>
    <w:p>
      <w:pPr>
        <w:ind w:firstLine="420" w:firstLineChars="200"/>
      </w:pPr>
      <w:r>
        <w:rPr>
          <w:rFonts w:hint="eastAsia"/>
        </w:rPr>
        <w:t>1.上表所列各项均为不可负偏离条款。</w:t>
      </w:r>
    </w:p>
    <w:p>
      <w:pPr>
        <w:ind w:firstLine="420" w:firstLineChars="200"/>
      </w:pPr>
      <w:r>
        <w:rPr>
          <w:rFonts w:hint="eastAsia"/>
        </w:rPr>
        <w:t>2.“投标响应”一栏应当详细填写投标人自身响应情况，而不能不合理照搬照抄招实质性条款具体内容。</w:t>
      </w:r>
    </w:p>
    <w:p>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t>4.</w:t>
      </w:r>
      <w:r>
        <w:rPr>
          <w:rFonts w:hint="eastAsia"/>
        </w:rPr>
        <w:t>评审委员会有权对投标响应情况作出判断（作出评审结论）。</w:t>
      </w:r>
    </w:p>
    <w:p>
      <w:pPr>
        <w:ind w:firstLine="420" w:firstLineChars="200"/>
      </w:pPr>
      <w:r>
        <w:t>5</w:t>
      </w:r>
      <w:r>
        <w:rPr>
          <w:rFonts w:hint="eastAsia"/>
        </w:rPr>
        <w:t>.实质性响应条款“投标响应情况”与投标文件其它内容冲突的，以实质性响应条款“投标响应情况”为准。</w:t>
      </w:r>
    </w:p>
    <w:p>
      <w:pPr>
        <w:ind w:firstLine="420" w:firstLineChars="200"/>
      </w:pPr>
      <w:r>
        <w:rPr>
          <w:rFonts w:hint="eastAsia"/>
        </w:rPr>
        <w:t>6.要求提供证明资料，在“说明”一栏中列明证明资料的位置,以便评审；未要求提供证明材料的，投标人可以不提供。</w:t>
      </w:r>
    </w:p>
    <w:p>
      <w:pPr>
        <w:ind w:firstLine="420" w:firstLineChars="200"/>
      </w:pPr>
    </w:p>
    <w:p>
      <w:pPr>
        <w:ind w:firstLine="420" w:firstLineChars="200"/>
        <w:rPr>
          <w:rFonts w:hint="eastAsia" w:ascii="黑体" w:hAnsi="宋体" w:eastAsia="黑体"/>
          <w:bCs/>
          <w:color w:val="FF0000"/>
          <w:kern w:val="0"/>
          <w:szCs w:val="21"/>
        </w:rPr>
      </w:pPr>
    </w:p>
    <w:p>
      <w:pPr>
        <w:ind w:firstLine="420" w:firstLineChars="200"/>
        <w:rPr>
          <w:rFonts w:hint="eastAsia" w:ascii="黑体" w:hAnsi="宋体" w:eastAsia="黑体"/>
          <w:bCs/>
          <w:color w:val="FF0000"/>
          <w:kern w:val="0"/>
          <w:szCs w:val="21"/>
        </w:rPr>
      </w:pPr>
    </w:p>
    <w:p>
      <w:pPr>
        <w:pStyle w:val="4"/>
        <w:jc w:val="center"/>
        <w:rPr>
          <w:rFonts w:hint="eastAsia"/>
        </w:rPr>
      </w:pPr>
      <w:r>
        <w:rPr>
          <w:rFonts w:hint="eastAsia"/>
          <w:szCs w:val="24"/>
        </w:rPr>
        <w:t>（五）</w:t>
      </w:r>
      <w:r>
        <w:rPr>
          <w:rFonts w:hint="eastAsia"/>
        </w:rPr>
        <w:t>法定代表人（负责人）资格证明书</w:t>
      </w: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Pr>
        <w:spacing w:after="120"/>
        <w:ind w:firstLine="422" w:firstLineChars="200"/>
        <w:rPr>
          <w:rFonts w:asciiTheme="minorHAnsi" w:hAnsiTheme="minorHAnsi" w:eastAsiaTheme="minorEastAsia" w:cstheme="minorBidi"/>
          <w:b/>
          <w:color w:val="FF0000"/>
        </w:rPr>
      </w:pPr>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hint="eastAsia" w:ascii="黑体" w:hAnsi="宋体" w:eastAsia="黑体"/>
          <w:bCs/>
          <w:sz w:val="24"/>
          <w:szCs w:val="32"/>
        </w:rPr>
      </w:pPr>
      <w:r>
        <w:rPr>
          <w:rFonts w:ascii="黑体" w:eastAsia="黑体"/>
          <w:b/>
          <w:sz w:val="24"/>
        </w:rPr>
        <w:br w:type="page"/>
      </w:r>
    </w:p>
    <w:p>
      <w:pPr>
        <w:pStyle w:val="4"/>
        <w:jc w:val="center"/>
        <w:rPr>
          <w:rFonts w:hint="eastAsia"/>
        </w:rPr>
      </w:pPr>
      <w:r>
        <w:rPr>
          <w:rFonts w:hint="eastAsia"/>
          <w:szCs w:val="24"/>
        </w:rPr>
        <w:t>（六）</w:t>
      </w:r>
      <w:r>
        <w:rPr>
          <w:rFonts w:hint="eastAsia"/>
        </w:rPr>
        <w:t>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32"/>
      </w:pPr>
    </w:p>
    <w:p>
      <w:pPr>
        <w:widowControl/>
        <w:jc w:val="left"/>
        <w:rPr>
          <w:rFonts w:hint="eastAsia" w:ascii="黑体" w:hAnsi="宋体" w:eastAsia="黑体"/>
          <w:bCs/>
          <w:kern w:val="0"/>
          <w:sz w:val="24"/>
        </w:rPr>
      </w:pPr>
      <w:r>
        <w:rPr>
          <w:rFonts w:ascii="黑体" w:eastAsia="黑体"/>
          <w:b/>
          <w:kern w:val="0"/>
          <w:sz w:val="24"/>
        </w:rPr>
        <w:br w:type="page"/>
      </w:r>
    </w:p>
    <w:p>
      <w:pPr>
        <w:pStyle w:val="4"/>
        <w:jc w:val="center"/>
        <w:rPr>
          <w:rFonts w:hint="eastAsia"/>
        </w:rPr>
      </w:pPr>
      <w:r>
        <w:rPr>
          <w:rFonts w:hint="eastAsia"/>
        </w:rPr>
        <w:t>（七）分项报价清单</w:t>
      </w:r>
    </w:p>
    <w:tbl>
      <w:tblPr>
        <w:tblStyle w:val="3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Layout w:type="fixed"/>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tblPrEx>
          <w:tblLayout w:type="fixed"/>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pPr>
        <w:ind w:firstLine="420" w:firstLineChars="200"/>
        <w:rPr>
          <w:rFonts w:hint="eastAsia" w:ascii="宋体" w:hAnsi="宋体"/>
        </w:rPr>
      </w:pPr>
      <w:r>
        <w:rPr>
          <w:rFonts w:hint="eastAsia" w:ascii="宋体" w:hAnsi="宋体"/>
        </w:rPr>
        <w:t>注：1、所有价格应按“招标文件”中规定的货币单位填写；</w:t>
      </w:r>
    </w:p>
    <w:p>
      <w:pPr>
        <w:numPr>
          <w:ilvl w:val="0"/>
          <w:numId w:val="2"/>
        </w:numPr>
        <w:ind w:firstLine="840" w:firstLineChars="400"/>
        <w:rPr>
          <w:rFonts w:hint="eastAsia" w:ascii="宋体" w:hAnsi="宋体"/>
        </w:rPr>
      </w:pPr>
      <w:r>
        <w:rPr>
          <w:rFonts w:hint="eastAsia" w:ascii="宋体" w:hAnsi="宋体"/>
        </w:rPr>
        <w:t>本表格仅为指导性范本，供应商可根据项目具体情况对各分项内容进行调整提供详细分项报价。</w:t>
      </w:r>
    </w:p>
    <w:p>
      <w:pPr>
        <w:pStyle w:val="32"/>
      </w:pPr>
    </w:p>
    <w:p>
      <w:pPr>
        <w:pStyle w:val="32"/>
      </w:pPr>
    </w:p>
    <w:p>
      <w:pPr>
        <w:ind w:firstLine="420" w:firstLineChars="200"/>
        <w:jc w:val="center"/>
        <w:rPr>
          <w:szCs w:val="21"/>
        </w:rPr>
      </w:pPr>
    </w:p>
    <w:p>
      <w:pPr>
        <w:widowControl/>
        <w:jc w:val="left"/>
        <w:rPr>
          <w:rFonts w:ascii="Arial" w:hAnsi="Arial" w:eastAsia="黑体"/>
          <w:bCs/>
          <w:sz w:val="24"/>
        </w:rPr>
      </w:pPr>
      <w:r>
        <w:rPr>
          <w:b/>
          <w:sz w:val="24"/>
        </w:rPr>
        <w:br w:type="page"/>
      </w:r>
    </w:p>
    <w:p>
      <w:pPr>
        <w:pStyle w:val="4"/>
        <w:jc w:val="center"/>
        <w:rPr>
          <w:rFonts w:hint="eastAsia" w:ascii="黑体" w:eastAsia="黑体"/>
          <w:szCs w:val="28"/>
        </w:rPr>
      </w:pPr>
      <w:r>
        <w:rPr>
          <w:rFonts w:hint="eastAsia" w:ascii="黑体" w:eastAsia="黑体"/>
          <w:szCs w:val="28"/>
        </w:rPr>
        <w:t>二、技术服务部分</w:t>
      </w:r>
    </w:p>
    <w:p/>
    <w:p>
      <w:pPr>
        <w:pStyle w:val="5"/>
        <w:jc w:val="left"/>
        <w:rPr>
          <w:rFonts w:ascii="黑体"/>
          <w:b w:val="0"/>
          <w:sz w:val="24"/>
        </w:rPr>
      </w:pPr>
      <w:r>
        <w:rPr>
          <w:rFonts w:hint="eastAsia" w:ascii="黑体"/>
          <w:b w:val="0"/>
          <w:sz w:val="24"/>
        </w:rPr>
        <w:t>（一）实施方案</w:t>
      </w:r>
    </w:p>
    <w:p>
      <w:pPr>
        <w:jc w:val="left"/>
      </w:pPr>
      <w:r>
        <w:rPr>
          <w:rFonts w:hint="eastAsia"/>
        </w:rPr>
        <w:t>请按照招标文件要求提供相关证明文件。</w:t>
      </w:r>
    </w:p>
    <w:p>
      <w:pPr>
        <w:pStyle w:val="32"/>
        <w:jc w:val="left"/>
      </w:pPr>
    </w:p>
    <w:p>
      <w:pPr>
        <w:pStyle w:val="32"/>
        <w:jc w:val="left"/>
      </w:pPr>
    </w:p>
    <w:p>
      <w:pPr>
        <w:pStyle w:val="5"/>
        <w:jc w:val="left"/>
        <w:rPr>
          <w:rFonts w:ascii="黑体"/>
          <w:b w:val="0"/>
          <w:sz w:val="24"/>
        </w:rPr>
      </w:pPr>
      <w:r>
        <w:rPr>
          <w:rFonts w:hint="eastAsia" w:ascii="黑体"/>
          <w:b w:val="0"/>
          <w:sz w:val="24"/>
        </w:rPr>
        <w:t>（二）项目重点难点分析、应对措施及相关的合理化建议</w:t>
      </w:r>
    </w:p>
    <w:p>
      <w:pPr>
        <w:jc w:val="left"/>
      </w:pPr>
      <w:r>
        <w:rPr>
          <w:rFonts w:hint="eastAsia"/>
        </w:rPr>
        <w:t>请按照招标文件要求提供相关证明文件。</w:t>
      </w:r>
    </w:p>
    <w:p>
      <w:pPr>
        <w:pStyle w:val="32"/>
        <w:jc w:val="left"/>
      </w:pPr>
    </w:p>
    <w:p>
      <w:pPr>
        <w:pStyle w:val="32"/>
        <w:jc w:val="left"/>
      </w:pPr>
    </w:p>
    <w:p>
      <w:pPr>
        <w:pStyle w:val="5"/>
        <w:jc w:val="left"/>
        <w:rPr>
          <w:rFonts w:ascii="黑体"/>
          <w:b w:val="0"/>
          <w:sz w:val="24"/>
        </w:rPr>
      </w:pPr>
      <w:r>
        <w:rPr>
          <w:rFonts w:hint="eastAsia" w:ascii="黑体"/>
          <w:b w:val="0"/>
          <w:sz w:val="24"/>
        </w:rPr>
        <w:t>（三）应急预案</w:t>
      </w:r>
    </w:p>
    <w:p>
      <w:pPr>
        <w:jc w:val="left"/>
      </w:pPr>
      <w:r>
        <w:rPr>
          <w:rFonts w:hint="eastAsia"/>
        </w:rPr>
        <w:t>请按照招标文件要求提供相关证明文件。</w:t>
      </w:r>
    </w:p>
    <w:p>
      <w:pPr>
        <w:pStyle w:val="32"/>
        <w:jc w:val="left"/>
      </w:pPr>
    </w:p>
    <w:p>
      <w:pPr>
        <w:pStyle w:val="32"/>
        <w:jc w:val="left"/>
      </w:pPr>
    </w:p>
    <w:p>
      <w:pPr>
        <w:pStyle w:val="5"/>
        <w:jc w:val="left"/>
        <w:rPr>
          <w:rFonts w:ascii="黑体"/>
          <w:b w:val="0"/>
          <w:sz w:val="24"/>
        </w:rPr>
      </w:pPr>
      <w:r>
        <w:rPr>
          <w:rFonts w:hint="eastAsia" w:ascii="黑体"/>
          <w:b w:val="0"/>
          <w:sz w:val="24"/>
        </w:rPr>
        <w:t>（四）拟安排的项目负责人（仅限1人）</w:t>
      </w:r>
    </w:p>
    <w:p>
      <w:pPr>
        <w:jc w:val="left"/>
      </w:pPr>
      <w:r>
        <w:rPr>
          <w:rFonts w:hint="eastAsia"/>
        </w:rPr>
        <w:t>请按照招标文件要求提供相关证明文件。</w:t>
      </w:r>
    </w:p>
    <w:p>
      <w:pPr>
        <w:pStyle w:val="32"/>
        <w:ind w:left="0" w:leftChars="0" w:firstLine="0" w:firstLineChars="0"/>
        <w:jc w:val="left"/>
      </w:pPr>
    </w:p>
    <w:p>
      <w:pPr>
        <w:pStyle w:val="5"/>
        <w:jc w:val="left"/>
        <w:rPr>
          <w:rFonts w:ascii="黑体"/>
          <w:b w:val="0"/>
          <w:sz w:val="24"/>
        </w:rPr>
      </w:pPr>
      <w:r>
        <w:rPr>
          <w:rFonts w:hint="eastAsia" w:ascii="黑体"/>
          <w:b w:val="0"/>
          <w:sz w:val="24"/>
        </w:rPr>
        <w:t>（五）拟安排的项目主要团队成员（项目负责人除外）</w:t>
      </w:r>
    </w:p>
    <w:p>
      <w:pPr>
        <w:jc w:val="left"/>
      </w:pPr>
      <w:r>
        <w:rPr>
          <w:rFonts w:hint="eastAsia"/>
        </w:rPr>
        <w:t>请按照招标文件要求提供相关证明文件。</w:t>
      </w:r>
    </w:p>
    <w:p>
      <w:pPr>
        <w:pStyle w:val="32"/>
        <w:jc w:val="left"/>
      </w:pPr>
    </w:p>
    <w:p>
      <w:pPr>
        <w:widowControl/>
        <w:jc w:val="left"/>
      </w:pPr>
    </w:p>
    <w:p>
      <w:pPr>
        <w:pStyle w:val="4"/>
        <w:jc w:val="center"/>
        <w:rPr>
          <w:rFonts w:hint="eastAsia" w:ascii="黑体" w:eastAsia="黑体"/>
          <w:szCs w:val="28"/>
        </w:rPr>
      </w:pPr>
      <w:r>
        <w:rPr>
          <w:rFonts w:hint="eastAsia" w:ascii="黑体" w:eastAsia="黑体"/>
          <w:szCs w:val="28"/>
        </w:rPr>
        <w:t>三、综合实力部分</w:t>
      </w:r>
    </w:p>
    <w:p>
      <w:pPr>
        <w:pStyle w:val="5"/>
        <w:jc w:val="left"/>
        <w:rPr>
          <w:rFonts w:ascii="黑体"/>
          <w:b w:val="0"/>
          <w:sz w:val="24"/>
        </w:rPr>
      </w:pPr>
      <w:r>
        <w:rPr>
          <w:rFonts w:hint="eastAsia" w:ascii="黑体"/>
          <w:b w:val="0"/>
          <w:sz w:val="24"/>
        </w:rPr>
        <w:t>（一）投标人同类项目业绩情况</w:t>
      </w:r>
    </w:p>
    <w:tbl>
      <w:tblPr>
        <w:tblStyle w:val="33"/>
        <w:tblW w:w="792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pPr>
              <w:jc w:val="center"/>
            </w:pPr>
            <w:r>
              <w:rPr>
                <w:rFonts w:hint="eastAsia"/>
              </w:rPr>
              <w:t>序号</w:t>
            </w:r>
          </w:p>
        </w:tc>
        <w:tc>
          <w:tcPr>
            <w:tcW w:w="1000" w:type="dxa"/>
            <w:vAlign w:val="center"/>
          </w:tcPr>
          <w:p>
            <w:pPr>
              <w:jc w:val="center"/>
            </w:pPr>
            <w:r>
              <w:rPr>
                <w:rFonts w:hint="eastAsia"/>
                <w:szCs w:val="21"/>
              </w:rPr>
              <w:t>采购单位</w:t>
            </w:r>
          </w:p>
        </w:tc>
        <w:tc>
          <w:tcPr>
            <w:tcW w:w="1701" w:type="dxa"/>
            <w:vAlign w:val="center"/>
          </w:tcPr>
          <w:p>
            <w:pPr>
              <w:jc w:val="center"/>
            </w:pPr>
            <w:r>
              <w:rPr>
                <w:rFonts w:hint="eastAsia"/>
              </w:rPr>
              <w:t>项目名称</w:t>
            </w:r>
          </w:p>
        </w:tc>
        <w:tc>
          <w:tcPr>
            <w:tcW w:w="1625" w:type="dxa"/>
            <w:vAlign w:val="center"/>
          </w:tcPr>
          <w:p>
            <w:pPr>
              <w:jc w:val="center"/>
            </w:pPr>
            <w:r>
              <w:rPr>
                <w:rFonts w:hint="eastAsia"/>
                <w:szCs w:val="21"/>
              </w:rPr>
              <w:t>合同签订日期</w:t>
            </w:r>
          </w:p>
        </w:tc>
        <w:tc>
          <w:tcPr>
            <w:tcW w:w="1750" w:type="dxa"/>
            <w:vAlign w:val="center"/>
          </w:tcPr>
          <w:p>
            <w:pPr>
              <w:jc w:val="center"/>
            </w:pPr>
            <w:r>
              <w:rPr>
                <w:rFonts w:hint="eastAsia"/>
                <w:szCs w:val="21"/>
              </w:rPr>
              <w:t>履约评价情况</w:t>
            </w:r>
          </w:p>
        </w:tc>
        <w:tc>
          <w:tcPr>
            <w:tcW w:w="904" w:type="dxa"/>
            <w:vAlign w:val="center"/>
          </w:tcPr>
          <w:p>
            <w:pPr>
              <w:jc w:val="center"/>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bl>
    <w:p>
      <w:pPr>
        <w:rPr>
          <w:b/>
        </w:rPr>
      </w:pPr>
      <w:bookmarkStart w:id="26" w:name="bt项目管理班子配备情况"/>
      <w:bookmarkEnd w:id="26"/>
    </w:p>
    <w:p>
      <w:pPr>
        <w:pStyle w:val="5"/>
        <w:jc w:val="left"/>
        <w:rPr>
          <w:rFonts w:ascii="黑体"/>
          <w:b w:val="0"/>
          <w:sz w:val="24"/>
        </w:rPr>
      </w:pPr>
      <w:r>
        <w:rPr>
          <w:rFonts w:hint="eastAsia" w:ascii="黑体"/>
          <w:b w:val="0"/>
          <w:sz w:val="24"/>
        </w:rPr>
        <w:t>（二）履约评价</w:t>
      </w:r>
    </w:p>
    <w:p>
      <w:pPr>
        <w:jc w:val="left"/>
      </w:pPr>
      <w:r>
        <w:rPr>
          <w:rFonts w:hint="eastAsia"/>
        </w:rPr>
        <w:t>请按照招标文件要求提供相关证明文件。</w:t>
      </w:r>
    </w:p>
    <w:p>
      <w:pPr>
        <w:pStyle w:val="32"/>
        <w:jc w:val="left"/>
      </w:pPr>
    </w:p>
    <w:p>
      <w:pPr>
        <w:pStyle w:val="5"/>
        <w:jc w:val="left"/>
        <w:rPr>
          <w:rFonts w:ascii="黑体"/>
          <w:b w:val="0"/>
          <w:sz w:val="24"/>
        </w:rPr>
      </w:pPr>
      <w:r>
        <w:rPr>
          <w:rFonts w:hint="eastAsia" w:ascii="黑体"/>
          <w:b w:val="0"/>
          <w:sz w:val="24"/>
        </w:rPr>
        <w:t>（三）项目完成（服务期满）后的服务承诺</w:t>
      </w:r>
    </w:p>
    <w:p>
      <w:r>
        <w:rPr>
          <w:rFonts w:hint="eastAsia"/>
        </w:rPr>
        <w:t>请按照招标文件要求提供相关证明文件。</w:t>
      </w:r>
    </w:p>
    <w:p>
      <w:pPr>
        <w:pStyle w:val="5"/>
        <w:jc w:val="left"/>
        <w:rPr>
          <w:rFonts w:ascii="黑体"/>
          <w:b w:val="0"/>
          <w:sz w:val="24"/>
        </w:rPr>
      </w:pPr>
      <w:r>
        <w:rPr>
          <w:rFonts w:hint="eastAsia" w:ascii="黑体"/>
          <w:b w:val="0"/>
          <w:sz w:val="24"/>
        </w:rPr>
        <w:t>（四）购买保险情况</w:t>
      </w:r>
    </w:p>
    <w:p>
      <w:r>
        <w:rPr>
          <w:rFonts w:hint="eastAsia"/>
        </w:rPr>
        <w:t>请按照招标文件要求提供相关证明文件。</w:t>
      </w:r>
    </w:p>
    <w:p>
      <w:pPr>
        <w:pStyle w:val="2"/>
      </w:pPr>
    </w:p>
    <w:p>
      <w:pPr>
        <w:pStyle w:val="2"/>
      </w:pPr>
    </w:p>
    <w:p>
      <w:pPr>
        <w:pStyle w:val="4"/>
        <w:jc w:val="center"/>
        <w:rPr>
          <w:rFonts w:hint="eastAsia"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pPr>
        <w:rPr>
          <w:color w:val="000000"/>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pPr>
        <w:spacing w:line="380" w:lineRule="exact"/>
        <w:ind w:firstLine="420" w:firstLineChars="200"/>
        <w:rPr>
          <w:rFonts w:ascii="Calibri" w:hAnsi="Calibri"/>
        </w:rPr>
      </w:pPr>
      <w:r>
        <w:rPr>
          <w:rFonts w:hint="eastAsia" w:ascii="Calibri" w:hAnsi="Calibri"/>
        </w:rPr>
        <w:t>（三）项目负责人或者主要技术人员不是本单位人员的。</w:t>
      </w:r>
    </w:p>
    <w:p>
      <w:pPr>
        <w:spacing w:line="380" w:lineRule="exact"/>
        <w:ind w:firstLine="420" w:firstLineChars="200"/>
        <w:rPr>
          <w:rFonts w:ascii="Calibri" w:hAnsi="Calibri"/>
        </w:rPr>
      </w:pPr>
      <w:r>
        <w:rPr>
          <w:rFonts w:hint="eastAsia" w:ascii="Calibri" w:hAnsi="Calibri"/>
        </w:rPr>
        <w:t>（四）投标保证金不是从投标供应商基本账户转出的。</w:t>
      </w:r>
    </w:p>
    <w:p>
      <w:pPr>
        <w:spacing w:line="380" w:lineRule="exact"/>
        <w:ind w:firstLine="420" w:firstLineChars="200"/>
        <w:rPr>
          <w:rFonts w:ascii="Calibri" w:hAnsi="Calibri"/>
        </w:rPr>
      </w:pPr>
      <w:r>
        <w:rPr>
          <w:rFonts w:hint="eastAsia" w:ascii="Calibri" w:hAnsi="Calibri"/>
        </w:rPr>
        <w:t>（五）其他隐瞒真实情况、提供虚假资料的行为。</w:t>
      </w:r>
    </w:p>
    <w:p>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pPr>
        <w:spacing w:line="340" w:lineRule="exact"/>
        <w:ind w:firstLine="420" w:firstLineChars="200"/>
        <w:rPr>
          <w:rFonts w:ascii="Calibri" w:hAnsi="Calibri"/>
        </w:rPr>
      </w:pPr>
      <w:r>
        <w:rPr>
          <w:rFonts w:hint="eastAsia" w:ascii="Calibri" w:hAnsi="Calibri"/>
        </w:rPr>
        <w:t>（四）不同投标供应商的投标文件或部分投标文件相互混装。</w:t>
      </w:r>
    </w:p>
    <w:p>
      <w:pPr>
        <w:spacing w:line="340" w:lineRule="exact"/>
        <w:ind w:firstLine="420" w:firstLineChars="200"/>
        <w:rPr>
          <w:rFonts w:ascii="Calibri" w:hAnsi="Calibri"/>
        </w:rPr>
      </w:pPr>
      <w:r>
        <w:rPr>
          <w:rFonts w:hint="eastAsia" w:ascii="Calibri" w:hAnsi="Calibri"/>
        </w:rPr>
        <w:t>（五）不同投标供应商的投标文件内容存在非正常一致。</w:t>
      </w:r>
    </w:p>
    <w:p>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pPr>
        <w:spacing w:line="340" w:lineRule="exact"/>
        <w:ind w:firstLine="420" w:firstLineChars="200"/>
        <w:rPr>
          <w:rFonts w:ascii="Calibri" w:hAnsi="Calibri"/>
        </w:rPr>
      </w:pPr>
      <w:r>
        <w:rPr>
          <w:rFonts w:hint="eastAsia" w:ascii="Calibri" w:hAnsi="Calibri"/>
        </w:rPr>
        <w:t>（七）不同投标人的投标报价呈规律性差异。</w:t>
      </w:r>
    </w:p>
    <w:p>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pPr>
        <w:spacing w:line="340" w:lineRule="exact"/>
        <w:ind w:firstLine="420" w:firstLineChars="200"/>
        <w:rPr>
          <w:rFonts w:ascii="Calibri" w:hAnsi="Calibri"/>
        </w:rPr>
      </w:pPr>
      <w:r>
        <w:rPr>
          <w:rFonts w:hint="eastAsia" w:ascii="Calibri" w:hAnsi="Calibri"/>
        </w:rPr>
        <w:t>（九）主管部门依照法律、法规认定的其他情形。</w:t>
      </w:r>
    </w:p>
    <w:p>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b/>
          <w:bCs/>
          <w:spacing w:val="-4"/>
          <w:kern w:val="0"/>
          <w:szCs w:val="21"/>
        </w:rPr>
      </w:pPr>
    </w:p>
    <w:p>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pPr>
        <w:pStyle w:val="32"/>
      </w:pPr>
    </w:p>
    <w:p>
      <w:pPr>
        <w:pStyle w:val="32"/>
      </w:pPr>
    </w:p>
    <w:p>
      <w:pPr>
        <w:widowControl/>
        <w:jc w:val="center"/>
        <w:rPr>
          <w:rFonts w:hint="eastAsia"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pPr>
        <w:pStyle w:val="32"/>
      </w:pPr>
    </w:p>
    <w:p>
      <w:pPr>
        <w:pStyle w:val="32"/>
        <w:ind w:left="0" w:leftChars="0" w:firstLine="0" w:firstLineChars="0"/>
      </w:pPr>
    </w:p>
    <w:p/>
    <w:p>
      <w:pPr>
        <w:widowControl/>
        <w:jc w:val="left"/>
      </w:pPr>
      <w:r>
        <w:br w:type="page"/>
      </w:r>
    </w:p>
    <w:p>
      <w:pPr>
        <w:pStyle w:val="6"/>
        <w:rPr>
          <w:rFonts w:hint="eastAsia"/>
          <w:kern w:val="2"/>
        </w:rPr>
      </w:pPr>
      <w:bookmarkStart w:id="27" w:name="_Toc194467284"/>
      <w:r>
        <w:rPr>
          <w:rFonts w:hint="eastAsia"/>
          <w:kern w:val="2"/>
        </w:rPr>
        <w:t>第二章</w:t>
      </w:r>
      <w:r>
        <w:rPr>
          <w:kern w:val="2"/>
        </w:rPr>
        <w:t xml:space="preserve"> </w:t>
      </w:r>
      <w:r>
        <w:rPr>
          <w:rFonts w:hint="eastAsia"/>
          <w:kern w:val="2"/>
        </w:rPr>
        <w:t xml:space="preserve"> 合同格式（详询采购单位）</w:t>
      </w:r>
      <w:bookmarkEnd w:id="27"/>
      <w:r>
        <w:rPr>
          <w:kern w:val="2"/>
        </w:rPr>
        <w:t xml:space="preserve"> </w:t>
      </w:r>
    </w:p>
    <w:p>
      <w:pPr>
        <w:widowControl/>
        <w:jc w:val="left"/>
      </w:pPr>
      <w:r>
        <w:br w:type="page"/>
      </w:r>
    </w:p>
    <w:p>
      <w:pPr>
        <w:pStyle w:val="3"/>
        <w:rPr>
          <w:rFonts w:hint="eastAsia"/>
        </w:rPr>
      </w:pPr>
      <w:bookmarkStart w:id="28" w:name="bt总则"/>
      <w:bookmarkEnd w:id="28"/>
      <w:bookmarkStart w:id="29" w:name="bt开标与评标"/>
      <w:bookmarkEnd w:id="29"/>
      <w:bookmarkStart w:id="30" w:name="bt投标须知前附表"/>
      <w:bookmarkEnd w:id="30"/>
      <w:bookmarkStart w:id="31" w:name="bt图纸"/>
      <w:bookmarkEnd w:id="31"/>
      <w:bookmarkStart w:id="32" w:name="bt投标须知"/>
      <w:bookmarkEnd w:id="32"/>
      <w:bookmarkStart w:id="33" w:name="bt授予合同"/>
      <w:bookmarkEnd w:id="33"/>
      <w:bookmarkStart w:id="34" w:name="bt投标文件的编制"/>
      <w:bookmarkEnd w:id="34"/>
      <w:bookmarkStart w:id="35" w:name="bt招标文件"/>
      <w:bookmarkEnd w:id="35"/>
      <w:bookmarkStart w:id="36" w:name="OLE_LINK26"/>
      <w:bookmarkStart w:id="37" w:name="_Toc101074877"/>
      <w:bookmarkStart w:id="38" w:name="_Toc73521636"/>
      <w:bookmarkStart w:id="39" w:name="_Toc73518118"/>
      <w:bookmarkStart w:id="40" w:name="_Toc100052365"/>
      <w:bookmarkStart w:id="41" w:name="_Toc73517640"/>
      <w:bookmarkStart w:id="42" w:name="_Toc194467300"/>
      <w:bookmarkStart w:id="43" w:name="_Toc73521548"/>
      <w:r>
        <w:rPr>
          <w:rFonts w:hint="eastAsia"/>
        </w:rPr>
        <w:t>第三册  投标供应商须知</w:t>
      </w:r>
    </w:p>
    <w:bookmarkEnd w:id="36"/>
    <w:p>
      <w:pPr>
        <w:pStyle w:val="6"/>
        <w:rPr>
          <w:rFonts w:hint="eastAsia"/>
        </w:rPr>
      </w:pPr>
      <w:r>
        <w:rPr>
          <w:rFonts w:hint="eastAsia"/>
        </w:rPr>
        <w:t>第一章 总则</w:t>
      </w:r>
      <w:bookmarkEnd w:id="37"/>
      <w:bookmarkEnd w:id="38"/>
      <w:bookmarkEnd w:id="39"/>
      <w:bookmarkEnd w:id="40"/>
      <w:bookmarkEnd w:id="41"/>
      <w:bookmarkEnd w:id="42"/>
      <w:bookmarkEnd w:id="43"/>
    </w:p>
    <w:p>
      <w:pPr>
        <w:spacing w:line="360" w:lineRule="auto"/>
        <w:rPr>
          <w:rFonts w:hint="eastAsia" w:ascii="黑体" w:hAnsi="宋体" w:eastAsia="黑体"/>
          <w:sz w:val="24"/>
        </w:rPr>
      </w:pPr>
      <w:bookmarkStart w:id="44" w:name="_Toc60631622"/>
      <w:bookmarkStart w:id="45" w:name="_Toc73517641"/>
      <w:bookmarkStart w:id="46" w:name="_Toc73521549"/>
      <w:bookmarkStart w:id="47" w:name="_Toc100052366"/>
      <w:bookmarkStart w:id="48" w:name="_Toc73518119"/>
      <w:bookmarkStart w:id="49" w:name="_Toc73521637"/>
      <w:bookmarkStart w:id="50" w:name="_Toc60560627"/>
      <w:r>
        <w:rPr>
          <w:rFonts w:ascii="黑体" w:hAnsi="宋体" w:eastAsia="黑体"/>
          <w:sz w:val="24"/>
        </w:rPr>
        <w:t>1．</w:t>
      </w:r>
      <w:r>
        <w:rPr>
          <w:rFonts w:hint="eastAsia" w:ascii="黑体" w:hAnsi="宋体" w:eastAsia="黑体"/>
          <w:sz w:val="24"/>
        </w:rPr>
        <w:t>招标说明</w:t>
      </w:r>
      <w:bookmarkEnd w:id="44"/>
      <w:bookmarkEnd w:id="45"/>
      <w:bookmarkEnd w:id="46"/>
      <w:bookmarkEnd w:id="47"/>
      <w:bookmarkEnd w:id="48"/>
      <w:bookmarkEnd w:id="49"/>
      <w:bookmarkEnd w:id="50"/>
    </w:p>
    <w:p>
      <w:pPr>
        <w:ind w:firstLine="411" w:firstLineChars="196"/>
        <w:rPr>
          <w:rFonts w:hint="eastAsia" w:ascii="宋体" w:hAnsi="宋体"/>
          <w:szCs w:val="21"/>
        </w:rPr>
      </w:pPr>
      <w:r>
        <w:rPr>
          <w:rFonts w:hint="eastAsia" w:ascii="宋体" w:hAnsi="宋体"/>
          <w:szCs w:val="21"/>
        </w:rPr>
        <w:t>本项目参照《深圳经济特区政府采购条例》及其实施细则等有关文件的规定，通过</w:t>
      </w:r>
      <w:r>
        <w:rPr>
          <w:rStyle w:val="39"/>
          <w:rFonts w:hint="eastAsia"/>
        </w:rPr>
        <w:t>评审定标</w:t>
      </w:r>
      <w:r>
        <w:rPr>
          <w:rFonts w:hint="eastAsia"/>
          <w:szCs w:val="21"/>
        </w:rPr>
        <w:t>方式确定成交供应商</w:t>
      </w:r>
      <w:r>
        <w:rPr>
          <w:rStyle w:val="39"/>
          <w:rFonts w:hint="eastAsia"/>
        </w:rPr>
        <w:t>。</w:t>
      </w:r>
    </w:p>
    <w:p>
      <w:pPr>
        <w:spacing w:line="360" w:lineRule="auto"/>
        <w:rPr>
          <w:rFonts w:hint="eastAsia" w:ascii="黑体" w:hAnsi="宋体" w:eastAsia="黑体"/>
          <w:sz w:val="24"/>
        </w:rPr>
      </w:pPr>
      <w:bookmarkStart w:id="51" w:name="_Toc60560628"/>
      <w:bookmarkStart w:id="52" w:name="_Toc100052367"/>
      <w:bookmarkStart w:id="53" w:name="_Toc73518120"/>
      <w:bookmarkStart w:id="54" w:name="_Toc60631623"/>
      <w:bookmarkStart w:id="55" w:name="_Toc73521550"/>
      <w:bookmarkStart w:id="56" w:name="_Toc73517642"/>
      <w:bookmarkStart w:id="57" w:name="_Toc73521638"/>
      <w:r>
        <w:rPr>
          <w:rFonts w:ascii="黑体" w:hAnsi="宋体" w:eastAsia="黑体"/>
          <w:sz w:val="24"/>
        </w:rPr>
        <w:t>2</w:t>
      </w:r>
      <w:r>
        <w:rPr>
          <w:rFonts w:hint="eastAsia" w:ascii="黑体" w:hAnsi="宋体" w:eastAsia="黑体"/>
          <w:sz w:val="24"/>
        </w:rPr>
        <w:t>．定义</w:t>
      </w:r>
      <w:bookmarkEnd w:id="51"/>
      <w:bookmarkEnd w:id="52"/>
      <w:bookmarkEnd w:id="53"/>
      <w:bookmarkEnd w:id="54"/>
      <w:bookmarkEnd w:id="55"/>
      <w:bookmarkEnd w:id="56"/>
      <w:bookmarkEnd w:id="57"/>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pPr>
        <w:ind w:firstLine="411" w:firstLineChars="196"/>
        <w:rPr>
          <w:rFonts w:hint="eastAsia" w:ascii="宋体" w:hAnsi="宋体"/>
          <w:szCs w:val="21"/>
        </w:rPr>
      </w:pPr>
      <w:r>
        <w:rPr>
          <w:rFonts w:ascii="宋体" w:hAnsi="宋体"/>
          <w:szCs w:val="21"/>
        </w:rPr>
        <w:t>2.</w:t>
      </w:r>
      <w:r>
        <w:rPr>
          <w:rFonts w:hint="eastAsia" w:ascii="宋体" w:hAnsi="宋体"/>
          <w:szCs w:val="21"/>
        </w:rPr>
        <w:t>3“应答文件”指投标文件；</w:t>
      </w:r>
    </w:p>
    <w:p>
      <w:pPr>
        <w:ind w:firstLine="411" w:firstLineChars="196"/>
        <w:rPr>
          <w:rFonts w:hint="eastAsia" w:ascii="宋体" w:hAnsi="宋体"/>
          <w:szCs w:val="21"/>
        </w:rPr>
      </w:pPr>
      <w:r>
        <w:rPr>
          <w:rFonts w:hint="eastAsia" w:ascii="宋体" w:hAnsi="宋体"/>
          <w:szCs w:val="21"/>
        </w:rPr>
        <w:t>2.4 “成交”指中标；</w:t>
      </w:r>
    </w:p>
    <w:p>
      <w:pPr>
        <w:ind w:firstLine="411" w:firstLineChars="196"/>
        <w:rPr>
          <w:rFonts w:hint="eastAsia" w:ascii="宋体" w:hAnsi="宋体"/>
          <w:szCs w:val="21"/>
        </w:rPr>
      </w:pPr>
      <w:r>
        <w:rPr>
          <w:rFonts w:hint="eastAsia" w:ascii="宋体" w:hAnsi="宋体"/>
          <w:szCs w:val="21"/>
        </w:rPr>
        <w:t>2.5“合同”指由本次招标所产生的合同或合约文件；</w:t>
      </w:r>
    </w:p>
    <w:p>
      <w:pPr>
        <w:ind w:firstLine="411" w:firstLineChars="196"/>
        <w:rPr>
          <w:rFonts w:hint="eastAsia"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pPr>
        <w:ind w:firstLine="411" w:firstLineChars="196"/>
        <w:rPr>
          <w:rFonts w:hint="eastAsia" w:ascii="宋体" w:hAnsi="宋体"/>
          <w:szCs w:val="21"/>
        </w:rPr>
      </w:pPr>
      <w:r>
        <w:rPr>
          <w:rFonts w:hint="eastAsia" w:ascii="宋体" w:hAnsi="宋体"/>
          <w:szCs w:val="21"/>
        </w:rPr>
        <w:t>2.7招标文件中的标题或题名仅起引导作用，而不应视为对招标文件内容的理解和解释；</w:t>
      </w:r>
    </w:p>
    <w:p>
      <w:pPr>
        <w:ind w:firstLine="411" w:firstLineChars="196"/>
        <w:rPr>
          <w:rFonts w:hint="eastAsia" w:ascii="宋体" w:hAnsi="宋体"/>
          <w:szCs w:val="21"/>
        </w:rPr>
      </w:pPr>
      <w:r>
        <w:rPr>
          <w:rFonts w:ascii="宋体" w:hAnsi="宋体"/>
          <w:szCs w:val="21"/>
        </w:rPr>
        <w:t>2.</w:t>
      </w:r>
      <w:r>
        <w:rPr>
          <w:rFonts w:hint="eastAsia" w:ascii="宋体" w:hAnsi="宋体"/>
          <w:szCs w:val="21"/>
        </w:rPr>
        <w:t>8除特别声明外，</w:t>
      </w:r>
      <w:bookmarkStart w:id="58" w:name="OLE_LINK4"/>
      <w:r>
        <w:rPr>
          <w:rFonts w:hint="eastAsia" w:ascii="宋体" w:hAnsi="宋体"/>
          <w:szCs w:val="21"/>
        </w:rPr>
        <w:t>本招标文件所称的网站均指</w:t>
      </w:r>
      <w:bookmarkStart w:id="59" w:name="OLE_LINK2"/>
      <w:r>
        <w:rPr>
          <w:rFonts w:hint="eastAsia" w:ascii="宋体" w:hAnsi="宋体"/>
          <w:szCs w:val="21"/>
        </w:rPr>
        <w:t>深圳交易集团罗湖分公司网站，网址：</w:t>
      </w:r>
      <w:bookmarkStart w:id="60" w:name="OLE_LINK1"/>
      <w:r>
        <w:rPr>
          <w:rFonts w:hint="eastAsia" w:ascii="宋体" w:hAnsi="宋体"/>
          <w:color w:val="FF0000"/>
          <w:szCs w:val="21"/>
        </w:rPr>
        <w:t>https://lh.szexgrp.com/jyfw/zfcg-view.html?id=zfcg</w:t>
      </w:r>
      <w:bookmarkEnd w:id="60"/>
    </w:p>
    <w:bookmarkEnd w:id="58"/>
    <w:bookmarkEnd w:id="59"/>
    <w:p>
      <w:pPr>
        <w:spacing w:line="360" w:lineRule="auto"/>
        <w:rPr>
          <w:rFonts w:hint="eastAsia" w:ascii="黑体" w:hAnsi="宋体" w:eastAsia="黑体"/>
          <w:sz w:val="24"/>
        </w:rPr>
      </w:pPr>
      <w:bookmarkStart w:id="61" w:name="_Toc73521639"/>
      <w:bookmarkStart w:id="62" w:name="_Toc73517643"/>
      <w:bookmarkStart w:id="63" w:name="_Toc73521551"/>
      <w:bookmarkStart w:id="64" w:name="_Toc60631624"/>
      <w:bookmarkStart w:id="65" w:name="_Toc60560629"/>
      <w:bookmarkStart w:id="66" w:name="_Toc100052368"/>
      <w:bookmarkStart w:id="67" w:name="_Toc73518121"/>
      <w:r>
        <w:rPr>
          <w:rFonts w:hint="eastAsia" w:ascii="黑体" w:hAnsi="宋体" w:eastAsia="黑体"/>
          <w:sz w:val="24"/>
        </w:rPr>
        <w:t>3．投标供应商的资质要求</w:t>
      </w:r>
      <w:bookmarkEnd w:id="61"/>
      <w:bookmarkEnd w:id="62"/>
      <w:bookmarkEnd w:id="63"/>
      <w:bookmarkEnd w:id="64"/>
      <w:bookmarkEnd w:id="65"/>
      <w:bookmarkEnd w:id="66"/>
      <w:bookmarkEnd w:id="67"/>
    </w:p>
    <w:p>
      <w:pPr>
        <w:ind w:firstLine="411" w:firstLineChars="196"/>
        <w:rPr>
          <w:rFonts w:hint="eastAsia" w:ascii="宋体" w:hAnsi="宋体"/>
          <w:szCs w:val="21"/>
        </w:rPr>
      </w:pPr>
      <w:bookmarkStart w:id="68" w:name="OLE_LINK39"/>
      <w:r>
        <w:rPr>
          <w:rFonts w:hint="eastAsia" w:ascii="宋体" w:hAnsi="宋体"/>
          <w:szCs w:val="21"/>
        </w:rPr>
        <w:t>3</w:t>
      </w:r>
      <w:r>
        <w:rPr>
          <w:rFonts w:ascii="宋体" w:hAnsi="宋体"/>
          <w:szCs w:val="21"/>
        </w:rPr>
        <w:t>.</w:t>
      </w:r>
      <w:r>
        <w:rPr>
          <w:rFonts w:hint="eastAsia" w:ascii="宋体" w:hAnsi="宋体"/>
          <w:szCs w:val="21"/>
        </w:rPr>
        <w:t>1 参加本次投标的投标供应商应满足招标文件规定的资格条件，详</w:t>
      </w:r>
      <w:r>
        <w:rPr>
          <w:rFonts w:hint="eastAsia" w:ascii="宋体" w:hAnsi="宋体"/>
          <w:bCs/>
          <w:szCs w:val="21"/>
        </w:rPr>
        <w:t>见招标公告有关投标供应商资格要求。</w:t>
      </w:r>
    </w:p>
    <w:bookmarkEnd w:id="68"/>
    <w:p>
      <w:pPr>
        <w:spacing w:line="360" w:lineRule="auto"/>
        <w:rPr>
          <w:rFonts w:hint="eastAsia" w:ascii="黑体" w:hAnsi="宋体" w:eastAsia="黑体"/>
          <w:sz w:val="24"/>
        </w:rPr>
      </w:pPr>
      <w:bookmarkStart w:id="69" w:name="_Toc73521641"/>
      <w:bookmarkStart w:id="70" w:name="_Toc60631626"/>
      <w:bookmarkStart w:id="71" w:name="_Toc73517645"/>
      <w:bookmarkStart w:id="72" w:name="_Toc100052370"/>
      <w:bookmarkStart w:id="73" w:name="_Toc60560631"/>
      <w:bookmarkStart w:id="74" w:name="_Toc73518123"/>
      <w:bookmarkStart w:id="75" w:name="_Toc73521553"/>
      <w:r>
        <w:rPr>
          <w:rFonts w:hint="eastAsia" w:ascii="黑体" w:hAnsi="宋体" w:eastAsia="黑体"/>
          <w:sz w:val="24"/>
        </w:rPr>
        <w:t>4．投标费用</w:t>
      </w:r>
      <w:bookmarkEnd w:id="69"/>
      <w:bookmarkEnd w:id="70"/>
      <w:bookmarkEnd w:id="71"/>
      <w:bookmarkEnd w:id="72"/>
      <w:bookmarkEnd w:id="73"/>
      <w:bookmarkEnd w:id="74"/>
      <w:bookmarkEnd w:id="75"/>
    </w:p>
    <w:p>
      <w:pPr>
        <w:ind w:firstLine="411" w:firstLineChars="196"/>
        <w:rPr>
          <w:rFonts w:hint="eastAsia"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76" w:name="_Toc78260681"/>
      <w:bookmarkStart w:id="77" w:name="_Toc100052372"/>
    </w:p>
    <w:p>
      <w:pPr>
        <w:spacing w:line="360" w:lineRule="auto"/>
        <w:rPr>
          <w:rFonts w:hint="eastAsia" w:ascii="黑体" w:hAnsi="宋体" w:eastAsia="黑体"/>
          <w:sz w:val="24"/>
        </w:rPr>
      </w:pPr>
      <w:r>
        <w:rPr>
          <w:rFonts w:hint="eastAsia" w:ascii="黑体" w:hAnsi="宋体" w:eastAsia="黑体"/>
          <w:sz w:val="24"/>
        </w:rPr>
        <w:t>5．招标</w:t>
      </w:r>
      <w:bookmarkEnd w:id="76"/>
      <w:r>
        <w:rPr>
          <w:rFonts w:hint="eastAsia" w:ascii="黑体" w:hAnsi="宋体" w:eastAsia="黑体"/>
          <w:sz w:val="24"/>
        </w:rPr>
        <w:t>答疑</w:t>
      </w:r>
      <w:bookmarkEnd w:id="77"/>
      <w:r>
        <w:rPr>
          <w:rFonts w:hint="eastAsia" w:ascii="黑体" w:hAnsi="宋体" w:eastAsia="黑体"/>
          <w:sz w:val="24"/>
        </w:rPr>
        <w:t>、质疑</w:t>
      </w:r>
    </w:p>
    <w:p>
      <w:pPr>
        <w:ind w:firstLine="411" w:firstLineChars="196"/>
        <w:rPr>
          <w:rFonts w:hint="eastAsia"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pPr>
        <w:ind w:firstLine="411" w:firstLineChars="196"/>
        <w:rPr>
          <w:rFonts w:hint="eastAsia"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pPr>
        <w:ind w:firstLine="420"/>
        <w:rPr>
          <w:rFonts w:hint="eastAsia"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pPr>
        <w:ind w:firstLine="420"/>
        <w:rPr>
          <w:rFonts w:hint="eastAsia"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pPr>
        <w:ind w:firstLine="420"/>
        <w:rPr>
          <w:rFonts w:hint="eastAsia" w:ascii="宋体" w:hAnsi="宋体" w:cs="宋体"/>
          <w:kern w:val="0"/>
          <w:szCs w:val="21"/>
        </w:rPr>
      </w:pPr>
      <w:r>
        <w:rPr>
          <w:rFonts w:hint="eastAsia" w:ascii="宋体" w:hAnsi="宋体" w:cs="宋体"/>
          <w:kern w:val="0"/>
          <w:szCs w:val="21"/>
        </w:rPr>
        <w:t>（1）对招标（采购）文件的质疑，为招标（采购）公告公示期内；</w:t>
      </w:r>
    </w:p>
    <w:p>
      <w:pPr>
        <w:ind w:firstLine="420"/>
        <w:rPr>
          <w:rFonts w:hint="eastAsia"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pPr>
        <w:ind w:firstLine="420"/>
        <w:rPr>
          <w:rFonts w:hint="eastAsia"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pPr>
        <w:ind w:firstLine="420"/>
        <w:rPr>
          <w:rFonts w:hint="eastAsia" w:ascii="宋体" w:hAnsi="宋体"/>
          <w:szCs w:val="21"/>
        </w:rPr>
      </w:pPr>
      <w:r>
        <w:rPr>
          <w:rFonts w:hint="eastAsia" w:ascii="宋体" w:hAnsi="宋体"/>
          <w:szCs w:val="21"/>
        </w:rPr>
        <w:t>5.3.2书面质疑函应当包括以下内容：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5.3.3提交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pPr>
        <w:ind w:firstLine="420" w:firstLineChars="200"/>
        <w:rPr>
          <w:rFonts w:hint="eastAsia"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b/>
          <w:szCs w:val="21"/>
        </w:rPr>
      </w:pPr>
      <w:r>
        <w:rPr>
          <w:rFonts w:hint="eastAsia" w:ascii="宋体" w:hAnsi="宋体"/>
          <w:szCs w:val="21"/>
        </w:rPr>
        <w:t>5.3.4</w:t>
      </w:r>
      <w:r>
        <w:rPr>
          <w:rFonts w:hint="eastAsia" w:ascii="宋体" w:hAnsi="宋体"/>
          <w:b/>
          <w:szCs w:val="21"/>
        </w:rPr>
        <w:t>收文单位、地点</w:t>
      </w:r>
    </w:p>
    <w:p>
      <w:pPr>
        <w:ind w:firstLine="420" w:firstLineChars="200"/>
        <w:rPr>
          <w:rFonts w:hint="eastAsia"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pPr>
        <w:ind w:firstLine="422" w:firstLineChars="200"/>
        <w:rPr>
          <w:rFonts w:hint="eastAsia"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5楼，质疑咨询电话：0755-82239981。</w:t>
      </w:r>
    </w:p>
    <w:p>
      <w:pPr>
        <w:ind w:firstLine="411" w:firstLineChars="196"/>
        <w:rPr>
          <w:rFonts w:hint="eastAsia"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pPr>
        <w:ind w:firstLine="411" w:firstLineChars="196"/>
        <w:rPr>
          <w:rFonts w:hint="eastAsia"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pPr>
        <w:ind w:firstLine="411" w:firstLineChars="196"/>
        <w:rPr>
          <w:rFonts w:hint="eastAsia"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pPr>
        <w:pStyle w:val="32"/>
      </w:pPr>
    </w:p>
    <w:p>
      <w:pPr>
        <w:pStyle w:val="6"/>
        <w:rPr>
          <w:rFonts w:hint="eastAsia"/>
        </w:rPr>
      </w:pPr>
      <w:bookmarkStart w:id="78" w:name="_Toc100052373"/>
      <w:bookmarkStart w:id="79" w:name="_Toc73518126"/>
      <w:bookmarkStart w:id="80" w:name="_Toc194467301"/>
      <w:bookmarkStart w:id="81" w:name="_Toc73521556"/>
      <w:bookmarkStart w:id="82" w:name="_Toc101074878"/>
      <w:bookmarkStart w:id="83" w:name="_Toc73517648"/>
      <w:bookmarkStart w:id="84" w:name="_Toc73521644"/>
      <w:r>
        <w:rPr>
          <w:rFonts w:hint="eastAsia"/>
        </w:rPr>
        <w:t>第二章 招标文件</w:t>
      </w:r>
      <w:bookmarkEnd w:id="78"/>
      <w:bookmarkEnd w:id="79"/>
      <w:bookmarkEnd w:id="80"/>
      <w:bookmarkEnd w:id="81"/>
      <w:bookmarkEnd w:id="82"/>
      <w:bookmarkEnd w:id="83"/>
      <w:bookmarkEnd w:id="84"/>
    </w:p>
    <w:p>
      <w:pPr>
        <w:spacing w:line="360" w:lineRule="auto"/>
        <w:rPr>
          <w:rFonts w:hint="eastAsia" w:ascii="黑体" w:hAnsi="宋体" w:eastAsia="黑体"/>
          <w:sz w:val="24"/>
        </w:rPr>
      </w:pPr>
      <w:bookmarkStart w:id="85" w:name="_Toc73521645"/>
      <w:bookmarkStart w:id="86" w:name="_Toc73518127"/>
      <w:bookmarkStart w:id="87" w:name="_Toc100052374"/>
      <w:bookmarkStart w:id="88" w:name="_Toc73517649"/>
      <w:bookmarkStart w:id="89" w:name="_Toc73521557"/>
      <w:r>
        <w:rPr>
          <w:rFonts w:hint="eastAsia" w:ascii="黑体" w:hAnsi="宋体" w:eastAsia="黑体"/>
          <w:sz w:val="24"/>
        </w:rPr>
        <w:t>6．招标文件的组成</w:t>
      </w:r>
      <w:bookmarkEnd w:id="85"/>
      <w:bookmarkEnd w:id="86"/>
      <w:bookmarkEnd w:id="87"/>
      <w:bookmarkEnd w:id="88"/>
      <w:bookmarkEnd w:id="89"/>
    </w:p>
    <w:p>
      <w:pPr>
        <w:ind w:firstLine="411" w:firstLineChars="196"/>
        <w:rPr>
          <w:rFonts w:hint="eastAsia"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pPr>
        <w:ind w:firstLine="420" w:firstLineChars="200"/>
        <w:rPr>
          <w:rFonts w:hint="eastAsia" w:ascii="宋体" w:hAnsi="宋体"/>
          <w:szCs w:val="21"/>
        </w:rPr>
      </w:pPr>
      <w:r>
        <w:rPr>
          <w:rFonts w:hint="eastAsia" w:ascii="宋体" w:hAnsi="宋体"/>
          <w:szCs w:val="21"/>
        </w:rPr>
        <w:t>6.2招标文件共分为关键信息和招标文件正文。</w:t>
      </w:r>
    </w:p>
    <w:p>
      <w:pPr>
        <w:ind w:firstLine="420" w:firstLineChars="200"/>
        <w:rPr>
          <w:rFonts w:hint="eastAsia"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pPr>
        <w:ind w:firstLine="411" w:firstLineChars="196"/>
        <w:rPr>
          <w:rFonts w:hint="eastAsia"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pPr>
        <w:spacing w:line="360" w:lineRule="auto"/>
        <w:rPr>
          <w:rFonts w:hint="eastAsia" w:ascii="黑体" w:hAnsi="宋体" w:eastAsia="黑体"/>
          <w:sz w:val="24"/>
        </w:rPr>
      </w:pPr>
      <w:bookmarkStart w:id="90" w:name="_Toc73521558"/>
      <w:bookmarkStart w:id="91" w:name="_Toc73517650"/>
      <w:bookmarkStart w:id="92" w:name="_Toc73521646"/>
      <w:bookmarkStart w:id="93" w:name="_Toc100052375"/>
      <w:bookmarkStart w:id="94" w:name="_Toc73518128"/>
      <w:bookmarkStart w:id="95" w:name="_Toc60631631"/>
      <w:bookmarkStart w:id="96" w:name="_Toc60560636"/>
      <w:r>
        <w:rPr>
          <w:rFonts w:hint="eastAsia" w:ascii="黑体" w:hAnsi="宋体" w:eastAsia="黑体"/>
          <w:sz w:val="24"/>
        </w:rPr>
        <w:t>7．招标文件的澄清</w:t>
      </w:r>
      <w:bookmarkEnd w:id="90"/>
      <w:bookmarkEnd w:id="91"/>
      <w:bookmarkEnd w:id="92"/>
      <w:bookmarkEnd w:id="93"/>
      <w:bookmarkEnd w:id="94"/>
      <w:bookmarkEnd w:id="95"/>
      <w:bookmarkEnd w:id="96"/>
    </w:p>
    <w:p>
      <w:pPr>
        <w:ind w:firstLine="411" w:firstLineChars="196"/>
        <w:rPr>
          <w:rFonts w:hint="eastAsia"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pPr>
        <w:ind w:firstLine="411" w:firstLineChars="196"/>
        <w:rPr>
          <w:rFonts w:hint="eastAsia"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pPr>
        <w:ind w:firstLine="411" w:firstLineChars="196"/>
        <w:rPr>
          <w:rFonts w:hint="eastAsia"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pPr>
        <w:spacing w:line="360" w:lineRule="auto"/>
        <w:rPr>
          <w:rFonts w:hint="eastAsia" w:ascii="黑体" w:hAnsi="宋体" w:eastAsia="黑体"/>
          <w:sz w:val="24"/>
        </w:rPr>
      </w:pPr>
      <w:bookmarkStart w:id="97" w:name="_Toc60631632"/>
      <w:bookmarkStart w:id="98" w:name="_Toc73521559"/>
      <w:bookmarkStart w:id="99" w:name="_Toc60560637"/>
      <w:bookmarkStart w:id="100" w:name="_Toc73521647"/>
      <w:bookmarkStart w:id="101" w:name="_Toc73517651"/>
      <w:bookmarkStart w:id="102" w:name="_Toc73518129"/>
      <w:bookmarkStart w:id="103" w:name="_Toc100052376"/>
      <w:r>
        <w:rPr>
          <w:rFonts w:hint="eastAsia" w:ascii="黑体" w:hAnsi="宋体" w:eastAsia="黑体"/>
          <w:sz w:val="24"/>
        </w:rPr>
        <w:t>8．招标文件的修改</w:t>
      </w:r>
      <w:bookmarkEnd w:id="97"/>
      <w:bookmarkEnd w:id="98"/>
      <w:bookmarkEnd w:id="99"/>
      <w:bookmarkEnd w:id="100"/>
      <w:bookmarkEnd w:id="101"/>
      <w:bookmarkEnd w:id="102"/>
      <w:bookmarkEnd w:id="103"/>
    </w:p>
    <w:p>
      <w:pPr>
        <w:ind w:firstLine="411" w:firstLineChars="196"/>
        <w:rPr>
          <w:rFonts w:hint="eastAsia"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pPr>
        <w:ind w:firstLine="411" w:firstLineChars="196"/>
        <w:rPr>
          <w:rFonts w:hint="eastAsia"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pPr>
        <w:ind w:firstLine="411" w:firstLineChars="196"/>
        <w:rPr>
          <w:rFonts w:hint="eastAsia"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pPr>
        <w:ind w:firstLine="411" w:firstLineChars="196"/>
        <w:rPr>
          <w:rFonts w:hint="eastAsia"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pPr>
        <w:pStyle w:val="6"/>
        <w:rPr>
          <w:rFonts w:hint="eastAsia"/>
        </w:rPr>
      </w:pPr>
      <w:bookmarkStart w:id="104" w:name="bt投标文件"/>
      <w:bookmarkEnd w:id="104"/>
      <w:bookmarkStart w:id="105" w:name="_Toc60560639"/>
      <w:bookmarkStart w:id="106" w:name="_Toc100052378"/>
      <w:bookmarkStart w:id="107" w:name="_Toc73521649"/>
      <w:bookmarkStart w:id="108" w:name="_Toc73517653"/>
      <w:bookmarkStart w:id="109" w:name="_Toc60631634"/>
      <w:bookmarkStart w:id="110" w:name="_Toc73518131"/>
      <w:bookmarkStart w:id="111" w:name="_Toc73521561"/>
      <w:r>
        <w:rPr>
          <w:rFonts w:hint="eastAsia"/>
        </w:rPr>
        <w:t>第三章 投标文件</w:t>
      </w:r>
    </w:p>
    <w:p>
      <w:pPr>
        <w:rPr>
          <w:rFonts w:hint="eastAsia" w:ascii="黑体" w:hAnsi="宋体" w:eastAsia="黑体"/>
          <w:sz w:val="24"/>
        </w:rPr>
      </w:pPr>
      <w:r>
        <w:rPr>
          <w:rFonts w:hint="eastAsia" w:ascii="黑体" w:hAnsi="宋体" w:eastAsia="黑体"/>
          <w:sz w:val="24"/>
        </w:rPr>
        <w:t>9．投标文件的语言及度量单位</w:t>
      </w:r>
      <w:bookmarkEnd w:id="105"/>
      <w:bookmarkEnd w:id="106"/>
      <w:bookmarkEnd w:id="107"/>
      <w:bookmarkEnd w:id="108"/>
      <w:bookmarkEnd w:id="109"/>
      <w:bookmarkEnd w:id="110"/>
      <w:bookmarkEnd w:id="111"/>
    </w:p>
    <w:p>
      <w:pPr>
        <w:ind w:firstLine="411" w:firstLineChars="196"/>
        <w:rPr>
          <w:rFonts w:hint="eastAsia"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pPr>
        <w:ind w:firstLine="411" w:firstLineChars="196"/>
        <w:rPr>
          <w:rFonts w:hint="eastAsia" w:ascii="宋体" w:hAnsi="宋体"/>
          <w:szCs w:val="21"/>
        </w:rPr>
      </w:pPr>
      <w:r>
        <w:rPr>
          <w:rFonts w:hint="eastAsia" w:ascii="宋体" w:hAnsi="宋体"/>
          <w:szCs w:val="21"/>
        </w:rPr>
        <w:t>9.2除技术规范另有规定外，投标文件使用的度量单位，均采用中华人民共和国法定计量单位。</w:t>
      </w:r>
    </w:p>
    <w:p>
      <w:pPr>
        <w:spacing w:line="360" w:lineRule="auto"/>
        <w:rPr>
          <w:rFonts w:hint="eastAsia" w:ascii="黑体" w:hAnsi="宋体" w:eastAsia="黑体"/>
          <w:sz w:val="24"/>
        </w:rPr>
      </w:pPr>
      <w:bookmarkStart w:id="112" w:name="_Toc100052379"/>
      <w:bookmarkStart w:id="113" w:name="_Toc73521562"/>
      <w:bookmarkStart w:id="114" w:name="_Toc60631635"/>
      <w:bookmarkStart w:id="115" w:name="_Toc73521650"/>
      <w:bookmarkStart w:id="116" w:name="_Toc73518132"/>
      <w:bookmarkStart w:id="117" w:name="_Toc60560640"/>
      <w:bookmarkStart w:id="118" w:name="_Toc73517654"/>
      <w:r>
        <w:rPr>
          <w:rFonts w:hint="eastAsia" w:ascii="黑体" w:hAnsi="宋体" w:eastAsia="黑体"/>
          <w:sz w:val="24"/>
        </w:rPr>
        <w:t>10．投标文件的组成</w:t>
      </w:r>
      <w:bookmarkEnd w:id="112"/>
      <w:bookmarkEnd w:id="113"/>
      <w:bookmarkEnd w:id="114"/>
      <w:bookmarkEnd w:id="115"/>
      <w:bookmarkEnd w:id="116"/>
      <w:bookmarkEnd w:id="117"/>
      <w:bookmarkEnd w:id="118"/>
    </w:p>
    <w:p>
      <w:pPr>
        <w:ind w:firstLine="413" w:firstLineChars="196"/>
        <w:rPr>
          <w:rFonts w:hint="eastAsia" w:ascii="宋体" w:hAnsi="宋体"/>
          <w:b/>
          <w:szCs w:val="21"/>
        </w:rPr>
      </w:pPr>
      <w:r>
        <w:rPr>
          <w:rFonts w:hint="eastAsia" w:ascii="宋体" w:hAnsi="宋体"/>
          <w:b/>
          <w:szCs w:val="21"/>
        </w:rPr>
        <w:t>（具体内容请详见招标文件第一册第一章</w:t>
      </w:r>
      <w:bookmarkStart w:id="119" w:name="投标文件的组成"/>
      <w:bookmarkStart w:id="120" w:name="_Toc73517655"/>
      <w:bookmarkStart w:id="121" w:name="_Toc60560641"/>
      <w:bookmarkStart w:id="122" w:name="_Toc73518133"/>
      <w:bookmarkStart w:id="123" w:name="_Toc60631636"/>
      <w:bookmarkStart w:id="124" w:name="_Toc73521651"/>
      <w:bookmarkStart w:id="125" w:name="_Toc73521563"/>
      <w:r>
        <w:rPr>
          <w:rFonts w:hint="eastAsia" w:ascii="宋体" w:hAnsi="宋体"/>
          <w:b/>
          <w:szCs w:val="21"/>
        </w:rPr>
        <w:t>）</w:t>
      </w:r>
    </w:p>
    <w:p>
      <w:pPr>
        <w:ind w:firstLine="420" w:firstLineChars="200"/>
        <w:rPr>
          <w:rFonts w:hint="eastAsia"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19"/>
    <w:p>
      <w:pPr>
        <w:spacing w:line="360" w:lineRule="auto"/>
        <w:rPr>
          <w:rFonts w:hint="eastAsia" w:ascii="黑体" w:hAnsi="宋体" w:eastAsia="黑体"/>
          <w:sz w:val="24"/>
        </w:rPr>
      </w:pPr>
      <w:bookmarkStart w:id="126" w:name="_Toc100052380"/>
      <w:r>
        <w:rPr>
          <w:rFonts w:hint="eastAsia" w:ascii="黑体" w:hAnsi="宋体" w:eastAsia="黑体"/>
          <w:sz w:val="24"/>
        </w:rPr>
        <w:t>11．投标文件格式</w:t>
      </w:r>
      <w:bookmarkEnd w:id="120"/>
      <w:bookmarkEnd w:id="121"/>
      <w:bookmarkEnd w:id="122"/>
      <w:bookmarkEnd w:id="123"/>
      <w:bookmarkEnd w:id="124"/>
      <w:bookmarkEnd w:id="125"/>
      <w:bookmarkEnd w:id="126"/>
    </w:p>
    <w:p>
      <w:pPr>
        <w:ind w:firstLine="411" w:firstLineChars="196"/>
        <w:rPr>
          <w:rFonts w:hint="eastAsia"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27" w:name="_Toc73517657"/>
      <w:bookmarkStart w:id="128" w:name="_Toc60560643"/>
      <w:bookmarkStart w:id="129" w:name="_Toc73518135"/>
      <w:bookmarkStart w:id="130" w:name="_Toc73521565"/>
      <w:bookmarkStart w:id="131" w:name="_Toc60631638"/>
      <w:bookmarkStart w:id="132" w:name="_Toc73521653"/>
    </w:p>
    <w:p>
      <w:pPr>
        <w:spacing w:line="360" w:lineRule="auto"/>
        <w:rPr>
          <w:rFonts w:hint="eastAsia" w:ascii="黑体" w:hAnsi="宋体" w:eastAsia="黑体"/>
          <w:sz w:val="24"/>
        </w:rPr>
      </w:pPr>
      <w:bookmarkStart w:id="133" w:name="_Toc100052382"/>
      <w:r>
        <w:rPr>
          <w:rFonts w:hint="eastAsia" w:ascii="黑体" w:hAnsi="宋体" w:eastAsia="黑体"/>
          <w:sz w:val="24"/>
        </w:rPr>
        <w:t>12．投标货币</w:t>
      </w:r>
      <w:bookmarkEnd w:id="127"/>
      <w:bookmarkEnd w:id="128"/>
      <w:bookmarkEnd w:id="129"/>
      <w:bookmarkEnd w:id="130"/>
      <w:bookmarkEnd w:id="131"/>
      <w:bookmarkEnd w:id="132"/>
      <w:bookmarkEnd w:id="133"/>
    </w:p>
    <w:p>
      <w:pPr>
        <w:ind w:firstLine="411" w:firstLineChars="196"/>
        <w:rPr>
          <w:rFonts w:hint="eastAsia" w:ascii="宋体" w:hAnsi="宋体"/>
          <w:szCs w:val="21"/>
        </w:rPr>
      </w:pPr>
      <w:r>
        <w:rPr>
          <w:rFonts w:hint="eastAsia" w:ascii="宋体" w:hAnsi="宋体"/>
          <w:szCs w:val="21"/>
        </w:rPr>
        <w:t>12.1本项目的投标应以人民币计。</w:t>
      </w:r>
      <w:bookmarkStart w:id="134" w:name="bt递交投标文件"/>
      <w:bookmarkEnd w:id="134"/>
    </w:p>
    <w:p>
      <w:pPr>
        <w:pStyle w:val="32"/>
      </w:pPr>
    </w:p>
    <w:p>
      <w:pPr>
        <w:pStyle w:val="6"/>
        <w:rPr>
          <w:rFonts w:hint="eastAsia"/>
        </w:rPr>
      </w:pPr>
      <w:bookmarkStart w:id="135" w:name="bt开标"/>
      <w:bookmarkEnd w:id="135"/>
      <w:bookmarkStart w:id="136" w:name="_Toc100052391"/>
      <w:bookmarkStart w:id="137" w:name="_Toc73521662"/>
      <w:bookmarkStart w:id="138" w:name="_Toc73518144"/>
      <w:bookmarkStart w:id="139" w:name="_Toc73521574"/>
      <w:bookmarkStart w:id="140" w:name="_Toc101074881"/>
      <w:bookmarkStart w:id="141" w:name="_Toc73517666"/>
      <w:bookmarkStart w:id="142" w:name="_Toc194467304"/>
      <w:r>
        <w:rPr>
          <w:rFonts w:hint="eastAsia"/>
        </w:rPr>
        <w:t>第四章 开标</w:t>
      </w:r>
      <w:bookmarkEnd w:id="136"/>
      <w:bookmarkEnd w:id="137"/>
      <w:bookmarkEnd w:id="138"/>
      <w:bookmarkEnd w:id="139"/>
      <w:bookmarkEnd w:id="140"/>
      <w:bookmarkEnd w:id="141"/>
      <w:bookmarkEnd w:id="142"/>
    </w:p>
    <w:p>
      <w:pPr>
        <w:spacing w:line="360" w:lineRule="auto"/>
        <w:rPr>
          <w:rFonts w:hint="eastAsia" w:ascii="黑体" w:hAnsi="宋体" w:eastAsia="黑体"/>
          <w:sz w:val="24"/>
        </w:rPr>
      </w:pPr>
      <w:bookmarkStart w:id="143" w:name="_Toc73521663"/>
      <w:bookmarkStart w:id="144" w:name="_Toc60560655"/>
      <w:bookmarkStart w:id="145" w:name="_Toc73521575"/>
      <w:bookmarkStart w:id="146" w:name="_Toc60631650"/>
      <w:bookmarkStart w:id="147" w:name="_Toc73517667"/>
      <w:bookmarkStart w:id="148" w:name="_Toc100052392"/>
      <w:bookmarkStart w:id="149" w:name="_Toc73518145"/>
      <w:r>
        <w:rPr>
          <w:rFonts w:hint="eastAsia" w:ascii="黑体" w:hAnsi="宋体" w:eastAsia="黑体"/>
          <w:sz w:val="24"/>
        </w:rPr>
        <w:t>13．开标</w:t>
      </w:r>
      <w:bookmarkEnd w:id="143"/>
      <w:bookmarkEnd w:id="144"/>
      <w:bookmarkEnd w:id="145"/>
      <w:bookmarkEnd w:id="146"/>
      <w:bookmarkEnd w:id="147"/>
      <w:bookmarkEnd w:id="148"/>
      <w:bookmarkEnd w:id="149"/>
    </w:p>
    <w:p>
      <w:pPr>
        <w:ind w:firstLine="411" w:firstLineChars="196"/>
        <w:rPr>
          <w:rFonts w:hint="eastAsia"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0" w:name="bt评标"/>
      <w:bookmarkEnd w:id="150"/>
      <w:bookmarkStart w:id="151" w:name="bt评标会议"/>
      <w:bookmarkEnd w:id="151"/>
      <w:bookmarkStart w:id="152" w:name="_Toc73518147"/>
      <w:bookmarkStart w:id="153" w:name="_Toc100052394"/>
      <w:bookmarkStart w:id="154" w:name="_Toc73521577"/>
      <w:bookmarkStart w:id="155" w:name="_Toc73517669"/>
      <w:bookmarkStart w:id="156" w:name="_Toc73521665"/>
    </w:p>
    <w:p>
      <w:pPr>
        <w:rPr>
          <w:rFonts w:hint="eastAsia" w:ascii="黑体" w:hAnsi="宋体" w:eastAsia="黑体"/>
          <w:sz w:val="24"/>
        </w:rPr>
      </w:pPr>
      <w:r>
        <w:rPr>
          <w:rFonts w:hint="eastAsia" w:ascii="黑体" w:hAnsi="宋体" w:eastAsia="黑体"/>
          <w:sz w:val="24"/>
        </w:rPr>
        <w:t>14．评标会议</w:t>
      </w:r>
    </w:p>
    <w:p>
      <w:pPr>
        <w:ind w:firstLine="411" w:firstLineChars="196"/>
        <w:rPr>
          <w:rFonts w:hint="eastAsia" w:ascii="宋体" w:hAnsi="宋体"/>
        </w:rPr>
      </w:pPr>
      <w:r>
        <w:rPr>
          <w:rFonts w:hint="eastAsia" w:ascii="宋体" w:hAnsi="宋体"/>
        </w:rPr>
        <w:t>14.1评标定标应当遵循公平、公正、科学、择优的原则。</w:t>
      </w:r>
    </w:p>
    <w:p>
      <w:pPr>
        <w:ind w:firstLine="411" w:firstLineChars="196"/>
        <w:rPr>
          <w:rFonts w:hint="eastAsia" w:ascii="宋体" w:hAnsi="宋体"/>
        </w:rPr>
      </w:pPr>
      <w:r>
        <w:rPr>
          <w:rFonts w:hint="eastAsia" w:ascii="宋体" w:hAnsi="宋体"/>
        </w:rPr>
        <w:t>14.2评标活动依法进行，任何单位和个人不得非法干预评标过程和结果。</w:t>
      </w:r>
    </w:p>
    <w:p>
      <w:pPr>
        <w:ind w:firstLine="411" w:firstLineChars="196"/>
        <w:rPr>
          <w:rFonts w:hint="eastAsia" w:ascii="宋体" w:hAnsi="宋体"/>
        </w:rPr>
      </w:pPr>
      <w:r>
        <w:rPr>
          <w:rFonts w:hint="eastAsia" w:ascii="宋体" w:hAnsi="宋体"/>
        </w:rPr>
        <w:t>14.3评标过程中不允许违背评标程序或采用招标文件未载明的评标方法或评标因素进行评标。</w:t>
      </w:r>
    </w:p>
    <w:p>
      <w:pPr>
        <w:rPr>
          <w:rFonts w:hint="eastAsia" w:ascii="宋体" w:hAnsi="宋体"/>
        </w:rPr>
      </w:pPr>
      <w:r>
        <w:rPr>
          <w:rFonts w:hint="eastAsia" w:ascii="黑体" w:hAnsi="宋体" w:eastAsia="黑体"/>
          <w:sz w:val="24"/>
        </w:rPr>
        <w:t>15．独立评标及评标程序</w:t>
      </w:r>
    </w:p>
    <w:p>
      <w:pPr>
        <w:ind w:firstLine="411" w:firstLineChars="196"/>
        <w:rPr>
          <w:rFonts w:hint="eastAsia"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52"/>
      <w:bookmarkEnd w:id="153"/>
      <w:bookmarkEnd w:id="154"/>
      <w:bookmarkEnd w:id="155"/>
      <w:bookmarkEnd w:id="156"/>
      <w:bookmarkStart w:id="157" w:name="bt错误的修正"/>
      <w:bookmarkEnd w:id="157"/>
      <w:bookmarkStart w:id="158" w:name="bt评标过程的保密"/>
      <w:bookmarkEnd w:id="158"/>
    </w:p>
    <w:p>
      <w:pPr>
        <w:spacing w:line="360" w:lineRule="auto"/>
        <w:rPr>
          <w:rFonts w:hint="eastAsia" w:ascii="黑体" w:hAnsi="宋体" w:eastAsia="黑体"/>
          <w:sz w:val="24"/>
        </w:rPr>
      </w:pPr>
      <w:bookmarkStart w:id="159" w:name="_Toc100052398"/>
      <w:bookmarkStart w:id="160" w:name="_Toc73521579"/>
      <w:bookmarkStart w:id="161" w:name="_Toc73518149"/>
      <w:bookmarkStart w:id="162" w:name="_Toc73517671"/>
      <w:bookmarkStart w:id="163" w:name="_Toc73521667"/>
      <w:r>
        <w:rPr>
          <w:rFonts w:hint="eastAsia" w:ascii="黑体" w:hAnsi="宋体" w:eastAsia="黑体"/>
          <w:sz w:val="24"/>
        </w:rPr>
        <w:t>16．投标文件初审</w:t>
      </w:r>
      <w:bookmarkEnd w:id="159"/>
    </w:p>
    <w:bookmarkEnd w:id="160"/>
    <w:bookmarkEnd w:id="161"/>
    <w:bookmarkEnd w:id="162"/>
    <w:bookmarkEnd w:id="163"/>
    <w:p>
      <w:pPr>
        <w:ind w:firstLine="411" w:firstLineChars="196"/>
        <w:rPr>
          <w:rFonts w:hint="eastAsia" w:ascii="宋体" w:hAnsi="宋体"/>
        </w:rPr>
      </w:pPr>
      <w:bookmarkStart w:id="164"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pPr>
        <w:ind w:firstLine="411" w:firstLineChars="196"/>
        <w:rPr>
          <w:rFonts w:hint="eastAsia" w:ascii="宋体" w:hAnsi="宋体"/>
        </w:rPr>
      </w:pPr>
      <w:r>
        <w:rPr>
          <w:rFonts w:hint="eastAsia" w:ascii="宋体" w:hAnsi="宋体"/>
        </w:rPr>
        <w:t>16.2投标文件初审内容请详见“关键信息”中的《资格性审查表》和《符合性审查表》部分。投标供应商若有一条审查不通过则按投标无效处理。</w:t>
      </w:r>
    </w:p>
    <w:p>
      <w:pPr>
        <w:ind w:firstLine="411" w:firstLineChars="196"/>
        <w:rPr>
          <w:rFonts w:hint="eastAsia" w:ascii="宋体" w:hAnsi="宋体"/>
        </w:rPr>
      </w:pPr>
      <w:r>
        <w:rPr>
          <w:rFonts w:hint="eastAsia" w:ascii="宋体" w:hAnsi="宋体"/>
        </w:rPr>
        <w:t>16.3对不属于《资格性审查表》和《符合性审查表》所列的其他情形，除法律法规另有规定外，不得作为投标无效的理由。</w:t>
      </w:r>
    </w:p>
    <w:p>
      <w:pPr>
        <w:spacing w:line="360" w:lineRule="auto"/>
        <w:rPr>
          <w:rFonts w:hint="eastAsia" w:ascii="黑体" w:hAnsi="宋体" w:eastAsia="黑体"/>
          <w:sz w:val="24"/>
        </w:rPr>
      </w:pPr>
      <w:r>
        <w:rPr>
          <w:rFonts w:hint="eastAsia" w:ascii="黑体" w:hAnsi="宋体" w:eastAsia="黑体"/>
          <w:sz w:val="24"/>
        </w:rPr>
        <w:t>17．澄清有关问题</w:t>
      </w:r>
      <w:bookmarkEnd w:id="164"/>
    </w:p>
    <w:p>
      <w:pPr>
        <w:ind w:firstLine="411" w:firstLineChars="196"/>
        <w:rPr>
          <w:rFonts w:hint="eastAsia" w:ascii="宋体" w:hAnsi="宋体"/>
        </w:rPr>
      </w:pPr>
      <w:bookmarkStart w:id="165" w:name="bt投标文件的评估和比较"/>
      <w:bookmarkEnd w:id="165"/>
      <w:bookmarkStart w:id="166" w:name="bt投标文件的澄清"/>
      <w:bookmarkEnd w:id="166"/>
      <w:bookmarkStart w:id="167" w:name="bt废标"/>
      <w:bookmarkEnd w:id="167"/>
      <w:bookmarkStart w:id="168" w:name="_Hlk71407321"/>
      <w:bookmarkStart w:id="169" w:name="_Toc100052400"/>
      <w:bookmarkStart w:id="170" w:name="_Toc73517673"/>
      <w:bookmarkStart w:id="171" w:name="_Toc73521669"/>
      <w:bookmarkStart w:id="172" w:name="_Toc73518151"/>
      <w:bookmarkStart w:id="173" w:name="_Toc73521581"/>
      <w:bookmarkStart w:id="174" w:name="_Toc73521671"/>
      <w:bookmarkStart w:id="175" w:name="_Toc73518153"/>
      <w:bookmarkStart w:id="176" w:name="_Toc73517675"/>
      <w:bookmarkStart w:id="177" w:name="_Toc7352158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68"/>
    </w:p>
    <w:p>
      <w:pPr>
        <w:ind w:firstLine="411" w:firstLineChars="196"/>
        <w:rPr>
          <w:rFonts w:hint="eastAsia"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pPr>
        <w:ind w:firstLine="411" w:firstLineChars="196"/>
        <w:rPr>
          <w:rFonts w:hint="eastAsia"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pPr>
        <w:pStyle w:val="32"/>
        <w:ind w:left="0" w:leftChars="0"/>
      </w:pPr>
      <w:r>
        <w:rPr>
          <w:rFonts w:hint="eastAsia"/>
        </w:rPr>
        <w:t>根据本通用条款第18条，凡属于评审委员会在评审中发现的算术错误进行核实的修改不在此列。</w:t>
      </w:r>
    </w:p>
    <w:p>
      <w:pPr>
        <w:spacing w:line="360" w:lineRule="auto"/>
        <w:rPr>
          <w:rFonts w:hint="eastAsia" w:ascii="黑体" w:hAnsi="宋体" w:eastAsia="黑体"/>
          <w:sz w:val="24"/>
        </w:rPr>
      </w:pPr>
      <w:r>
        <w:rPr>
          <w:rFonts w:hint="eastAsia" w:ascii="黑体" w:hAnsi="宋体" w:eastAsia="黑体"/>
          <w:sz w:val="24"/>
        </w:rPr>
        <w:t>18．错误的修正</w:t>
      </w:r>
      <w:bookmarkEnd w:id="169"/>
      <w:bookmarkEnd w:id="170"/>
      <w:bookmarkEnd w:id="171"/>
      <w:bookmarkEnd w:id="172"/>
      <w:bookmarkEnd w:id="173"/>
    </w:p>
    <w:p>
      <w:pPr>
        <w:ind w:firstLine="411" w:firstLineChars="196"/>
        <w:rPr>
          <w:rFonts w:hint="eastAsia" w:ascii="宋体" w:hAnsi="宋体"/>
          <w:szCs w:val="21"/>
        </w:rPr>
      </w:pPr>
      <w:r>
        <w:rPr>
          <w:rFonts w:hint="eastAsia" w:ascii="宋体" w:hAnsi="宋体"/>
          <w:szCs w:val="21"/>
        </w:rPr>
        <w:t>投标文件报价出现前后不一致的，除招标文件另有规定外，按照下列规定修正：</w:t>
      </w:r>
    </w:p>
    <w:p>
      <w:pPr>
        <w:ind w:firstLine="411" w:firstLineChars="196"/>
        <w:rPr>
          <w:rFonts w:hint="eastAsia" w:ascii="宋体" w:hAnsi="宋体"/>
          <w:szCs w:val="21"/>
        </w:rPr>
      </w:pPr>
      <w:r>
        <w:rPr>
          <w:rFonts w:hint="eastAsia" w:ascii="宋体" w:hAnsi="宋体"/>
          <w:szCs w:val="21"/>
        </w:rPr>
        <w:t>18.1投标文件中开标一览表内容与投标文件中相应内容不一致的，以开标一览表为准；</w:t>
      </w:r>
    </w:p>
    <w:p>
      <w:pPr>
        <w:ind w:firstLine="411" w:firstLineChars="196"/>
        <w:rPr>
          <w:rFonts w:hint="eastAsia" w:ascii="宋体" w:hAnsi="宋体"/>
          <w:szCs w:val="21"/>
        </w:rPr>
      </w:pPr>
      <w:r>
        <w:rPr>
          <w:rFonts w:hint="eastAsia" w:ascii="宋体" w:hAnsi="宋体"/>
          <w:szCs w:val="21"/>
        </w:rPr>
        <w:t>18.2大写金额和小写金额不一致的，以大写金额为准；</w:t>
      </w:r>
    </w:p>
    <w:p>
      <w:pPr>
        <w:ind w:firstLine="411" w:firstLineChars="196"/>
        <w:rPr>
          <w:rFonts w:hint="eastAsia" w:ascii="宋体" w:hAnsi="宋体"/>
          <w:szCs w:val="21"/>
        </w:rPr>
      </w:pPr>
      <w:r>
        <w:rPr>
          <w:rFonts w:hint="eastAsia" w:ascii="宋体" w:hAnsi="宋体"/>
          <w:szCs w:val="21"/>
        </w:rPr>
        <w:t>18.3单价金额小数点或者百分比有明显错位，以开标一览表的总价为准，并修改单价；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18.4总价金额与按单价汇总金额不一致的，以单价金额计算结果为准。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74"/>
      <w:bookmarkEnd w:id="175"/>
      <w:bookmarkEnd w:id="176"/>
      <w:bookmarkEnd w:id="177"/>
      <w:bookmarkStart w:id="178" w:name="_Toc100052402"/>
    </w:p>
    <w:p>
      <w:pPr>
        <w:spacing w:line="360" w:lineRule="auto"/>
        <w:rPr>
          <w:rFonts w:hint="eastAsia" w:ascii="黑体" w:hAnsi="宋体" w:eastAsia="黑体"/>
          <w:sz w:val="24"/>
        </w:rPr>
      </w:pPr>
      <w:r>
        <w:rPr>
          <w:rFonts w:hint="eastAsia" w:ascii="黑体" w:hAnsi="宋体" w:eastAsia="黑体"/>
          <w:sz w:val="24"/>
        </w:rPr>
        <w:t>19．评标方法</w:t>
      </w:r>
      <w:bookmarkEnd w:id="178"/>
      <w:bookmarkStart w:id="179" w:name="_Toc73521673"/>
      <w:bookmarkStart w:id="180" w:name="_Toc100052403"/>
      <w:bookmarkStart w:id="181" w:name="_Toc73518155"/>
      <w:bookmarkStart w:id="182" w:name="_Toc73517677"/>
      <w:bookmarkStart w:id="183" w:name="_Toc60560665"/>
      <w:bookmarkStart w:id="184" w:name="_Toc60631660"/>
      <w:bookmarkStart w:id="185" w:name="_Toc73521585"/>
    </w:p>
    <w:p>
      <w:pPr>
        <w:spacing w:line="360" w:lineRule="auto"/>
        <w:ind w:firstLine="420" w:firstLineChars="200"/>
        <w:rPr>
          <w:rFonts w:hint="eastAsia" w:ascii="宋体" w:hAnsi="宋体"/>
          <w:szCs w:val="21"/>
        </w:rPr>
      </w:pPr>
      <w:r>
        <w:rPr>
          <w:rFonts w:hint="eastAsia" w:ascii="宋体" w:hAnsi="宋体"/>
          <w:szCs w:val="21"/>
        </w:rPr>
        <w:t>本项目采用评标方法详见招标文件中的《评标信息》部分。</w:t>
      </w:r>
    </w:p>
    <w:p>
      <w:pPr>
        <w:spacing w:line="360" w:lineRule="auto"/>
        <w:rPr>
          <w:rFonts w:hint="eastAsia" w:ascii="黑体" w:hAnsi="宋体" w:eastAsia="黑体"/>
          <w:sz w:val="24"/>
        </w:rPr>
      </w:pPr>
      <w:r>
        <w:rPr>
          <w:rFonts w:hint="eastAsia" w:ascii="黑体" w:hAnsi="宋体" w:eastAsia="黑体"/>
          <w:sz w:val="24"/>
        </w:rPr>
        <w:t>20．定标</w:t>
      </w:r>
      <w:bookmarkEnd w:id="179"/>
      <w:bookmarkEnd w:id="180"/>
      <w:bookmarkEnd w:id="181"/>
      <w:bookmarkEnd w:id="182"/>
      <w:bookmarkEnd w:id="183"/>
      <w:bookmarkEnd w:id="184"/>
      <w:bookmarkEnd w:id="185"/>
    </w:p>
    <w:p>
      <w:pPr>
        <w:ind w:firstLine="411" w:firstLineChars="196"/>
        <w:rPr>
          <w:rFonts w:hint="eastAsia" w:ascii="宋体" w:hAnsi="宋体"/>
          <w:szCs w:val="21"/>
        </w:rPr>
      </w:pPr>
      <w:bookmarkStart w:id="186" w:name="_Toc100052404"/>
      <w:r>
        <w:rPr>
          <w:rFonts w:hint="eastAsia" w:ascii="宋体" w:hAnsi="宋体"/>
          <w:szCs w:val="21"/>
        </w:rPr>
        <w:t>本项目采用定标方法详见招标文件中的《定标方法》部分。</w:t>
      </w:r>
    </w:p>
    <w:p>
      <w:pPr>
        <w:spacing w:line="360" w:lineRule="auto"/>
        <w:rPr>
          <w:rFonts w:hint="eastAsia" w:ascii="黑体" w:hAnsi="宋体" w:eastAsia="黑体"/>
          <w:sz w:val="24"/>
        </w:rPr>
      </w:pPr>
      <w:r>
        <w:rPr>
          <w:rFonts w:hint="eastAsia" w:ascii="黑体" w:hAnsi="宋体" w:eastAsia="黑体"/>
          <w:sz w:val="24"/>
        </w:rPr>
        <w:t>21．编写评标报告</w:t>
      </w:r>
      <w:bookmarkEnd w:id="186"/>
    </w:p>
    <w:p>
      <w:pPr>
        <w:ind w:firstLine="411" w:firstLineChars="196"/>
        <w:rPr>
          <w:rFonts w:hint="eastAsia"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rPr>
          <w:rFonts w:hint="eastAsia" w:ascii="黑体" w:hAnsi="宋体" w:eastAsia="黑体"/>
          <w:sz w:val="24"/>
        </w:rPr>
      </w:pPr>
      <w:bookmarkStart w:id="187" w:name="_Toc73517681"/>
      <w:bookmarkStart w:id="188" w:name="_Toc73521676"/>
      <w:bookmarkStart w:id="189" w:name="_Toc100052405"/>
      <w:bookmarkStart w:id="190" w:name="_Toc73518159"/>
      <w:bookmarkStart w:id="191" w:name="_Toc73521588"/>
      <w:r>
        <w:rPr>
          <w:rFonts w:hint="eastAsia" w:ascii="黑体" w:hAnsi="宋体" w:eastAsia="黑体"/>
          <w:sz w:val="24"/>
        </w:rPr>
        <w:t>22．</w:t>
      </w:r>
      <w:bookmarkEnd w:id="187"/>
      <w:bookmarkEnd w:id="188"/>
      <w:bookmarkEnd w:id="189"/>
      <w:bookmarkEnd w:id="190"/>
      <w:bookmarkEnd w:id="191"/>
      <w:r>
        <w:rPr>
          <w:rFonts w:hint="eastAsia" w:ascii="黑体" w:hAnsi="宋体" w:eastAsia="黑体"/>
          <w:sz w:val="24"/>
        </w:rPr>
        <w:t>中标（成交）公告</w:t>
      </w:r>
    </w:p>
    <w:p>
      <w:pPr>
        <w:ind w:firstLine="411" w:firstLineChars="196"/>
        <w:rPr>
          <w:rFonts w:hint="eastAsia" w:ascii="宋体" w:hAnsi="宋体"/>
          <w:szCs w:val="21"/>
        </w:rPr>
      </w:pPr>
      <w:r>
        <w:rPr>
          <w:rFonts w:hint="eastAsia" w:ascii="宋体" w:hAnsi="宋体"/>
          <w:szCs w:val="21"/>
        </w:rPr>
        <w:t>22.1</w:t>
      </w:r>
      <w:bookmarkStart w:id="192"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92"/>
    </w:p>
    <w:p>
      <w:pPr>
        <w:spacing w:line="360" w:lineRule="auto"/>
        <w:rPr>
          <w:rFonts w:hint="eastAsia" w:ascii="黑体" w:hAnsi="宋体" w:eastAsia="黑体"/>
          <w:sz w:val="24"/>
        </w:rPr>
      </w:pPr>
      <w:bookmarkStart w:id="193" w:name="_Toc100052406"/>
      <w:r>
        <w:rPr>
          <w:rFonts w:hint="eastAsia" w:ascii="黑体" w:hAnsi="宋体" w:eastAsia="黑体"/>
          <w:sz w:val="24"/>
        </w:rPr>
        <w:t>23．中标（成交）通知书</w:t>
      </w:r>
      <w:bookmarkEnd w:id="193"/>
    </w:p>
    <w:p>
      <w:pPr>
        <w:ind w:firstLine="411" w:firstLineChars="196"/>
        <w:rPr>
          <w:rFonts w:hint="eastAsia"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194" w:name="OLE_LINK40"/>
      <w:r>
        <w:rPr>
          <w:rFonts w:hint="eastAsia" w:ascii="宋体" w:hAnsi="宋体" w:cs="宋体"/>
          <w:color w:val="000000"/>
          <w:kern w:val="0"/>
          <w:szCs w:val="21"/>
        </w:rPr>
        <w:t>中标（成交）公告发布并公示1个工作日后，</w:t>
      </w:r>
      <w:bookmarkEnd w:id="194"/>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pPr>
        <w:ind w:firstLine="411" w:firstLineChars="196"/>
        <w:rPr>
          <w:rFonts w:hint="eastAsia" w:ascii="宋体" w:hAnsi="宋体"/>
          <w:szCs w:val="21"/>
        </w:rPr>
      </w:pPr>
      <w:r>
        <w:rPr>
          <w:rFonts w:hint="eastAsia" w:ascii="宋体" w:hAnsi="宋体"/>
          <w:color w:val="FF0000"/>
          <w:szCs w:val="21"/>
        </w:rPr>
        <w:t>23.2因质疑投诉或其它原因导致项目结果变更或采购终止的，深圳公共资源交易中心（深圳交易集团有限公司罗湖分公司）有权收回中标（成交）通知书。</w:t>
      </w:r>
    </w:p>
    <w:p>
      <w:pPr>
        <w:jc w:val="center"/>
      </w:pPr>
      <w:bookmarkStart w:id="195" w:name="bt合同的授予"/>
      <w:bookmarkEnd w:id="195"/>
      <w:r>
        <w:t>---- END ----</w:t>
      </w:r>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Malgun Gothic Semilight"/>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微软雅黑"/>
    <w:panose1 w:val="00000000000000000000"/>
    <w:charset w:val="86"/>
    <w:family w:val="modern"/>
    <w:pitch w:val="default"/>
    <w:sig w:usb0="00000000" w:usb1="00000000" w:usb2="0000001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2CCFBEDA"/>
    <w:multiLevelType w:val="singleLevel"/>
    <w:tmpl w:val="2CCFBED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OGYzZWRkYWFlOTUxNDA2M2UzOTg0MDNkZjZlN2UifQ=="/>
  </w:docVars>
  <w:rsids>
    <w:rsidRoot w:val="008B57C1"/>
    <w:rsid w:val="00006DCC"/>
    <w:rsid w:val="00015FFC"/>
    <w:rsid w:val="000332F9"/>
    <w:rsid w:val="00041B6D"/>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D3B33"/>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87A9A"/>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2C3A"/>
    <w:rsid w:val="005A3859"/>
    <w:rsid w:val="005A72CF"/>
    <w:rsid w:val="005C1502"/>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873B7"/>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37240"/>
    <w:rsid w:val="00B41358"/>
    <w:rsid w:val="00B420C8"/>
    <w:rsid w:val="00B42A8E"/>
    <w:rsid w:val="00B44D91"/>
    <w:rsid w:val="00B531C1"/>
    <w:rsid w:val="00B8646B"/>
    <w:rsid w:val="00B9196A"/>
    <w:rsid w:val="00B971AE"/>
    <w:rsid w:val="00B9722D"/>
    <w:rsid w:val="00B97965"/>
    <w:rsid w:val="00BA1F9F"/>
    <w:rsid w:val="00BB6726"/>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63F2B"/>
    <w:rsid w:val="00D70074"/>
    <w:rsid w:val="00D71621"/>
    <w:rsid w:val="00D82C20"/>
    <w:rsid w:val="00D850E9"/>
    <w:rsid w:val="00DA00E7"/>
    <w:rsid w:val="00DA08A6"/>
    <w:rsid w:val="00DA61D8"/>
    <w:rsid w:val="00DA64DE"/>
    <w:rsid w:val="00DA6D53"/>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17F"/>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16920"/>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A5E559E"/>
    <w:rsid w:val="0CE3544F"/>
    <w:rsid w:val="0D146ECC"/>
    <w:rsid w:val="0D94585D"/>
    <w:rsid w:val="0E7C05F5"/>
    <w:rsid w:val="112920F6"/>
    <w:rsid w:val="11600F8C"/>
    <w:rsid w:val="130C4392"/>
    <w:rsid w:val="1527360F"/>
    <w:rsid w:val="15AA65C3"/>
    <w:rsid w:val="18430BA5"/>
    <w:rsid w:val="19506412"/>
    <w:rsid w:val="1A127670"/>
    <w:rsid w:val="1C6A5EE2"/>
    <w:rsid w:val="20460D45"/>
    <w:rsid w:val="20692B75"/>
    <w:rsid w:val="206C46C2"/>
    <w:rsid w:val="22273221"/>
    <w:rsid w:val="27701868"/>
    <w:rsid w:val="278527E0"/>
    <w:rsid w:val="2A175AC9"/>
    <w:rsid w:val="2A1A7D37"/>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54175A3"/>
    <w:rsid w:val="45CB4903"/>
    <w:rsid w:val="471C3104"/>
    <w:rsid w:val="492007D8"/>
    <w:rsid w:val="49B250F5"/>
    <w:rsid w:val="4CBD1C7E"/>
    <w:rsid w:val="4FB55B51"/>
    <w:rsid w:val="50EB6955"/>
    <w:rsid w:val="50FA74D8"/>
    <w:rsid w:val="55CB1115"/>
    <w:rsid w:val="57D21E90"/>
    <w:rsid w:val="59A44D82"/>
    <w:rsid w:val="59DD4FFD"/>
    <w:rsid w:val="5D1D6453"/>
    <w:rsid w:val="5DA13918"/>
    <w:rsid w:val="5E573252"/>
    <w:rsid w:val="5F04653A"/>
    <w:rsid w:val="5FE061DD"/>
    <w:rsid w:val="60B77209"/>
    <w:rsid w:val="60C92CD4"/>
    <w:rsid w:val="61266B17"/>
    <w:rsid w:val="64403B24"/>
    <w:rsid w:val="664252A5"/>
    <w:rsid w:val="676747AD"/>
    <w:rsid w:val="6A963B9E"/>
    <w:rsid w:val="6BA87917"/>
    <w:rsid w:val="6DDE5690"/>
    <w:rsid w:val="6F411E14"/>
    <w:rsid w:val="704F7345"/>
    <w:rsid w:val="716C6931"/>
    <w:rsid w:val="725635C4"/>
    <w:rsid w:val="75F75DE3"/>
    <w:rsid w:val="76541108"/>
    <w:rsid w:val="7689005C"/>
    <w:rsid w:val="775C50B8"/>
    <w:rsid w:val="78575546"/>
    <w:rsid w:val="7B4038F6"/>
    <w:rsid w:val="7B5752AF"/>
    <w:rsid w:val="7CE50341"/>
    <w:rsid w:val="7E341F64"/>
    <w:rsid w:val="7EE36EA5"/>
    <w:rsid w:val="F9B759E7"/>
    <w:rsid w:val="FB5F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1"/>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0"/>
    <w:qFormat/>
    <w:uiPriority w:val="0"/>
    <w:pPr>
      <w:adjustRightInd w:val="0"/>
      <w:jc w:val="center"/>
      <w:outlineLvl w:val="1"/>
    </w:pPr>
    <w:rPr>
      <w:bCs/>
      <w:kern w:val="0"/>
      <w:sz w:val="24"/>
      <w:szCs w:val="20"/>
    </w:rPr>
  </w:style>
  <w:style w:type="paragraph" w:styleId="4">
    <w:name w:val="heading 3"/>
    <w:basedOn w:val="5"/>
    <w:next w:val="1"/>
    <w:link w:val="42"/>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4"/>
    <w:qFormat/>
    <w:uiPriority w:val="0"/>
    <w:pPr>
      <w:keepNext/>
      <w:keepLines/>
      <w:spacing w:before="280" w:after="290" w:line="374" w:lineRule="auto"/>
      <w:outlineLvl w:val="4"/>
    </w:pPr>
    <w:rPr>
      <w:b/>
      <w:sz w:val="28"/>
      <w:szCs w:val="20"/>
    </w:rPr>
  </w:style>
  <w:style w:type="paragraph" w:styleId="9">
    <w:name w:val="heading 6"/>
    <w:basedOn w:val="1"/>
    <w:next w:val="8"/>
    <w:link w:val="45"/>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46"/>
    <w:qFormat/>
    <w:uiPriority w:val="0"/>
    <w:pPr>
      <w:keepNext/>
      <w:keepLines/>
      <w:spacing w:before="240" w:after="64" w:line="319" w:lineRule="auto"/>
      <w:outlineLvl w:val="6"/>
    </w:pPr>
    <w:rPr>
      <w:b/>
      <w:sz w:val="24"/>
      <w:szCs w:val="20"/>
    </w:rPr>
  </w:style>
  <w:style w:type="paragraph" w:styleId="11">
    <w:name w:val="heading 8"/>
    <w:basedOn w:val="1"/>
    <w:next w:val="8"/>
    <w:link w:val="47"/>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48"/>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semiHidden/>
    <w:unhideWhenUsed/>
    <w:uiPriority w:val="1"/>
  </w:style>
  <w:style w:type="table" w:default="1" w:styleId="33">
    <w:name w:val="Normal Table"/>
    <w:semiHidden/>
    <w:unhideWhenUsed/>
    <w:uiPriority w:val="99"/>
    <w:tblPr>
      <w:tblLayout w:type="fixed"/>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0"/>
    <w:qFormat/>
    <w:uiPriority w:val="0"/>
    <w:pPr>
      <w:ind w:firstLine="420"/>
    </w:pPr>
    <w:rPr>
      <w:rFonts w:asciiTheme="minorHAnsi" w:hAnsiTheme="minorHAnsi" w:eastAsiaTheme="minorEastAsia" w:cstheme="minorBidi"/>
      <w:szCs w:val="22"/>
    </w:rPr>
  </w:style>
  <w:style w:type="paragraph" w:styleId="13">
    <w:name w:val="List Bullet"/>
    <w:basedOn w:val="1"/>
    <w:qFormat/>
    <w:uiPriority w:val="0"/>
    <w:pPr>
      <w:tabs>
        <w:tab w:val="left" w:pos="360"/>
      </w:tabs>
      <w:ind w:left="360" w:hanging="360"/>
    </w:pPr>
    <w:rPr>
      <w:szCs w:val="20"/>
    </w:rPr>
  </w:style>
  <w:style w:type="paragraph" w:styleId="14">
    <w:name w:val="Document Map"/>
    <w:basedOn w:val="1"/>
    <w:link w:val="64"/>
    <w:semiHidden/>
    <w:qFormat/>
    <w:uiPriority w:val="0"/>
    <w:pPr>
      <w:shd w:val="clear" w:color="auto" w:fill="000080"/>
    </w:pPr>
  </w:style>
  <w:style w:type="paragraph" w:styleId="15">
    <w:name w:val="annotation text"/>
    <w:basedOn w:val="1"/>
    <w:link w:val="61"/>
    <w:qFormat/>
    <w:uiPriority w:val="99"/>
    <w:pPr>
      <w:jc w:val="left"/>
    </w:pPr>
  </w:style>
  <w:style w:type="paragraph" w:styleId="16">
    <w:name w:val="Body Text 3"/>
    <w:basedOn w:val="1"/>
    <w:link w:val="63"/>
    <w:qFormat/>
    <w:uiPriority w:val="0"/>
    <w:pPr>
      <w:spacing w:after="120"/>
    </w:pPr>
    <w:rPr>
      <w:sz w:val="16"/>
      <w:szCs w:val="16"/>
    </w:rPr>
  </w:style>
  <w:style w:type="paragraph" w:styleId="17">
    <w:name w:val="Body Text"/>
    <w:basedOn w:val="1"/>
    <w:next w:val="18"/>
    <w:link w:val="77"/>
    <w:qFormat/>
    <w:uiPriority w:val="0"/>
    <w:pPr>
      <w:spacing w:line="360" w:lineRule="auto"/>
    </w:pPr>
    <w:rPr>
      <w:b/>
      <w:bCs/>
      <w:sz w:val="24"/>
    </w:rPr>
  </w:style>
  <w:style w:type="paragraph" w:styleId="18">
    <w:name w:val="Body Text 2"/>
    <w:basedOn w:val="1"/>
    <w:link w:val="75"/>
    <w:qFormat/>
    <w:uiPriority w:val="0"/>
    <w:pPr>
      <w:spacing w:line="360" w:lineRule="auto"/>
    </w:pPr>
    <w:rPr>
      <w:sz w:val="24"/>
    </w:rPr>
  </w:style>
  <w:style w:type="paragraph" w:styleId="19">
    <w:name w:val="Body Text Indent"/>
    <w:basedOn w:val="1"/>
    <w:link w:val="73"/>
    <w:qFormat/>
    <w:uiPriority w:val="0"/>
    <w:pPr>
      <w:spacing w:line="360" w:lineRule="auto"/>
      <w:ind w:firstLine="420" w:firstLineChars="200"/>
    </w:pPr>
  </w:style>
  <w:style w:type="paragraph" w:styleId="20">
    <w:name w:val="Plain Text"/>
    <w:basedOn w:val="1"/>
    <w:link w:val="72"/>
    <w:qFormat/>
    <w:uiPriority w:val="0"/>
    <w:rPr>
      <w:rFonts w:ascii="宋体" w:hAnsi="Courier New"/>
      <w:szCs w:val="20"/>
    </w:rPr>
  </w:style>
  <w:style w:type="paragraph" w:styleId="21">
    <w:name w:val="Date"/>
    <w:basedOn w:val="1"/>
    <w:next w:val="1"/>
    <w:link w:val="59"/>
    <w:qFormat/>
    <w:uiPriority w:val="0"/>
    <w:rPr>
      <w:rFonts w:ascii="宋体" w:hAnsi="Courier New"/>
      <w:sz w:val="32"/>
      <w:szCs w:val="20"/>
    </w:rPr>
  </w:style>
  <w:style w:type="paragraph" w:styleId="22">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3">
    <w:name w:val="Balloon Text"/>
    <w:basedOn w:val="1"/>
    <w:link w:val="60"/>
    <w:semiHidden/>
    <w:qFormat/>
    <w:uiPriority w:val="0"/>
    <w:rPr>
      <w:sz w:val="18"/>
      <w:szCs w:val="18"/>
    </w:rPr>
  </w:style>
  <w:style w:type="paragraph" w:styleId="24">
    <w:name w:val="footer"/>
    <w:basedOn w:val="1"/>
    <w:link w:val="76"/>
    <w:qFormat/>
    <w:uiPriority w:val="99"/>
    <w:pPr>
      <w:tabs>
        <w:tab w:val="center" w:pos="4153"/>
        <w:tab w:val="right" w:pos="8306"/>
      </w:tabs>
      <w:snapToGrid w:val="0"/>
      <w:jc w:val="left"/>
    </w:pPr>
    <w:rPr>
      <w:sz w:val="18"/>
      <w:szCs w:val="18"/>
    </w:rPr>
  </w:style>
  <w:style w:type="paragraph" w:styleId="25">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ind w:firstLine="359" w:firstLineChars="171"/>
      <w:jc w:val="left"/>
    </w:pPr>
    <w:rPr>
      <w:caps/>
    </w:rPr>
  </w:style>
  <w:style w:type="paragraph" w:styleId="27">
    <w:name w:val="Body Text Indent 3"/>
    <w:basedOn w:val="1"/>
    <w:link w:val="69"/>
    <w:qFormat/>
    <w:uiPriority w:val="0"/>
    <w:pPr>
      <w:spacing w:line="360" w:lineRule="auto"/>
      <w:ind w:firstLine="482" w:firstLineChars="200"/>
    </w:pPr>
    <w:rPr>
      <w:rFonts w:ascii="宋体"/>
      <w:b/>
      <w:bCs/>
      <w:sz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5"/>
    <w:next w:val="15"/>
    <w:link w:val="70"/>
    <w:semiHidden/>
    <w:qFormat/>
    <w:uiPriority w:val="0"/>
    <w:rPr>
      <w:b/>
      <w:bCs/>
    </w:rPr>
  </w:style>
  <w:style w:type="paragraph" w:styleId="32">
    <w:name w:val="Body Text First Indent 2"/>
    <w:basedOn w:val="19"/>
    <w:qFormat/>
    <w:uiPriority w:val="0"/>
    <w:pPr>
      <w:spacing w:after="120" w:line="240" w:lineRule="auto"/>
      <w:ind w:left="420" w:left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basedOn w:val="35"/>
    <w:qFormat/>
    <w:uiPriority w:val="99"/>
    <w:rPr>
      <w:sz w:val="21"/>
      <w:szCs w:val="21"/>
    </w:rPr>
  </w:style>
  <w:style w:type="character" w:customStyle="1" w:styleId="40">
    <w:name w:val="标题 2 字符"/>
    <w:basedOn w:val="35"/>
    <w:link w:val="6"/>
    <w:qFormat/>
    <w:uiPriority w:val="0"/>
    <w:rPr>
      <w:rFonts w:ascii="宋体" w:hAnsi="宋体" w:eastAsia="宋体" w:cs="宋体"/>
      <w:b/>
      <w:bCs/>
      <w:kern w:val="0"/>
      <w:sz w:val="24"/>
      <w:szCs w:val="20"/>
    </w:rPr>
  </w:style>
  <w:style w:type="character" w:customStyle="1" w:styleId="41">
    <w:name w:val="标题 1 字符"/>
    <w:basedOn w:val="35"/>
    <w:link w:val="3"/>
    <w:qFormat/>
    <w:uiPriority w:val="0"/>
    <w:rPr>
      <w:rFonts w:ascii="宋体" w:hAnsi="宋体" w:eastAsia="黑体" w:cs="宋体"/>
      <w:b/>
      <w:bCs/>
      <w:kern w:val="44"/>
      <w:sz w:val="28"/>
      <w:szCs w:val="44"/>
    </w:rPr>
  </w:style>
  <w:style w:type="character" w:customStyle="1" w:styleId="42">
    <w:name w:val="标题 3 字符"/>
    <w:basedOn w:val="35"/>
    <w:link w:val="4"/>
    <w:qFormat/>
    <w:uiPriority w:val="0"/>
    <w:rPr>
      <w:rFonts w:ascii="宋体" w:hAnsi="宋体" w:eastAsia="宋体" w:cs="宋体"/>
      <w:b/>
      <w:sz w:val="28"/>
      <w:szCs w:val="32"/>
    </w:rPr>
  </w:style>
  <w:style w:type="character" w:customStyle="1" w:styleId="43">
    <w:name w:val="标题 4 字符"/>
    <w:basedOn w:val="35"/>
    <w:link w:val="5"/>
    <w:qFormat/>
    <w:uiPriority w:val="0"/>
    <w:rPr>
      <w:rFonts w:ascii="Arial" w:hAnsi="Arial" w:eastAsia="黑体" w:cs="Times New Roman"/>
      <w:b/>
      <w:bCs/>
      <w:sz w:val="28"/>
      <w:szCs w:val="28"/>
    </w:rPr>
  </w:style>
  <w:style w:type="character" w:customStyle="1" w:styleId="44">
    <w:name w:val="标题 5 字符"/>
    <w:basedOn w:val="35"/>
    <w:link w:val="7"/>
    <w:qFormat/>
    <w:uiPriority w:val="0"/>
    <w:rPr>
      <w:rFonts w:ascii="Times New Roman" w:hAnsi="Times New Roman" w:eastAsia="宋体" w:cs="Times New Roman"/>
      <w:b/>
      <w:sz w:val="28"/>
      <w:szCs w:val="20"/>
    </w:rPr>
  </w:style>
  <w:style w:type="character" w:customStyle="1" w:styleId="45">
    <w:name w:val="标题 6 字符"/>
    <w:basedOn w:val="35"/>
    <w:link w:val="9"/>
    <w:qFormat/>
    <w:uiPriority w:val="0"/>
    <w:rPr>
      <w:rFonts w:ascii="Arial" w:hAnsi="Arial" w:eastAsia="黑体" w:cs="Times New Roman"/>
      <w:b/>
      <w:sz w:val="24"/>
      <w:szCs w:val="20"/>
    </w:rPr>
  </w:style>
  <w:style w:type="character" w:customStyle="1" w:styleId="46">
    <w:name w:val="标题 7 字符"/>
    <w:basedOn w:val="35"/>
    <w:link w:val="10"/>
    <w:qFormat/>
    <w:uiPriority w:val="0"/>
    <w:rPr>
      <w:rFonts w:ascii="Times New Roman" w:hAnsi="Times New Roman" w:eastAsia="宋体" w:cs="Times New Roman"/>
      <w:b/>
      <w:sz w:val="24"/>
      <w:szCs w:val="20"/>
    </w:rPr>
  </w:style>
  <w:style w:type="character" w:customStyle="1" w:styleId="47">
    <w:name w:val="标题 8 字符"/>
    <w:basedOn w:val="35"/>
    <w:link w:val="11"/>
    <w:qFormat/>
    <w:uiPriority w:val="0"/>
    <w:rPr>
      <w:rFonts w:ascii="Arial" w:hAnsi="Arial" w:eastAsia="黑体" w:cs="Times New Roman"/>
      <w:sz w:val="24"/>
      <w:szCs w:val="20"/>
    </w:rPr>
  </w:style>
  <w:style w:type="character" w:customStyle="1" w:styleId="48">
    <w:name w:val="标题 9 字符"/>
    <w:basedOn w:val="35"/>
    <w:link w:val="12"/>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字符"/>
    <w:link w:val="8"/>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字符"/>
    <w:basedOn w:val="35"/>
    <w:link w:val="25"/>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字符"/>
    <w:basedOn w:val="35"/>
    <w:link w:val="21"/>
    <w:qFormat/>
    <w:uiPriority w:val="0"/>
    <w:rPr>
      <w:rFonts w:ascii="宋体" w:hAnsi="Courier New" w:eastAsia="宋体" w:cs="Times New Roman"/>
      <w:sz w:val="32"/>
      <w:szCs w:val="20"/>
    </w:rPr>
  </w:style>
  <w:style w:type="character" w:customStyle="1" w:styleId="60">
    <w:name w:val="批注框文本 字符"/>
    <w:basedOn w:val="35"/>
    <w:link w:val="23"/>
    <w:semiHidden/>
    <w:qFormat/>
    <w:uiPriority w:val="0"/>
    <w:rPr>
      <w:rFonts w:ascii="Times New Roman" w:hAnsi="Times New Roman" w:eastAsia="宋体" w:cs="Times New Roman"/>
      <w:sz w:val="18"/>
      <w:szCs w:val="18"/>
    </w:rPr>
  </w:style>
  <w:style w:type="character" w:customStyle="1" w:styleId="61">
    <w:name w:val="批注文字 字符"/>
    <w:basedOn w:val="35"/>
    <w:link w:val="15"/>
    <w:qFormat/>
    <w:uiPriority w:val="99"/>
    <w:rPr>
      <w:rFonts w:ascii="Times New Roman" w:hAnsi="Times New Roman" w:eastAsia="宋体" w:cs="Times New Roman"/>
      <w:szCs w:val="24"/>
    </w:rPr>
  </w:style>
  <w:style w:type="character" w:customStyle="1" w:styleId="62">
    <w:name w:val="正文文本缩进 2 字符"/>
    <w:basedOn w:val="35"/>
    <w:link w:val="22"/>
    <w:qFormat/>
    <w:uiPriority w:val="0"/>
    <w:rPr>
      <w:rFonts w:ascii="宋体" w:hAnsi="宋体" w:eastAsia="宋体" w:cs="Times New Roman"/>
      <w:szCs w:val="24"/>
    </w:rPr>
  </w:style>
  <w:style w:type="character" w:customStyle="1" w:styleId="63">
    <w:name w:val="正文文本 3 字符"/>
    <w:basedOn w:val="35"/>
    <w:link w:val="16"/>
    <w:qFormat/>
    <w:uiPriority w:val="0"/>
    <w:rPr>
      <w:rFonts w:ascii="Times New Roman" w:hAnsi="Times New Roman" w:eastAsia="宋体" w:cs="Times New Roman"/>
      <w:sz w:val="16"/>
      <w:szCs w:val="16"/>
    </w:rPr>
  </w:style>
  <w:style w:type="character" w:customStyle="1" w:styleId="64">
    <w:name w:val="文档结构图 字符"/>
    <w:basedOn w:val="35"/>
    <w:link w:val="14"/>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17"/>
    <w:qFormat/>
    <w:uiPriority w:val="0"/>
    <w:pPr>
      <w:spacing w:after="120"/>
    </w:pPr>
    <w:rPr>
      <w:rFonts w:ascii="宋体"/>
      <w:b w:val="0"/>
      <w:bCs w:val="0"/>
      <w:sz w:val="21"/>
    </w:rPr>
  </w:style>
  <w:style w:type="character" w:customStyle="1" w:styleId="68">
    <w:name w:val="HTML 预设格式 字符"/>
    <w:basedOn w:val="35"/>
    <w:link w:val="28"/>
    <w:qFormat/>
    <w:uiPriority w:val="0"/>
    <w:rPr>
      <w:rFonts w:ascii="Arial Unicode MS" w:hAnsi="Arial Unicode MS" w:eastAsia="Arial Unicode MS" w:cs="Times New Roman"/>
      <w:color w:val="000000"/>
      <w:kern w:val="0"/>
      <w:sz w:val="20"/>
      <w:szCs w:val="20"/>
    </w:rPr>
  </w:style>
  <w:style w:type="character" w:customStyle="1" w:styleId="69">
    <w:name w:val="正文文本缩进 3 字符"/>
    <w:basedOn w:val="35"/>
    <w:link w:val="27"/>
    <w:qFormat/>
    <w:uiPriority w:val="0"/>
    <w:rPr>
      <w:rFonts w:ascii="宋体" w:hAnsi="Times New Roman" w:eastAsia="宋体" w:cs="Times New Roman"/>
      <w:b/>
      <w:bCs/>
      <w:sz w:val="24"/>
      <w:szCs w:val="24"/>
    </w:rPr>
  </w:style>
  <w:style w:type="character" w:customStyle="1" w:styleId="70">
    <w:name w:val="批注主题 字符"/>
    <w:basedOn w:val="61"/>
    <w:link w:val="31"/>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字符"/>
    <w:basedOn w:val="35"/>
    <w:link w:val="20"/>
    <w:qFormat/>
    <w:uiPriority w:val="0"/>
    <w:rPr>
      <w:rFonts w:ascii="宋体" w:hAnsi="Courier New" w:eastAsia="宋体" w:cs="Times New Roman"/>
      <w:szCs w:val="20"/>
    </w:rPr>
  </w:style>
  <w:style w:type="character" w:customStyle="1" w:styleId="73">
    <w:name w:val="正文文本缩进 字符"/>
    <w:basedOn w:val="35"/>
    <w:link w:val="19"/>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字符"/>
    <w:basedOn w:val="35"/>
    <w:link w:val="18"/>
    <w:qFormat/>
    <w:uiPriority w:val="0"/>
    <w:rPr>
      <w:rFonts w:ascii="Times New Roman" w:hAnsi="Times New Roman" w:eastAsia="宋体" w:cs="Times New Roman"/>
      <w:sz w:val="24"/>
      <w:szCs w:val="24"/>
    </w:rPr>
  </w:style>
  <w:style w:type="character" w:customStyle="1" w:styleId="76">
    <w:name w:val="页脚 字符"/>
    <w:basedOn w:val="35"/>
    <w:link w:val="24"/>
    <w:qFormat/>
    <w:uiPriority w:val="99"/>
    <w:rPr>
      <w:rFonts w:ascii="Times New Roman" w:hAnsi="Times New Roman" w:eastAsia="宋体" w:cs="Times New Roman"/>
      <w:sz w:val="18"/>
      <w:szCs w:val="18"/>
    </w:rPr>
  </w:style>
  <w:style w:type="character" w:customStyle="1" w:styleId="77">
    <w:name w:val="正文文本 字符"/>
    <w:basedOn w:val="35"/>
    <w:link w:val="17"/>
    <w:qFormat/>
    <w:uiPriority w:val="0"/>
    <w:rPr>
      <w:rFonts w:ascii="Times New Roman" w:hAnsi="Times New Roman" w:eastAsia="宋体" w:cs="Times New Roman"/>
      <w:b/>
      <w:bCs/>
      <w:sz w:val="24"/>
      <w:szCs w:val="24"/>
    </w:rPr>
  </w:style>
  <w:style w:type="character" w:customStyle="1" w:styleId="78">
    <w:name w:val="标题 字符"/>
    <w:basedOn w:val="35"/>
    <w:link w:val="30"/>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5"/>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5">
    <w:name w:val="网格型2"/>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6">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7">
    <w:name w:val="网格型3"/>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8">
    <w:name w:val="fontstyle01"/>
    <w:basedOn w:val="35"/>
    <w:qFormat/>
    <w:uiPriority w:val="0"/>
    <w:rPr>
      <w:rFonts w:ascii="仿宋_GB2312" w:eastAsia="仿宋_GB2312" w:cs="仿宋_GB2312"/>
      <w:color w:val="000000"/>
      <w:sz w:val="32"/>
      <w:szCs w:val="32"/>
    </w:rPr>
  </w:style>
  <w:style w:type="paragraph" w:customStyle="1" w:styleId="89">
    <w:name w:val="非政府正文"/>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12602</Words>
  <Characters>13233</Characters>
  <Lines>827</Lines>
  <Paragraphs>807</Paragraphs>
  <TotalTime>2</TotalTime>
  <ScaleCrop>false</ScaleCrop>
  <LinksUpToDate>false</LinksUpToDate>
  <CharactersWithSpaces>25028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2026-03-13T02:45:00Z</dcterms:created>
  <dc:creator>陈思成</dc:creator>
  <cp:lastModifiedBy>王林辉</cp:lastModifiedBy>
  <cp:lastPrinted>2022-01-18T19:04:00Z</cp:lastPrinted>
  <dcterms:modified xsi:type="dcterms:W3CDTF">2026-03-16T02:45:49Z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FB71F467A8494F7AA94363381FCB9668_13</vt:lpwstr>
  </property>
</Properties>
</file>