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120" w:line="579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罗湖区社会福利机构运营资助（场地资助）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XXX机构是2019年3月登记取得《民办非企业单位登记证书》《社会福利机构设置批准证书》的，现在正常营业，能申报2020年度的社会福利机构运营资助（场地资助）吗？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答：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可以。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本次社会福利机构运营资助（场地资助）申报的对象是，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月1日前在罗湖区民政局登记成立，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由企业、社会组织和个人在罗湖区设立和运营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并在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2020年12月31日前运营满一年的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为残疾儿童提供康复服务的儿童康复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5月31日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民政部发布公告，废止《《社会福利机构管理暂行办法》(民政部令第19号)，取消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《社会福利机构设置批准证书》</w:t>
      </w:r>
      <w:r>
        <w:rPr>
          <w:rFonts w:hint="eastAsia" w:ascii="仿宋_GB2312" w:hAnsi="宋体"/>
          <w:color w:val="000000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/>
          <w:color w:val="000000"/>
          <w:kern w:val="0"/>
          <w:sz w:val="32"/>
          <w:szCs w:val="32"/>
          <w:lang w:eastAsia="zh-CN"/>
        </w:rPr>
        <w:t>所以申报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2020年度罗湖区社会福利机构运营资助（场地资助）时，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《社会福利机构设置批准证书》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不作为限制条件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XXX机构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2020年1月1日前登记注册取得《民办非企业单位登记证书》、2020年12月31日前运营满一年，符合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依法注册登记后运营满一年以上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”条件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可申请资助20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年1月-12月租金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（需</w:t>
      </w:r>
      <w:r>
        <w:rPr>
          <w:rFonts w:hint="eastAsia" w:ascii="仿宋_GB2312" w:hAnsi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扣除2020年已获得疫情期间场地补助的月份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），并按要求提交资料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依法注册登记后运营满一年以上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，怎么确定？申报期限怎么界定？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答：指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依法注册登记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是以取得《民办非企业单位登记证书》时间计算的，如取得该证书时间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2019年1月18日，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运营满一年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eastAsia="zh-CN"/>
        </w:rPr>
        <w:t>时间为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2020年1月，申报期限为2019年2月-12月共11个月。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三、房屋租赁期限不少于5年，怎么计算？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答：租赁场地经营的，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年1月前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与当前物业签订租赁合同期限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5年以上，或者截至20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年12月与物业签订合同年限累计满5年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，并在合同期限内正常营业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四、租金包括物业管理费、水电费吗？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答：不包括。场地租金一般在合同上有明确，月租金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=每平方米单价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场地面积。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此次申报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年度社会福利机构运营资助（场地资助）的儿童康复服务机构在2019年度已经进行场地评估的，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经第三方专业机构评估物业租金年增长率在3%-5%之间属正常，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以2019年评估单价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的1.05倍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1.租金单价高于2019年评估单价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1.05倍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的以评估单价计算；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2" w:firstLineChars="200"/>
        <w:jc w:val="left"/>
        <w:textAlignment w:val="auto"/>
        <w:rPr>
          <w:color w:val="000000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2.租金单价低于或等于2019年评估单价</w:t>
      </w:r>
      <w:r>
        <w:rPr>
          <w:rFonts w:hint="eastAsia" w:ascii="仿宋_GB2312" w:hAnsi="宋体"/>
          <w:color w:val="000000"/>
          <w:kern w:val="0"/>
          <w:sz w:val="32"/>
          <w:szCs w:val="32"/>
          <w:lang w:val="en-US" w:eastAsia="zh-CN"/>
        </w:rPr>
        <w:t>1.05倍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的，以合同租金单价计算。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5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D6BA4"/>
    <w:rsid w:val="0F387DED"/>
    <w:rsid w:val="15AC71FC"/>
    <w:rsid w:val="1E780EE2"/>
    <w:rsid w:val="1EB04B13"/>
    <w:rsid w:val="25B428D3"/>
    <w:rsid w:val="40FB59D5"/>
    <w:rsid w:val="473F5253"/>
    <w:rsid w:val="503F203A"/>
    <w:rsid w:val="58563220"/>
    <w:rsid w:val="59A67C23"/>
    <w:rsid w:val="5E397AF0"/>
    <w:rsid w:val="645D0EB4"/>
    <w:rsid w:val="66AE02DE"/>
    <w:rsid w:val="72953B60"/>
    <w:rsid w:val="738C3AAB"/>
    <w:rsid w:val="7C0A3A9A"/>
    <w:rsid w:val="7F9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Lines="0" w:beforeAutospacing="0" w:afterLines="0" w:afterAutospacing="0" w:line="579" w:lineRule="exact"/>
      <w:jc w:val="both"/>
      <w:outlineLvl w:val="0"/>
    </w:pPr>
    <w:rPr>
      <w:rFonts w:ascii="Arial" w:hAnsi="Arial"/>
    </w:rPr>
  </w:style>
  <w:style w:type="paragraph" w:customStyle="1" w:styleId="8">
    <w:name w:val="样式1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600" w:lineRule="exact"/>
      <w:ind w:firstLine="562" w:firstLineChars="200"/>
      <w:outlineLvl w:val="3"/>
    </w:pPr>
    <w:rPr>
      <w:rFonts w:ascii="Arial" w:hAnsi="Arial" w:cs="仿宋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2020-12-29T01:39:00Z</dcterms:created>
  <dc:creator>Administrator</dc:creator>
  <cp:lastModifiedBy>朱亚琴</cp:lastModifiedBy>
  <dcterms:modified xsi:type="dcterms:W3CDTF">2021-03-19T01:37:54Z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