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3B345">
      <w:pPr>
        <w:jc w:val="center"/>
        <w:rPr>
          <w:rFonts w:ascii="宋体" w:hAnsi="宋体" w:eastAsia="黑体"/>
          <w:b/>
          <w:bCs/>
          <w:color w:val="FF0000"/>
          <w:kern w:val="44"/>
          <w:sz w:val="44"/>
          <w:szCs w:val="44"/>
        </w:rPr>
      </w:pPr>
    </w:p>
    <w:p w14:paraId="4929F2FA">
      <w:pPr>
        <w:jc w:val="center"/>
        <w:rPr>
          <w:rFonts w:ascii="宋体" w:hAnsi="宋体" w:eastAsia="黑体"/>
          <w:b/>
          <w:bCs/>
          <w:color w:val="FF0000"/>
          <w:kern w:val="44"/>
          <w:sz w:val="44"/>
          <w:szCs w:val="44"/>
        </w:rPr>
      </w:pPr>
    </w:p>
    <w:p w14:paraId="76CF0152">
      <w:pPr>
        <w:jc w:val="center"/>
        <w:rPr>
          <w:rFonts w:ascii="宋体" w:hAnsi="宋体" w:eastAsia="黑体"/>
          <w:b/>
          <w:bCs/>
          <w:color w:val="FF0000"/>
          <w:kern w:val="44"/>
          <w:sz w:val="44"/>
          <w:szCs w:val="44"/>
        </w:rPr>
      </w:pPr>
      <w:bookmarkStart w:id="0" w:name="OLE_LINK17"/>
    </w:p>
    <w:p w14:paraId="100AFBC5">
      <w:pPr>
        <w:jc w:val="center"/>
        <w:rPr>
          <w:rFonts w:ascii="宋体" w:hAnsi="宋体" w:eastAsia="黑体"/>
          <w:b/>
          <w:bCs/>
          <w:color w:val="FF0000"/>
          <w:kern w:val="44"/>
          <w:sz w:val="32"/>
          <w:szCs w:val="32"/>
        </w:rPr>
      </w:pPr>
      <w:r>
        <w:rPr>
          <w:rFonts w:hint="eastAsia" w:ascii="宋体" w:hAnsi="宋体" w:eastAsia="黑体"/>
          <w:b/>
          <w:bCs/>
          <w:color w:val="FF0000"/>
          <w:kern w:val="44"/>
          <w:sz w:val="32"/>
          <w:szCs w:val="32"/>
        </w:rPr>
        <w:t>特别警示条款</w:t>
      </w:r>
    </w:p>
    <w:p w14:paraId="0FF41962">
      <w:pPr>
        <w:spacing w:after="240" w:afterLines="100" w:line="400" w:lineRule="exact"/>
        <w:ind w:firstLine="422" w:firstLineChars="200"/>
        <w:rPr>
          <w:rFonts w:ascii="宋体" w:hAnsi="宋体" w:cs="宋体"/>
          <w:b/>
          <w:bCs/>
          <w:color w:val="FF0000"/>
          <w:szCs w:val="21"/>
        </w:rPr>
      </w:pPr>
      <w:r>
        <w:rPr>
          <w:rFonts w:hint="eastAsia" w:ascii="宋体" w:hAnsi="宋体" w:cs="宋体"/>
          <w:b/>
          <w:bCs/>
          <w:color w:val="FF0000"/>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7658"/>
      </w:tblGrid>
      <w:tr w14:paraId="0E12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vAlign w:val="center"/>
          </w:tcPr>
          <w:p w14:paraId="64B1D4A3">
            <w:pP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vAlign w:val="center"/>
          </w:tcPr>
          <w:p w14:paraId="64B287A0">
            <w:pP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7036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03824499">
            <w:pP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vAlign w:val="center"/>
          </w:tcPr>
          <w:p w14:paraId="39575036">
            <w:pP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与其他投标供应商的法定代表人、主要经营负责人、投标授权代表人、项目负责人、主要技术人员为同一人、属同一单位或者在同一单位缴纳社会保险。</w:t>
            </w:r>
          </w:p>
        </w:tc>
      </w:tr>
      <w:tr w14:paraId="1284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Align w:val="center"/>
          </w:tcPr>
          <w:p w14:paraId="5E128F63">
            <w:pP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vAlign w:val="center"/>
          </w:tcPr>
          <w:p w14:paraId="24AE9E93">
            <w:pPr>
              <w:spacing w:line="400" w:lineRule="exact"/>
              <w:jc w:val="left"/>
              <w:rPr>
                <w:rFonts w:ascii="宋体" w:hAnsi="宋体" w:cs="宋体"/>
                <w:color w:val="FF0000"/>
                <w:szCs w:val="21"/>
              </w:rPr>
            </w:pPr>
            <w:r>
              <w:rPr>
                <w:rFonts w:hint="eastAsia" w:ascii="宋体" w:hAnsi="宋体" w:cs="宋体"/>
                <w:color w:val="FF0000"/>
                <w:szCs w:val="21"/>
              </w:rPr>
              <w:t>参与本项目采购活动时，与其他投标供应商存在单位负责人为同一人或直接控股、管理关系。</w:t>
            </w:r>
          </w:p>
        </w:tc>
      </w:tr>
      <w:tr w14:paraId="31F2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vAlign w:val="center"/>
          </w:tcPr>
          <w:p w14:paraId="51733E33">
            <w:pP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vAlign w:val="center"/>
          </w:tcPr>
          <w:p w14:paraId="00F2B5F7">
            <w:pP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与其他投标供应商的投标文件或部分投标文件相互混装或存在非正常一致。</w:t>
            </w:r>
          </w:p>
        </w:tc>
      </w:tr>
      <w:tr w14:paraId="24B5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vAlign w:val="center"/>
          </w:tcPr>
          <w:p w14:paraId="011C4FE1">
            <w:pP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vAlign w:val="center"/>
          </w:tcPr>
          <w:p w14:paraId="3EB47B1E">
            <w:pP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与其他投标供应商的投标文件由同一单位或者同一人编制，或者使用同一设备编制（“文件制作机器码”“文件创建标识码”一致）。</w:t>
            </w:r>
          </w:p>
        </w:tc>
      </w:tr>
      <w:tr w14:paraId="111D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vAlign w:val="center"/>
          </w:tcPr>
          <w:p w14:paraId="60319AE2">
            <w:pP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vAlign w:val="center"/>
          </w:tcPr>
          <w:p w14:paraId="4379C899">
            <w:pPr>
              <w:spacing w:line="400" w:lineRule="exact"/>
              <w:jc w:val="left"/>
              <w:rPr>
                <w:rFonts w:ascii="宋体" w:hAnsi="宋体" w:cs="宋体"/>
                <w:color w:val="FF0000"/>
                <w:szCs w:val="21"/>
              </w:rPr>
            </w:pPr>
            <w:r>
              <w:rPr>
                <w:rFonts w:hint="eastAsia" w:ascii="宋体" w:hAnsi="宋体" w:cs="宋体"/>
                <w:color w:val="FF0000"/>
                <w:szCs w:val="21"/>
              </w:rPr>
              <w:t>提供未经出具机构核实的虚假的检验检测报告、业绩材料、社保缴纳证明、学历学位证书、职称认证证书等材料。</w:t>
            </w:r>
          </w:p>
        </w:tc>
      </w:tr>
      <w:tr w14:paraId="3794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vAlign w:val="center"/>
          </w:tcPr>
          <w:p w14:paraId="115823D6">
            <w:pP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vAlign w:val="center"/>
          </w:tcPr>
          <w:p w14:paraId="389A4BEA">
            <w:pP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6890772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238445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0B6D17D0">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2130BDA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3F7FA32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16EE70B8">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75A1EC8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5F687BF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0E8262">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7B6B438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4C67BE77">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D10B891">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F3277F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2E8DA00A">
      <w:pPr>
        <w:pBdr>
          <w:top w:val="none" w:color="auto" w:sz="0" w:space="1"/>
          <w:left w:val="none" w:color="auto" w:sz="0" w:space="4"/>
          <w:bottom w:val="none" w:color="auto" w:sz="0" w:space="1"/>
          <w:right w:val="none" w:color="auto" w:sz="0" w:space="4"/>
        </w:pBdr>
        <w:ind w:firstLine="400" w:firstLineChars="200"/>
        <w:rPr>
          <w:b/>
          <w:color w:val="FF0000"/>
        </w:rPr>
      </w:pPr>
      <w:r>
        <w:rPr>
          <w:rFonts w:hint="eastAsia"/>
          <w:bCs/>
          <w:color w:val="FF0000"/>
          <w:sz w:val="20"/>
          <w:szCs w:val="20"/>
        </w:rPr>
        <w:t>四、</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298C3276">
      <w:pPr>
        <w:pBdr>
          <w:top w:val="none" w:color="auto" w:sz="0" w:space="1"/>
          <w:left w:val="none" w:color="auto" w:sz="0" w:space="4"/>
          <w:bottom w:val="none" w:color="auto" w:sz="0" w:space="1"/>
          <w:right w:val="none" w:color="auto" w:sz="0" w:space="4"/>
        </w:pBdr>
        <w:ind w:firstLine="400" w:firstLineChars="200"/>
        <w:rPr>
          <w:bCs/>
          <w:color w:val="FF0000"/>
          <w:sz w:val="20"/>
          <w:szCs w:val="20"/>
        </w:rPr>
      </w:pPr>
    </w:p>
    <w:p w14:paraId="2537540F">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五、请投标供应商阅读《政府采购违法行为风险知悉确认书》（内容详见“第二册第一章投标文件格式”），并经各投标供应商负责人签字并加盖单位公章后，扫描上传至投标文件一并提交。</w:t>
      </w:r>
    </w:p>
    <w:p w14:paraId="0C2809A8">
      <w:pPr>
        <w:rPr>
          <w:rFonts w:ascii="Calibri" w:hAnsi="Calibri"/>
          <w:szCs w:val="22"/>
        </w:rPr>
      </w:pPr>
    </w:p>
    <w:p w14:paraId="48A74C54">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53652862">
      <w:pPr>
        <w:widowControl/>
        <w:jc w:val="left"/>
        <w:rPr>
          <w:rFonts w:ascii="黑体" w:hAnsi="黑体" w:eastAsia="黑体"/>
          <w:sz w:val="40"/>
          <w:szCs w:val="40"/>
        </w:rPr>
      </w:pPr>
      <w:r>
        <w:rPr>
          <w:rFonts w:ascii="黑体" w:hAnsi="黑体" w:eastAsia="黑体"/>
          <w:sz w:val="40"/>
          <w:szCs w:val="40"/>
        </w:rPr>
        <w:br w:type="page"/>
      </w:r>
    </w:p>
    <w:bookmarkEnd w:id="0"/>
    <w:p w14:paraId="1D461EEA">
      <w:pPr>
        <w:pStyle w:val="29"/>
        <w:jc w:val="center"/>
        <w:outlineLvl w:val="1"/>
        <w:rPr>
          <w:rFonts w:ascii="黑体" w:hAnsi="黑体" w:eastAsia="黑体"/>
          <w:sz w:val="40"/>
          <w:szCs w:val="40"/>
        </w:rPr>
      </w:pPr>
      <w:r>
        <w:rPr>
          <w:rFonts w:hint="eastAsia" w:ascii="黑体" w:hAnsi="黑体" w:eastAsia="黑体"/>
          <w:sz w:val="40"/>
          <w:szCs w:val="40"/>
        </w:rPr>
        <w:t>招标文件信息</w:t>
      </w:r>
    </w:p>
    <w:tbl>
      <w:tblPr>
        <w:tblStyle w:val="33"/>
        <w:tblW w:w="7938" w:type="dxa"/>
        <w:jc w:val="center"/>
        <w:tblCellSpacing w:w="0" w:type="dxa"/>
        <w:tblLayout w:type="fixed"/>
        <w:tblCellMar>
          <w:top w:w="45" w:type="dxa"/>
          <w:left w:w="45" w:type="dxa"/>
          <w:bottom w:w="45" w:type="dxa"/>
          <w:right w:w="45" w:type="dxa"/>
        </w:tblCellMar>
      </w:tblPr>
      <w:tblGrid>
        <w:gridCol w:w="2722"/>
        <w:gridCol w:w="5216"/>
      </w:tblGrid>
      <w:tr w14:paraId="34640442">
        <w:tblPrEx>
          <w:tblCellMar>
            <w:top w:w="45" w:type="dxa"/>
            <w:left w:w="45" w:type="dxa"/>
            <w:bottom w:w="45" w:type="dxa"/>
            <w:right w:w="45" w:type="dxa"/>
          </w:tblCellMar>
        </w:tblPrEx>
        <w:trPr>
          <w:trHeight w:val="856" w:hRule="atLeast"/>
          <w:tblCellSpacing w:w="0" w:type="dxa"/>
          <w:jc w:val="center"/>
        </w:trPr>
        <w:tc>
          <w:tcPr>
            <w:tcW w:w="2722" w:type="dxa"/>
            <w:vAlign w:val="center"/>
          </w:tcPr>
          <w:p w14:paraId="665832DA">
            <w:pPr>
              <w:jc w:val="right"/>
              <w:rPr>
                <w:rFonts w:ascii="宋体" w:hAnsi="宋体" w:cs="宋体"/>
                <w:sz w:val="30"/>
                <w:szCs w:val="30"/>
              </w:rPr>
            </w:pPr>
            <w:r>
              <w:rPr>
                <w:sz w:val="30"/>
                <w:szCs w:val="30"/>
              </w:rPr>
              <w:t>项目编号：</w:t>
            </w:r>
          </w:p>
        </w:tc>
        <w:tc>
          <w:tcPr>
            <w:tcW w:w="5216" w:type="dxa"/>
            <w:vAlign w:val="center"/>
          </w:tcPr>
          <w:p w14:paraId="604BF3E3">
            <w:pPr>
              <w:rPr>
                <w:rFonts w:ascii="宋体" w:hAnsi="宋体" w:cs="宋体"/>
                <w:sz w:val="30"/>
                <w:szCs w:val="30"/>
              </w:rPr>
            </w:pPr>
            <w:r>
              <w:rPr>
                <w:rFonts w:ascii="宋体" w:hAnsi="宋体" w:cs="宋体"/>
                <w:sz w:val="30"/>
                <w:szCs w:val="30"/>
              </w:rPr>
              <w:t>LHZC2026020122</w:t>
            </w:r>
          </w:p>
        </w:tc>
      </w:tr>
      <w:tr w14:paraId="291E3C8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5BF734B">
            <w:pPr>
              <w:jc w:val="right"/>
              <w:rPr>
                <w:rFonts w:ascii="宋体" w:hAnsi="宋体" w:cs="宋体"/>
                <w:sz w:val="30"/>
                <w:szCs w:val="30"/>
              </w:rPr>
            </w:pPr>
            <w:r>
              <w:rPr>
                <w:sz w:val="30"/>
                <w:szCs w:val="30"/>
              </w:rPr>
              <w:t>项目名称：</w:t>
            </w:r>
          </w:p>
        </w:tc>
        <w:tc>
          <w:tcPr>
            <w:tcW w:w="5216" w:type="dxa"/>
            <w:vAlign w:val="center"/>
          </w:tcPr>
          <w:p w14:paraId="4A1DBDAC">
            <w:pPr>
              <w:rPr>
                <w:rFonts w:ascii="宋体" w:hAnsi="宋体" w:cs="宋体"/>
                <w:sz w:val="30"/>
                <w:szCs w:val="30"/>
              </w:rPr>
            </w:pPr>
            <w:r>
              <w:rPr>
                <w:rFonts w:hint="eastAsia" w:ascii="宋体" w:hAnsi="宋体" w:cs="宋体"/>
                <w:sz w:val="30"/>
                <w:szCs w:val="30"/>
                <w:lang w:bidi="ar"/>
              </w:rPr>
              <w:t>2026年黄贝街道机关食堂购买服务项目</w:t>
            </w:r>
          </w:p>
        </w:tc>
      </w:tr>
      <w:tr w14:paraId="7F08C157">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C4986C1">
            <w:pPr>
              <w:jc w:val="right"/>
              <w:rPr>
                <w:rFonts w:ascii="宋体" w:hAnsi="宋体" w:cs="宋体"/>
                <w:sz w:val="30"/>
                <w:szCs w:val="30"/>
              </w:rPr>
            </w:pPr>
            <w:r>
              <w:rPr>
                <w:sz w:val="30"/>
                <w:szCs w:val="30"/>
              </w:rPr>
              <w:t>项目类型：</w:t>
            </w:r>
          </w:p>
        </w:tc>
        <w:tc>
          <w:tcPr>
            <w:tcW w:w="5216" w:type="dxa"/>
            <w:vAlign w:val="center"/>
          </w:tcPr>
          <w:p w14:paraId="630D6D8C">
            <w:pPr>
              <w:rPr>
                <w:rFonts w:ascii="宋体" w:hAnsi="宋体" w:cs="宋体"/>
                <w:sz w:val="30"/>
                <w:szCs w:val="30"/>
              </w:rPr>
            </w:pPr>
            <w:r>
              <w:rPr>
                <w:sz w:val="30"/>
                <w:szCs w:val="30"/>
              </w:rPr>
              <w:t>服务类</w:t>
            </w:r>
          </w:p>
        </w:tc>
      </w:tr>
      <w:tr w14:paraId="3F48E1DC">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955DF5C">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14:paraId="44AED193">
            <w:pPr>
              <w:rPr>
                <w:rFonts w:ascii="宋体" w:hAnsi="宋体" w:cs="宋体"/>
                <w:sz w:val="30"/>
                <w:szCs w:val="30"/>
              </w:rPr>
            </w:pPr>
            <w:r>
              <w:rPr>
                <w:rFonts w:hint="eastAsia" w:ascii="宋体" w:hAnsi="宋体" w:cs="宋体"/>
                <w:sz w:val="30"/>
                <w:szCs w:val="30"/>
              </w:rPr>
              <w:t>自行采购</w:t>
            </w:r>
          </w:p>
        </w:tc>
      </w:tr>
      <w:tr w14:paraId="6FF7E45A">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55AEB2E8">
            <w:pPr>
              <w:jc w:val="right"/>
              <w:rPr>
                <w:sz w:val="30"/>
                <w:szCs w:val="30"/>
              </w:rPr>
            </w:pPr>
            <w:bookmarkStart w:id="1" w:name="OLE_LINK32"/>
            <w:r>
              <w:rPr>
                <w:rFonts w:hint="eastAsia"/>
                <w:sz w:val="30"/>
                <w:szCs w:val="30"/>
              </w:rPr>
              <w:t>采购方式：</w:t>
            </w:r>
            <w:bookmarkEnd w:id="1"/>
          </w:p>
        </w:tc>
        <w:tc>
          <w:tcPr>
            <w:tcW w:w="5216" w:type="dxa"/>
            <w:vAlign w:val="center"/>
          </w:tcPr>
          <w:p w14:paraId="164DFCD8">
            <w:pPr>
              <w:rPr>
                <w:rFonts w:ascii="宋体" w:hAnsi="宋体" w:cs="宋体"/>
                <w:sz w:val="30"/>
                <w:szCs w:val="30"/>
              </w:rPr>
            </w:pPr>
            <w:r>
              <w:rPr>
                <w:rFonts w:hint="eastAsia" w:ascii="宋体" w:hAnsi="宋体" w:cs="宋体"/>
                <w:sz w:val="30"/>
                <w:szCs w:val="30"/>
              </w:rPr>
              <w:t>公开征集</w:t>
            </w:r>
          </w:p>
        </w:tc>
      </w:tr>
      <w:tr w14:paraId="432D448E">
        <w:tblPrEx>
          <w:tblCellMar>
            <w:top w:w="45" w:type="dxa"/>
            <w:left w:w="45" w:type="dxa"/>
            <w:bottom w:w="45" w:type="dxa"/>
            <w:right w:w="45" w:type="dxa"/>
          </w:tblCellMar>
        </w:tblPrEx>
        <w:trPr>
          <w:trHeight w:val="971" w:hRule="atLeast"/>
          <w:tblCellSpacing w:w="0" w:type="dxa"/>
          <w:jc w:val="center"/>
        </w:trPr>
        <w:tc>
          <w:tcPr>
            <w:tcW w:w="2722" w:type="dxa"/>
            <w:vAlign w:val="center"/>
          </w:tcPr>
          <w:p w14:paraId="1E600694">
            <w:pPr>
              <w:jc w:val="right"/>
              <w:rPr>
                <w:rFonts w:ascii="宋体" w:hAnsi="宋体" w:cs="宋体"/>
                <w:sz w:val="30"/>
                <w:szCs w:val="30"/>
              </w:rPr>
            </w:pPr>
            <w:r>
              <w:rPr>
                <w:sz w:val="30"/>
                <w:szCs w:val="30"/>
              </w:rPr>
              <w:t>货币类型：</w:t>
            </w:r>
          </w:p>
        </w:tc>
        <w:tc>
          <w:tcPr>
            <w:tcW w:w="5216" w:type="dxa"/>
            <w:vAlign w:val="center"/>
          </w:tcPr>
          <w:p w14:paraId="3AF7F5DB">
            <w:pPr>
              <w:rPr>
                <w:rFonts w:ascii="宋体" w:hAnsi="宋体" w:cs="宋体"/>
                <w:sz w:val="30"/>
                <w:szCs w:val="30"/>
              </w:rPr>
            </w:pPr>
            <w:r>
              <w:rPr>
                <w:sz w:val="30"/>
                <w:szCs w:val="30"/>
              </w:rPr>
              <w:t>人民币</w:t>
            </w:r>
          </w:p>
        </w:tc>
      </w:tr>
      <w:tr w14:paraId="1A4008CF">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117608A">
            <w:pPr>
              <w:jc w:val="right"/>
              <w:rPr>
                <w:rFonts w:ascii="宋体" w:hAnsi="宋体" w:cs="宋体"/>
                <w:sz w:val="30"/>
                <w:szCs w:val="30"/>
              </w:rPr>
            </w:pPr>
            <w:r>
              <w:rPr>
                <w:sz w:val="30"/>
                <w:szCs w:val="30"/>
              </w:rPr>
              <w:t>评标方法：</w:t>
            </w:r>
          </w:p>
        </w:tc>
        <w:tc>
          <w:tcPr>
            <w:tcW w:w="5216" w:type="dxa"/>
            <w:vAlign w:val="center"/>
          </w:tcPr>
          <w:p w14:paraId="0EFB0476">
            <w:pPr>
              <w:rPr>
                <w:rFonts w:ascii="宋体" w:hAnsi="宋体" w:cs="宋体"/>
                <w:sz w:val="30"/>
                <w:szCs w:val="30"/>
              </w:rPr>
            </w:pPr>
            <w:r>
              <w:rPr>
                <w:sz w:val="30"/>
                <w:szCs w:val="30"/>
              </w:rPr>
              <w:t>综合评分法</w:t>
            </w:r>
          </w:p>
        </w:tc>
      </w:tr>
    </w:tbl>
    <w:p w14:paraId="735574A3">
      <w:pPr>
        <w:pStyle w:val="29"/>
        <w:jc w:val="center"/>
        <w:outlineLvl w:val="1"/>
        <w:rPr>
          <w:rFonts w:ascii="黑体" w:hAnsi="黑体" w:eastAsia="黑体"/>
          <w:sz w:val="40"/>
          <w:szCs w:val="40"/>
        </w:rPr>
      </w:pPr>
      <w:r>
        <w:rPr>
          <w:rFonts w:hint="eastAsia" w:ascii="黑体" w:hAnsi="黑体" w:eastAsia="黑体"/>
          <w:sz w:val="40"/>
          <w:szCs w:val="40"/>
        </w:rPr>
        <w:t>资格性审查表</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3B44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3D1E619">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E7194DE">
            <w:pPr>
              <w:jc w:val="center"/>
              <w:rPr>
                <w:rFonts w:ascii="宋体" w:hAnsi="宋体" w:cs="宋体"/>
                <w:sz w:val="28"/>
                <w:szCs w:val="28"/>
              </w:rPr>
            </w:pPr>
            <w:r>
              <w:rPr>
                <w:sz w:val="28"/>
                <w:szCs w:val="28"/>
              </w:rPr>
              <w:t>内容</w:t>
            </w:r>
          </w:p>
        </w:tc>
      </w:tr>
      <w:tr w14:paraId="36E6C0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AA7F3CA">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791D3A22">
            <w:r>
              <w:rPr>
                <w:rFonts w:hint="eastAsia"/>
              </w:rPr>
              <w:t>投标供应商不具备招标文件所列的资格要求，或未提交相应的资格证明资料（详见第一册第一章招标公告的投标供应商资格要求）。</w:t>
            </w:r>
          </w:p>
        </w:tc>
      </w:tr>
    </w:tbl>
    <w:p w14:paraId="0FDF6CFA">
      <w:pPr>
        <w:pStyle w:val="29"/>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39D2B3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90D2A7E">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CB45D07">
            <w:pPr>
              <w:jc w:val="center"/>
              <w:rPr>
                <w:rFonts w:ascii="宋体" w:hAnsi="宋体" w:cs="宋体"/>
                <w:sz w:val="28"/>
                <w:szCs w:val="28"/>
              </w:rPr>
            </w:pPr>
            <w:r>
              <w:rPr>
                <w:sz w:val="28"/>
                <w:szCs w:val="28"/>
              </w:rPr>
              <w:t>内容</w:t>
            </w:r>
          </w:p>
        </w:tc>
      </w:tr>
      <w:tr w14:paraId="7BAAB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78862A3">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3EF54413">
            <w:pPr>
              <w:rPr>
                <w:rFonts w:ascii="宋体" w:hAnsi="宋体" w:cs="宋体"/>
                <w:szCs w:val="21"/>
              </w:rPr>
            </w:pPr>
            <w:r>
              <w:rPr>
                <w:rFonts w:hint="eastAsia"/>
              </w:rPr>
              <w:t>不得将一个包的内容拆开投标；</w:t>
            </w:r>
          </w:p>
        </w:tc>
      </w:tr>
      <w:tr w14:paraId="461A0E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7D6077">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02A34698">
            <w:pPr>
              <w:rPr>
                <w:rFonts w:ascii="宋体" w:hAnsi="宋体" w:cs="宋体"/>
                <w:szCs w:val="21"/>
              </w:rPr>
            </w:pPr>
            <w:r>
              <w:rPr>
                <w:rFonts w:hint="eastAsia"/>
              </w:rPr>
              <w:t>对同一项目投标时，不得提供两套以上的投标方案（招标文件另有规定的除外）；</w:t>
            </w:r>
          </w:p>
        </w:tc>
      </w:tr>
      <w:tr w14:paraId="55CAD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5F50E8B">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6B79EB40">
            <w:pPr>
              <w:rPr>
                <w:rFonts w:ascii="宋体" w:hAnsi="宋体" w:cs="宋体"/>
                <w:szCs w:val="21"/>
              </w:rPr>
            </w:pPr>
            <w:r>
              <w:rPr>
                <w:rFonts w:hint="eastAsia"/>
              </w:rPr>
              <w:t>分项报价或投标总价不得高于相应预算金额（或设定的预算金额下的最高限价）；</w:t>
            </w:r>
          </w:p>
        </w:tc>
      </w:tr>
      <w:tr w14:paraId="51B8B7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ED746A7">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15A3F97B">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F5423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503F117">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75D1D050">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7F793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5429DA5">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7384F587">
            <w:pPr>
              <w:rPr>
                <w:rFonts w:ascii="宋体" w:hAnsi="宋体" w:cs="宋体"/>
                <w:szCs w:val="21"/>
              </w:rPr>
            </w:pPr>
            <w:r>
              <w:rPr>
                <w:rFonts w:hint="eastAsia"/>
              </w:rPr>
              <w:t>未按招标文件所提供的《政府采购投标及履约承诺函》进行承诺；未按招标文件对投标文件组成的要求提供投标文件；</w:t>
            </w:r>
          </w:p>
        </w:tc>
      </w:tr>
      <w:tr w14:paraId="5F4A1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E4C4F4E">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3C94ABA3">
            <w:pPr>
              <w:rPr>
                <w:rFonts w:ascii="宋体" w:hAnsi="宋体" w:cs="宋体"/>
                <w:szCs w:val="21"/>
              </w:rPr>
            </w:pPr>
            <w:r>
              <w:rPr>
                <w:rFonts w:hint="eastAsia"/>
              </w:rPr>
              <w:t>采购标的/服务清单/报价等任意一类有缺漏项或响应不全，或者对招标文件规定的项目需求内容或者需求数量进行修改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0A1F45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3281062">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7EABC3C5">
            <w:pPr>
              <w:rPr>
                <w:rFonts w:ascii="宋体" w:hAnsi="宋体" w:cs="宋体"/>
                <w:szCs w:val="21"/>
              </w:rPr>
            </w:pPr>
            <w:r>
              <w:rPr>
                <w:rFonts w:hint="eastAsia"/>
              </w:rPr>
              <w:t>投标文件存在列放位置错误，导致属于信息公开情形的没有被公开；</w:t>
            </w:r>
          </w:p>
        </w:tc>
      </w:tr>
      <w:tr w14:paraId="34672F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119AC3">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4090F90A">
            <w:pPr>
              <w:rPr>
                <w:rFonts w:ascii="宋体" w:hAnsi="宋体" w:cs="宋体"/>
                <w:szCs w:val="21"/>
              </w:rPr>
            </w:pPr>
            <w:r>
              <w:rPr>
                <w:rFonts w:hint="eastAsia"/>
              </w:rPr>
              <w:t>投标文件电子文档不得带病毒；</w:t>
            </w:r>
          </w:p>
        </w:tc>
      </w:tr>
      <w:tr w14:paraId="0BC3A9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BFC9FF3">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3DF80023">
            <w:pPr>
              <w:rPr>
                <w:rFonts w:ascii="宋体" w:hAnsi="宋体" w:cs="宋体"/>
                <w:szCs w:val="21"/>
              </w:rPr>
            </w:pPr>
            <w:r>
              <w:rPr>
                <w:rFonts w:hint="eastAsia"/>
              </w:rPr>
              <w:t>投标文件不得用不属于本公司的电子密钥或电子营业执照进行加密的；</w:t>
            </w:r>
          </w:p>
        </w:tc>
      </w:tr>
      <w:tr w14:paraId="1CAD7E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7CE06DC">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14:paraId="5214966A">
            <w:pPr>
              <w:widowControl/>
              <w:jc w:val="left"/>
              <w:textAlignment w:val="top"/>
            </w:pPr>
            <w:bookmarkStart w:id="2" w:name="OLE_LINK30"/>
            <w:r>
              <w:rPr>
                <w:rFonts w:hint="eastAsia"/>
              </w:rPr>
              <w:t>不得与其他</w:t>
            </w:r>
            <w:bookmarkEnd w:id="2"/>
            <w:r>
              <w:rPr>
                <w:rFonts w:hint="eastAsia"/>
              </w:rPr>
              <w:t>投标供应商投标文件“文件制作机器码”一致；</w:t>
            </w:r>
          </w:p>
        </w:tc>
      </w:tr>
      <w:tr w14:paraId="78C7B2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23B9E53">
            <w:pPr>
              <w:widowControl/>
              <w:jc w:val="center"/>
              <w:textAlignment w:val="top"/>
              <w:rPr>
                <w:rFonts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14:paraId="1AEAD93B">
            <w:pPr>
              <w:widowControl/>
              <w:jc w:val="left"/>
              <w:textAlignment w:val="top"/>
            </w:pPr>
            <w:r>
              <w:rPr>
                <w:rFonts w:hint="eastAsia"/>
              </w:rPr>
              <w:t>不得与其他投标供应商投标文件“文件创建标识码”一致；</w:t>
            </w:r>
          </w:p>
        </w:tc>
      </w:tr>
      <w:tr w14:paraId="07DBBC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88E7316">
            <w:pPr>
              <w:jc w:val="center"/>
              <w:rPr>
                <w:rFonts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42E6B1EB">
            <w:pPr>
              <w:rPr>
                <w:rFonts w:ascii="宋体" w:hAnsi="宋体" w:cs="宋体"/>
                <w:szCs w:val="21"/>
              </w:rPr>
            </w:pPr>
            <w:r>
              <w:rPr>
                <w:rFonts w:hint="eastAsia"/>
              </w:rPr>
              <w:t>法律、法规、规章、规范性文件规定的其他情形。</w:t>
            </w:r>
          </w:p>
        </w:tc>
      </w:tr>
    </w:tbl>
    <w:p w14:paraId="25E1422D">
      <w:pPr>
        <w:pStyle w:val="29"/>
        <w:jc w:val="center"/>
        <w:outlineLvl w:val="1"/>
        <w:rPr>
          <w:rFonts w:ascii="黑体" w:hAnsi="黑体" w:eastAsia="黑体"/>
          <w:sz w:val="40"/>
          <w:szCs w:val="40"/>
        </w:rPr>
      </w:pPr>
      <w:r>
        <w:rPr>
          <w:rFonts w:hint="eastAsia" w:ascii="黑体" w:hAnsi="黑体" w:eastAsia="黑体"/>
          <w:sz w:val="40"/>
          <w:szCs w:val="40"/>
        </w:rPr>
        <w:t>评标信息</w:t>
      </w:r>
    </w:p>
    <w:tbl>
      <w:tblPr>
        <w:tblStyle w:val="3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338808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After w:val="1"/>
          <w:wAfter w:w="240" w:type="dxa"/>
          <w:tblCellSpacing w:w="0" w:type="dxa"/>
          <w:jc w:val="center"/>
        </w:trPr>
        <w:tc>
          <w:tcPr>
            <w:tcW w:w="8873" w:type="dxa"/>
            <w:vAlign w:val="center"/>
          </w:tcPr>
          <w:p w14:paraId="7ECAC8BD">
            <w:pPr>
              <w:widowControl/>
              <w:jc w:val="left"/>
              <w:rPr>
                <w:b/>
                <w:bCs/>
                <w:sz w:val="24"/>
              </w:rPr>
            </w:pPr>
            <w:r>
              <w:rPr>
                <w:b/>
                <w:bCs/>
              </w:rPr>
              <w:t>评标方法：综合评分法</w:t>
            </w:r>
          </w:p>
        </w:tc>
      </w:tr>
      <w:tr w14:paraId="04B3C9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vAlign w:val="center"/>
          </w:tcPr>
          <w:p w14:paraId="16BC5A5D">
            <w:pPr>
              <w:spacing w:line="360" w:lineRule="auto"/>
              <w:rPr>
                <w:b/>
                <w:bCs/>
                <w:szCs w:val="21"/>
              </w:rPr>
            </w:pPr>
          </w:p>
          <w:p w14:paraId="7C750A73">
            <w:pPr>
              <w:ind w:firstLine="420"/>
              <w:rPr>
                <w:szCs w:val="21"/>
              </w:rPr>
            </w:pPr>
            <w:bookmarkStart w:id="3" w:name="OLE_LINK31"/>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bookmarkEnd w:id="3"/>
          </w:p>
          <w:p w14:paraId="7F3DE1AC">
            <w:pPr>
              <w:pStyle w:val="2"/>
            </w:pPr>
          </w:p>
          <w:p w14:paraId="7491DA73">
            <w:pPr>
              <w:ind w:firstLine="420"/>
              <w:rPr>
                <w:szCs w:val="21"/>
              </w:rPr>
            </w:pPr>
            <w:r>
              <w:rPr>
                <w:szCs w:val="21"/>
              </w:rPr>
              <w:t>价格分计算方法：</w:t>
            </w:r>
          </w:p>
          <w:p w14:paraId="59A34279">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11A9BFBC">
            <w:pPr>
              <w:widowControl/>
              <w:ind w:left="420"/>
              <w:jc w:val="left"/>
              <w:rPr>
                <w:szCs w:val="21"/>
              </w:rPr>
            </w:pPr>
            <w:r>
              <w:rPr>
                <w:szCs w:val="21"/>
              </w:rPr>
              <w:t xml:space="preserve">投标报价得分=(评标基准价／投标报价)×100 </w:t>
            </w:r>
          </w:p>
          <w:p w14:paraId="14CCBF3E">
            <w:pPr>
              <w:widowControl/>
              <w:ind w:left="420"/>
              <w:jc w:val="left"/>
              <w:rPr>
                <w:szCs w:val="21"/>
              </w:rPr>
            </w:pPr>
            <w:r>
              <w:rPr>
                <w:szCs w:val="21"/>
              </w:rPr>
              <w:t xml:space="preserve">评标总得分＝F1×A1＋F2×A2＋……＋Fn×An </w:t>
            </w:r>
          </w:p>
          <w:p w14:paraId="727FA963">
            <w:pPr>
              <w:widowControl/>
              <w:ind w:left="420"/>
              <w:jc w:val="left"/>
              <w:rPr>
                <w:szCs w:val="21"/>
              </w:rPr>
            </w:pPr>
            <w:r>
              <w:rPr>
                <w:szCs w:val="21"/>
              </w:rPr>
              <w:t xml:space="preserve">F1、F2……Fn分别为各项评审因素的得分； </w:t>
            </w:r>
          </w:p>
          <w:p w14:paraId="7564A402">
            <w:pPr>
              <w:widowControl/>
              <w:ind w:left="420"/>
              <w:jc w:val="left"/>
              <w:rPr>
                <w:szCs w:val="21"/>
              </w:rPr>
            </w:pPr>
            <w:r>
              <w:rPr>
                <w:szCs w:val="21"/>
              </w:rPr>
              <w:t xml:space="preserve">A1、A2、……An 分别为各项评审因素所占的权重(A1＋A2＋……＋An＝1)。 </w:t>
            </w:r>
          </w:p>
          <w:p w14:paraId="2F3A9BFB">
            <w:pPr>
              <w:widowControl/>
              <w:ind w:left="420"/>
              <w:jc w:val="left"/>
              <w:rPr>
                <w:szCs w:val="21"/>
              </w:rPr>
            </w:pPr>
            <w:r>
              <w:rPr>
                <w:szCs w:val="21"/>
              </w:rPr>
              <w:t>评标过程中，不得去掉报价中的最高报价和最低报价。</w:t>
            </w:r>
          </w:p>
          <w:p w14:paraId="2DEFD445">
            <w:pPr>
              <w:widowControl/>
              <w:ind w:left="420"/>
              <w:jc w:val="left"/>
              <w:rPr>
                <w:szCs w:val="21"/>
              </w:rPr>
            </w:pPr>
            <w:r>
              <w:rPr>
                <w:rFonts w:hint="eastAsia"/>
                <w:szCs w:val="21"/>
              </w:rPr>
              <w:t>因落实政府采购政策进行价格调整的，以调整后的价格计算评标基准价和投标报价。</w:t>
            </w:r>
          </w:p>
          <w:p w14:paraId="0C7427EA">
            <w:pPr>
              <w:widowControl/>
              <w:ind w:left="420"/>
              <w:jc w:val="left"/>
              <w:rPr>
                <w:b/>
                <w:szCs w:val="21"/>
              </w:rPr>
            </w:pPr>
            <w:r>
              <w:rPr>
                <w:b/>
                <w:szCs w:val="21"/>
              </w:rPr>
              <w:t>评标总得分</w:t>
            </w:r>
            <w:r>
              <w:rPr>
                <w:rFonts w:hint="eastAsia"/>
                <w:b/>
                <w:szCs w:val="21"/>
              </w:rPr>
              <w:t>（100分）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bl>
    <w:p w14:paraId="67334921">
      <w:pPr>
        <w:pStyle w:val="32"/>
        <w:ind w:left="0" w:leftChars="0" w:firstLine="0" w:firstLineChars="0"/>
      </w:pPr>
    </w:p>
    <w:tbl>
      <w:tblPr>
        <w:tblStyle w:val="33"/>
        <w:tblpPr w:leftFromText="180" w:rightFromText="180" w:vertAnchor="text" w:horzAnchor="page" w:tblpX="1462" w:tblpY="377"/>
        <w:tblOverlap w:val="never"/>
        <w:tblW w:w="907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0"/>
        <w:gridCol w:w="2543"/>
        <w:gridCol w:w="974"/>
        <w:gridCol w:w="4197"/>
      </w:tblGrid>
      <w:tr w14:paraId="3C889D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19B0A51">
            <w:pPr>
              <w:wordWrap w:val="0"/>
              <w:jc w:val="center"/>
              <w:rPr>
                <w:rFonts w:ascii="宋体" w:hAnsi="宋体" w:cs="宋体"/>
                <w:b/>
                <w:bCs/>
                <w:sz w:val="24"/>
              </w:rPr>
            </w:pPr>
            <w:r>
              <w:rPr>
                <w:rFonts w:hint="eastAsia"/>
                <w:b/>
                <w:bCs/>
              </w:rPr>
              <w:t>序号</w:t>
            </w:r>
          </w:p>
        </w:tc>
        <w:tc>
          <w:tcPr>
            <w:tcW w:w="4197"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710E3BE4">
            <w:pPr>
              <w:wordWrap w:val="0"/>
              <w:jc w:val="center"/>
              <w:rPr>
                <w:rFonts w:ascii="宋体" w:hAnsi="宋体" w:cs="宋体"/>
                <w:b/>
                <w:bCs/>
                <w:sz w:val="24"/>
              </w:rPr>
            </w:pPr>
            <w:r>
              <w:rPr>
                <w:rFonts w:hint="eastAsia"/>
                <w:b/>
                <w:bCs/>
              </w:rPr>
              <w:t>评分项</w:t>
            </w:r>
          </w:p>
        </w:tc>
        <w:tc>
          <w:tcPr>
            <w:tcW w:w="419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16AF394">
            <w:pPr>
              <w:wordWrap w:val="0"/>
              <w:jc w:val="center"/>
              <w:rPr>
                <w:rFonts w:ascii="宋体" w:hAnsi="宋体" w:cs="宋体"/>
                <w:b/>
                <w:bCs/>
                <w:sz w:val="24"/>
              </w:rPr>
            </w:pPr>
            <w:r>
              <w:rPr>
                <w:rFonts w:hint="eastAsia"/>
                <w:b/>
                <w:bCs/>
              </w:rPr>
              <w:t>权重</w:t>
            </w:r>
          </w:p>
        </w:tc>
      </w:tr>
      <w:tr w14:paraId="4E665A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tcBorders>
              <w:top w:val="single" w:color="000000" w:sz="8" w:space="0"/>
              <w:left w:val="single" w:color="000000" w:sz="8" w:space="0"/>
              <w:bottom w:val="single" w:color="000000" w:sz="8" w:space="0"/>
              <w:right w:val="single" w:color="000000" w:sz="8" w:space="0"/>
            </w:tcBorders>
          </w:tcPr>
          <w:p w14:paraId="0CF8B06A">
            <w:pPr>
              <w:wordWrap w:val="0"/>
              <w:jc w:val="center"/>
              <w:rPr>
                <w:rFonts w:ascii="宋体" w:hAnsi="宋体" w:cs="宋体"/>
                <w:b/>
                <w:bCs/>
                <w:color w:val="0000FF"/>
                <w:sz w:val="24"/>
              </w:rPr>
            </w:pPr>
            <w:r>
              <w:rPr>
                <w:b/>
                <w:bCs/>
                <w:color w:val="0000FF"/>
              </w:rPr>
              <w:t>1</w:t>
            </w:r>
          </w:p>
        </w:tc>
        <w:tc>
          <w:tcPr>
            <w:tcW w:w="4197" w:type="dxa"/>
            <w:gridSpan w:val="3"/>
            <w:tcBorders>
              <w:top w:val="single" w:color="000000" w:sz="8" w:space="0"/>
              <w:left w:val="single" w:color="000000" w:sz="8" w:space="0"/>
              <w:bottom w:val="single" w:color="000000" w:sz="8" w:space="0"/>
              <w:right w:val="single" w:color="000000" w:sz="8" w:space="0"/>
            </w:tcBorders>
          </w:tcPr>
          <w:p w14:paraId="26695E82">
            <w:pPr>
              <w:wordWrap w:val="0"/>
              <w:jc w:val="center"/>
              <w:rPr>
                <w:rFonts w:ascii="宋体" w:hAnsi="宋体" w:cs="宋体"/>
                <w:b/>
                <w:bCs/>
                <w:color w:val="0000FF"/>
                <w:sz w:val="24"/>
              </w:rPr>
            </w:pPr>
            <w:r>
              <w:rPr>
                <w:rFonts w:hint="eastAsia"/>
                <w:b/>
                <w:bCs/>
                <w:color w:val="0000FF"/>
              </w:rPr>
              <w:t>价格</w:t>
            </w:r>
          </w:p>
        </w:tc>
        <w:tc>
          <w:tcPr>
            <w:tcW w:w="4197" w:type="dxa"/>
            <w:tcBorders>
              <w:top w:val="single" w:color="000000" w:sz="8" w:space="0"/>
              <w:left w:val="single" w:color="000000" w:sz="8" w:space="0"/>
              <w:bottom w:val="single" w:color="000000" w:sz="8" w:space="0"/>
              <w:right w:val="single" w:color="000000" w:sz="8" w:space="0"/>
            </w:tcBorders>
          </w:tcPr>
          <w:p w14:paraId="1983B5C1">
            <w:pPr>
              <w:wordWrap w:val="0"/>
              <w:jc w:val="center"/>
              <w:rPr>
                <w:rFonts w:ascii="宋体" w:hAnsi="宋体" w:cs="宋体"/>
                <w:b/>
                <w:bCs/>
                <w:color w:val="0000FF"/>
                <w:sz w:val="24"/>
              </w:rPr>
            </w:pPr>
            <w:r>
              <w:rPr>
                <w:rFonts w:hint="eastAsia"/>
                <w:b/>
                <w:bCs/>
                <w:color w:val="0000FF"/>
              </w:rPr>
              <w:t>1</w:t>
            </w:r>
            <w:r>
              <w:rPr>
                <w:b/>
                <w:bCs/>
                <w:color w:val="0000FF"/>
              </w:rPr>
              <w:t>0</w:t>
            </w:r>
          </w:p>
        </w:tc>
      </w:tr>
      <w:tr w14:paraId="60C16C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restart"/>
            <w:tcBorders>
              <w:top w:val="single" w:color="000000" w:sz="8" w:space="0"/>
              <w:left w:val="single" w:color="000000" w:sz="8" w:space="0"/>
              <w:bottom w:val="single" w:color="000000" w:sz="8" w:space="0"/>
              <w:right w:val="single" w:color="000000" w:sz="8" w:space="0"/>
            </w:tcBorders>
          </w:tcPr>
          <w:p w14:paraId="601E37A1">
            <w:pPr>
              <w:wordWrap w:val="0"/>
              <w:jc w:val="center"/>
              <w:rPr>
                <w:rFonts w:ascii="宋体" w:hAnsi="宋体" w:cs="宋体"/>
                <w:b/>
                <w:bCs/>
                <w:color w:val="0000FF"/>
                <w:sz w:val="24"/>
              </w:rPr>
            </w:pPr>
            <w:r>
              <w:rPr>
                <w:b/>
                <w:bCs/>
                <w:color w:val="0000FF"/>
              </w:rPr>
              <w:t>2</w:t>
            </w:r>
          </w:p>
        </w:tc>
        <w:tc>
          <w:tcPr>
            <w:tcW w:w="4197" w:type="dxa"/>
            <w:gridSpan w:val="3"/>
            <w:tcBorders>
              <w:top w:val="single" w:color="000000" w:sz="8" w:space="0"/>
              <w:left w:val="single" w:color="000000" w:sz="8" w:space="0"/>
              <w:bottom w:val="single" w:color="000000" w:sz="8" w:space="0"/>
              <w:right w:val="single" w:color="000000" w:sz="8" w:space="0"/>
            </w:tcBorders>
          </w:tcPr>
          <w:p w14:paraId="03F4883C">
            <w:pPr>
              <w:wordWrap w:val="0"/>
              <w:jc w:val="center"/>
              <w:rPr>
                <w:b/>
                <w:bCs/>
                <w:color w:val="0000FF"/>
              </w:rPr>
            </w:pPr>
            <w:r>
              <w:rPr>
                <w:rFonts w:hint="eastAsia"/>
                <w:b/>
                <w:bCs/>
                <w:color w:val="0000FF"/>
              </w:rPr>
              <w:t>技术服务部分</w:t>
            </w:r>
          </w:p>
        </w:tc>
        <w:tc>
          <w:tcPr>
            <w:tcW w:w="4197" w:type="dxa"/>
            <w:tcBorders>
              <w:top w:val="single" w:color="000000" w:sz="8" w:space="0"/>
              <w:left w:val="single" w:color="000000" w:sz="8" w:space="0"/>
              <w:bottom w:val="single" w:color="000000" w:sz="8" w:space="0"/>
              <w:right w:val="single" w:color="000000" w:sz="8" w:space="0"/>
            </w:tcBorders>
          </w:tcPr>
          <w:p w14:paraId="19CA9BE9">
            <w:pPr>
              <w:widowControl/>
              <w:jc w:val="center"/>
              <w:rPr>
                <w:b/>
                <w:bCs/>
                <w:color w:val="0000FF"/>
              </w:rPr>
            </w:pPr>
            <w:r>
              <w:rPr>
                <w:rFonts w:hint="eastAsia"/>
                <w:b/>
                <w:bCs/>
                <w:color w:val="0000FF"/>
              </w:rPr>
              <w:t>51</w:t>
            </w:r>
          </w:p>
        </w:tc>
      </w:tr>
      <w:tr w14:paraId="6BEE82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90EE9D">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6BD38FC">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CF6ED03">
            <w:pPr>
              <w:wordWrap w:val="0"/>
              <w:jc w:val="center"/>
              <w:rPr>
                <w:rFonts w:ascii="宋体" w:hAnsi="宋体" w:cs="宋体"/>
                <w:szCs w:val="21"/>
              </w:rPr>
            </w:pPr>
            <w:r>
              <w:rPr>
                <w:rFonts w:hint="eastAsia"/>
                <w:szCs w:val="21"/>
              </w:rPr>
              <w:t>评分因素</w:t>
            </w:r>
          </w:p>
        </w:tc>
        <w:tc>
          <w:tcPr>
            <w:tcW w:w="97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2C77C22">
            <w:pPr>
              <w:wordWrap w:val="0"/>
              <w:jc w:val="center"/>
              <w:rPr>
                <w:rFonts w:ascii="宋体" w:hAnsi="宋体" w:cs="宋体"/>
                <w:szCs w:val="21"/>
              </w:rPr>
            </w:pPr>
            <w:r>
              <w:rPr>
                <w:rFonts w:hint="eastAsia"/>
                <w:szCs w:val="21"/>
              </w:rPr>
              <w:t>权重</w:t>
            </w:r>
          </w:p>
        </w:tc>
        <w:tc>
          <w:tcPr>
            <w:tcW w:w="419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9E2810D">
            <w:pPr>
              <w:wordWrap w:val="0"/>
              <w:jc w:val="center"/>
              <w:rPr>
                <w:rFonts w:ascii="宋体" w:hAnsi="宋体" w:cs="宋体"/>
                <w:szCs w:val="21"/>
              </w:rPr>
            </w:pPr>
            <w:r>
              <w:rPr>
                <w:rFonts w:hint="eastAsia"/>
                <w:szCs w:val="21"/>
              </w:rPr>
              <w:t>评分准则</w:t>
            </w:r>
          </w:p>
        </w:tc>
      </w:tr>
      <w:tr w14:paraId="5FD95D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2182D26A">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0745FF13">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tcPr>
          <w:p w14:paraId="003F94B1">
            <w:pPr>
              <w:wordWrap w:val="0"/>
              <w:rPr>
                <w:rFonts w:ascii="宋体" w:hAnsi="宋体"/>
                <w:color w:val="FF0000"/>
              </w:rPr>
            </w:pPr>
            <w:r>
              <w:rPr>
                <w:rFonts w:hint="eastAsia"/>
                <w:kern w:val="0"/>
              </w:rPr>
              <w:t>项目实施方案</w:t>
            </w:r>
          </w:p>
          <w:p w14:paraId="1C0653BB">
            <w:pPr>
              <w:wordWrap w:val="0"/>
              <w:rPr>
                <w:rFonts w:ascii="宋体" w:hAnsi="宋体" w:cs="宋体"/>
                <w:szCs w:val="21"/>
              </w:rPr>
            </w:pPr>
          </w:p>
        </w:tc>
        <w:tc>
          <w:tcPr>
            <w:tcW w:w="974" w:type="dxa"/>
            <w:tcBorders>
              <w:top w:val="single" w:color="000000" w:sz="8" w:space="0"/>
              <w:left w:val="single" w:color="000000" w:sz="8" w:space="0"/>
              <w:bottom w:val="single" w:color="000000" w:sz="8" w:space="0"/>
              <w:right w:val="single" w:color="000000" w:sz="8" w:space="0"/>
            </w:tcBorders>
          </w:tcPr>
          <w:p w14:paraId="100E2B5B">
            <w:pPr>
              <w:widowControl/>
              <w:jc w:val="left"/>
              <w:rPr>
                <w:rFonts w:ascii="宋体" w:hAnsi="宋体" w:cs="宋体"/>
                <w:szCs w:val="21"/>
              </w:rPr>
            </w:pPr>
            <w:r>
              <w:rPr>
                <w:rFonts w:ascii="Calibri" w:hAnsi="Calibri" w:cs="宋体"/>
                <w:szCs w:val="21"/>
              </w:rPr>
              <w:t>8</w:t>
            </w:r>
          </w:p>
        </w:tc>
        <w:tc>
          <w:tcPr>
            <w:tcW w:w="4197" w:type="dxa"/>
            <w:tcBorders>
              <w:top w:val="single" w:color="000000" w:sz="8" w:space="0"/>
              <w:left w:val="single" w:color="000000" w:sz="8" w:space="0"/>
              <w:bottom w:val="single" w:color="000000" w:sz="8" w:space="0"/>
              <w:right w:val="single" w:color="000000" w:sz="8" w:space="0"/>
            </w:tcBorders>
          </w:tcPr>
          <w:p w14:paraId="6F770912">
            <w:r>
              <w:rPr>
                <w:rFonts w:hint="eastAsia"/>
              </w:rPr>
              <w:t>（一）评分内容：</w:t>
            </w:r>
          </w:p>
          <w:p w14:paraId="1CB51B64">
            <w:pPr>
              <w:jc w:val="left"/>
              <w:rPr>
                <w:rFonts w:ascii="宋体" w:hAnsi="宋体"/>
                <w:szCs w:val="21"/>
              </w:rPr>
            </w:pPr>
            <w:r>
              <w:rPr>
                <w:rFonts w:hint="eastAsia" w:ascii="宋体" w:hAnsi="宋体"/>
                <w:szCs w:val="21"/>
              </w:rPr>
              <w:t>评审委员会根据投标单位的项目实施方案进行评审，包括但不限于以下方案：</w:t>
            </w:r>
          </w:p>
          <w:p w14:paraId="60318FC6">
            <w:pPr>
              <w:jc w:val="left"/>
              <w:rPr>
                <w:rFonts w:ascii="宋体" w:hAnsi="宋体"/>
                <w:szCs w:val="21"/>
              </w:rPr>
            </w:pPr>
            <w:r>
              <w:rPr>
                <w:rFonts w:hint="eastAsia" w:ascii="宋体" w:hAnsi="宋体"/>
                <w:szCs w:val="21"/>
              </w:rPr>
              <w:t>1.队伍架构和岗位设置。</w:t>
            </w:r>
          </w:p>
          <w:p w14:paraId="2135475C">
            <w:pPr>
              <w:jc w:val="left"/>
              <w:rPr>
                <w:rFonts w:ascii="宋体" w:hAnsi="宋体"/>
                <w:szCs w:val="21"/>
              </w:rPr>
            </w:pPr>
            <w:r>
              <w:rPr>
                <w:rFonts w:hint="eastAsia" w:ascii="宋体" w:hAnsi="宋体"/>
                <w:szCs w:val="21"/>
              </w:rPr>
              <w:t>2.现场管理与安保措施。</w:t>
            </w:r>
          </w:p>
          <w:p w14:paraId="25E5B89E">
            <w:pPr>
              <w:jc w:val="left"/>
              <w:rPr>
                <w:rFonts w:ascii="宋体" w:hAnsi="宋体"/>
                <w:szCs w:val="21"/>
              </w:rPr>
            </w:pPr>
            <w:r>
              <w:rPr>
                <w:rFonts w:hint="eastAsia" w:ascii="宋体" w:hAnsi="宋体"/>
                <w:szCs w:val="21"/>
              </w:rPr>
              <w:t>3.员工培训。</w:t>
            </w:r>
          </w:p>
          <w:p w14:paraId="2C1F5C1B">
            <w:pPr>
              <w:jc w:val="left"/>
              <w:rPr>
                <w:rFonts w:ascii="宋体" w:hAnsi="宋体"/>
                <w:szCs w:val="21"/>
              </w:rPr>
            </w:pPr>
            <w:r>
              <w:rPr>
                <w:rFonts w:hint="eastAsia" w:ascii="宋体" w:hAnsi="宋体"/>
                <w:szCs w:val="21"/>
              </w:rPr>
              <w:t>4.日常管理规章制度。</w:t>
            </w:r>
          </w:p>
          <w:p w14:paraId="282B9625">
            <w:r>
              <w:rPr>
                <w:rFonts w:hint="eastAsia"/>
              </w:rPr>
              <w:t>（二）评分依据：</w:t>
            </w:r>
          </w:p>
          <w:p w14:paraId="2892EDCC">
            <w:pPr>
              <w:jc w:val="left"/>
              <w:rPr>
                <w:rFonts w:ascii="宋体" w:hAnsi="宋体"/>
                <w:szCs w:val="21"/>
              </w:rPr>
            </w:pPr>
            <w:r>
              <w:rPr>
                <w:rFonts w:hint="eastAsia" w:ascii="宋体" w:hAnsi="宋体"/>
                <w:szCs w:val="21"/>
              </w:rPr>
              <w:t>提供以上4点内容得4分，缺项不得分。 在此基础上，专家根据内容的合理性进行评分:</w:t>
            </w:r>
          </w:p>
          <w:p w14:paraId="3AC93FCF">
            <w:pPr>
              <w:jc w:val="left"/>
              <w:rPr>
                <w:rFonts w:ascii="宋体" w:hAnsi="宋体"/>
                <w:szCs w:val="21"/>
              </w:rPr>
            </w:pPr>
            <w:r>
              <w:rPr>
                <w:rFonts w:hint="eastAsia" w:ascii="宋体" w:hAnsi="宋体"/>
                <w:szCs w:val="21"/>
              </w:rPr>
              <w:t>优评分标准:方案符合实际、完整、规范、思路清晰，内容合理性强。</w:t>
            </w:r>
          </w:p>
          <w:p w14:paraId="3DBEBBA4">
            <w:pPr>
              <w:jc w:val="left"/>
              <w:rPr>
                <w:rFonts w:ascii="宋体" w:hAnsi="宋体"/>
                <w:szCs w:val="21"/>
              </w:rPr>
            </w:pPr>
            <w:r>
              <w:rPr>
                <w:rFonts w:hint="eastAsia" w:ascii="宋体" w:hAnsi="宋体"/>
                <w:szCs w:val="21"/>
              </w:rPr>
              <w:t>良评分标准:方案较符合实际、较完整规范、思路较清晰，内容合理性较强。</w:t>
            </w:r>
          </w:p>
          <w:p w14:paraId="10B763DD">
            <w:pPr>
              <w:jc w:val="left"/>
              <w:rPr>
                <w:rFonts w:ascii="宋体" w:hAnsi="宋体"/>
                <w:szCs w:val="21"/>
              </w:rPr>
            </w:pPr>
            <w:r>
              <w:rPr>
                <w:rFonts w:hint="eastAsia" w:ascii="宋体" w:hAnsi="宋体"/>
                <w:szCs w:val="21"/>
              </w:rPr>
              <w:t>中评分标准:方案较普通、完整性规范性一般，思路不够清晰，内容合理性一般。</w:t>
            </w:r>
          </w:p>
          <w:p w14:paraId="24AC3D57">
            <w:pPr>
              <w:jc w:val="left"/>
              <w:rPr>
                <w:rFonts w:ascii="宋体" w:hAnsi="宋体"/>
                <w:szCs w:val="21"/>
              </w:rPr>
            </w:pPr>
            <w:r>
              <w:rPr>
                <w:rFonts w:hint="eastAsia" w:ascii="宋体" w:hAnsi="宋体"/>
                <w:szCs w:val="21"/>
              </w:rPr>
              <w:t>差评分标准方案:不完整、不规范，思路不清晰，内容合理性较差或未提供。</w:t>
            </w:r>
          </w:p>
          <w:p w14:paraId="34B9BA0F">
            <w:pPr>
              <w:jc w:val="left"/>
              <w:rPr>
                <w:rFonts w:ascii="宋体" w:hAnsi="宋体"/>
                <w:szCs w:val="21"/>
              </w:rPr>
            </w:pPr>
            <w:r>
              <w:rPr>
                <w:rFonts w:hint="eastAsia" w:ascii="宋体" w:hAnsi="宋体"/>
                <w:szCs w:val="21"/>
              </w:rPr>
              <w:t>评价为优得4分;</w:t>
            </w:r>
          </w:p>
          <w:p w14:paraId="07E63DCB">
            <w:pPr>
              <w:jc w:val="left"/>
              <w:rPr>
                <w:rFonts w:ascii="宋体" w:hAnsi="宋体"/>
                <w:szCs w:val="21"/>
              </w:rPr>
            </w:pPr>
            <w:r>
              <w:rPr>
                <w:rFonts w:hint="eastAsia" w:ascii="宋体" w:hAnsi="宋体"/>
                <w:szCs w:val="21"/>
              </w:rPr>
              <w:t>评价为良得2分;</w:t>
            </w:r>
          </w:p>
          <w:p w14:paraId="47B04BCA">
            <w:pPr>
              <w:jc w:val="left"/>
              <w:rPr>
                <w:rFonts w:ascii="宋体" w:hAnsi="宋体"/>
                <w:szCs w:val="21"/>
              </w:rPr>
            </w:pPr>
            <w:r>
              <w:rPr>
                <w:rFonts w:hint="eastAsia" w:ascii="宋体" w:hAnsi="宋体"/>
                <w:szCs w:val="21"/>
              </w:rPr>
              <w:t>评价为中得1分;</w:t>
            </w:r>
          </w:p>
          <w:p w14:paraId="76126654">
            <w:pPr>
              <w:jc w:val="left"/>
              <w:rPr>
                <w:rFonts w:ascii="宋体" w:hAnsi="宋体"/>
                <w:szCs w:val="21"/>
              </w:rPr>
            </w:pPr>
            <w:r>
              <w:rPr>
                <w:rFonts w:hint="eastAsia" w:ascii="宋体" w:hAnsi="宋体"/>
                <w:szCs w:val="21"/>
              </w:rPr>
              <w:t>评价为差不得分</w:t>
            </w:r>
          </w:p>
        </w:tc>
      </w:tr>
      <w:tr w14:paraId="5E9D4C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33694B7B">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A2A9CF2">
            <w:pPr>
              <w:wordWrap w:val="0"/>
              <w:jc w:val="center"/>
              <w:rPr>
                <w:rFonts w:ascii="宋体" w:hAnsi="宋体" w:cs="宋体"/>
                <w:szCs w:val="21"/>
              </w:rPr>
            </w:pPr>
            <w:r>
              <w:rPr>
                <w:szCs w:val="21"/>
              </w:rPr>
              <w:t>2</w:t>
            </w:r>
          </w:p>
        </w:tc>
        <w:tc>
          <w:tcPr>
            <w:tcW w:w="2543" w:type="dxa"/>
            <w:tcBorders>
              <w:top w:val="single" w:color="000000" w:sz="8" w:space="0"/>
              <w:left w:val="single" w:color="000000" w:sz="8" w:space="0"/>
              <w:bottom w:val="single" w:color="000000" w:sz="8" w:space="0"/>
              <w:right w:val="single" w:color="000000" w:sz="8" w:space="0"/>
            </w:tcBorders>
          </w:tcPr>
          <w:p w14:paraId="0A06C106">
            <w:pPr>
              <w:widowControl/>
              <w:jc w:val="left"/>
              <w:rPr>
                <w:rFonts w:ascii="Calibri" w:hAnsi="Calibri" w:cs="宋体"/>
                <w:szCs w:val="22"/>
              </w:rPr>
            </w:pPr>
            <w:r>
              <w:rPr>
                <w:rFonts w:hint="eastAsia" w:ascii="Calibri" w:hAnsi="Calibri" w:cs="宋体"/>
                <w:szCs w:val="22"/>
              </w:rPr>
              <w:t>项目重点难点分析、应对措施及相关的合理化建议</w:t>
            </w:r>
          </w:p>
        </w:tc>
        <w:tc>
          <w:tcPr>
            <w:tcW w:w="974" w:type="dxa"/>
            <w:tcBorders>
              <w:top w:val="single" w:color="000000" w:sz="8" w:space="0"/>
              <w:left w:val="single" w:color="000000" w:sz="8" w:space="0"/>
              <w:bottom w:val="single" w:color="000000" w:sz="8" w:space="0"/>
              <w:right w:val="single" w:color="000000" w:sz="8" w:space="0"/>
            </w:tcBorders>
          </w:tcPr>
          <w:p w14:paraId="5E0FB1E9">
            <w:pPr>
              <w:widowControl/>
              <w:jc w:val="left"/>
              <w:rPr>
                <w:rFonts w:ascii="Calibri" w:hAnsi="Calibri" w:cs="宋体"/>
                <w:szCs w:val="22"/>
              </w:rPr>
            </w:pPr>
            <w:r>
              <w:rPr>
                <w:rFonts w:hint="eastAsia" w:ascii="Calibri" w:hAnsi="Calibri" w:cs="宋体"/>
                <w:szCs w:val="22"/>
              </w:rPr>
              <w:t>8</w:t>
            </w:r>
          </w:p>
        </w:tc>
        <w:tc>
          <w:tcPr>
            <w:tcW w:w="4197" w:type="dxa"/>
            <w:tcBorders>
              <w:top w:val="single" w:color="000000" w:sz="8" w:space="0"/>
              <w:left w:val="single" w:color="000000" w:sz="8" w:space="0"/>
              <w:bottom w:val="single" w:color="000000" w:sz="8" w:space="0"/>
              <w:right w:val="single" w:color="000000" w:sz="8" w:space="0"/>
            </w:tcBorders>
          </w:tcPr>
          <w:p w14:paraId="37F25207">
            <w:r>
              <w:rPr>
                <w:rFonts w:hint="eastAsia"/>
              </w:rPr>
              <w:t>（一）评分内容：</w:t>
            </w:r>
          </w:p>
          <w:p w14:paraId="0E0835AC">
            <w:pPr>
              <w:wordWrap w:val="0"/>
              <w:rPr>
                <w:rFonts w:ascii="宋体" w:hAnsi="宋体" w:cs="宋体"/>
                <w:szCs w:val="21"/>
              </w:rPr>
            </w:pPr>
            <w:r>
              <w:rPr>
                <w:rFonts w:hint="eastAsia" w:ascii="宋体" w:hAnsi="宋体" w:cs="宋体"/>
                <w:szCs w:val="21"/>
              </w:rPr>
              <w:t>考察针对本项目的项目重点难点分析、应对措施及相关的合理化建议，方案内容包括以下内容:</w:t>
            </w:r>
          </w:p>
          <w:p w14:paraId="37ADA391">
            <w:pPr>
              <w:wordWrap w:val="0"/>
              <w:rPr>
                <w:rFonts w:ascii="宋体" w:hAnsi="宋体" w:cs="宋体"/>
                <w:szCs w:val="21"/>
              </w:rPr>
            </w:pPr>
            <w:r>
              <w:rPr>
                <w:rFonts w:hint="eastAsia" w:ascii="宋体" w:hAnsi="宋体" w:cs="宋体"/>
                <w:szCs w:val="21"/>
              </w:rPr>
              <w:t>1.项目重点难点分析</w:t>
            </w:r>
            <w:r>
              <w:rPr>
                <w:rFonts w:hint="eastAsia"/>
              </w:rPr>
              <w:t>。</w:t>
            </w:r>
          </w:p>
          <w:p w14:paraId="564E7355">
            <w:pPr>
              <w:wordWrap w:val="0"/>
              <w:rPr>
                <w:rFonts w:ascii="宋体" w:hAnsi="宋体" w:cs="宋体"/>
                <w:szCs w:val="21"/>
              </w:rPr>
            </w:pPr>
            <w:r>
              <w:rPr>
                <w:rFonts w:hint="eastAsia" w:ascii="宋体" w:hAnsi="宋体" w:cs="宋体"/>
                <w:szCs w:val="21"/>
              </w:rPr>
              <w:t>2.针对重、难点的相关应对措施。</w:t>
            </w:r>
          </w:p>
          <w:p w14:paraId="769EF0FC">
            <w:pPr>
              <w:wordWrap w:val="0"/>
              <w:rPr>
                <w:rFonts w:ascii="宋体" w:hAnsi="宋体" w:cs="宋体"/>
                <w:szCs w:val="21"/>
              </w:rPr>
            </w:pPr>
            <w:r>
              <w:rPr>
                <w:rFonts w:hint="eastAsia" w:ascii="宋体" w:hAnsi="宋体" w:cs="宋体"/>
                <w:szCs w:val="21"/>
              </w:rPr>
              <w:t>3.日常服务的合理化建议。</w:t>
            </w:r>
          </w:p>
          <w:p w14:paraId="17CD3AC9">
            <w:pPr>
              <w:jc w:val="left"/>
              <w:rPr>
                <w:rFonts w:ascii="宋体" w:hAnsi="宋体"/>
                <w:szCs w:val="21"/>
              </w:rPr>
            </w:pPr>
            <w:r>
              <w:rPr>
                <w:rFonts w:hint="eastAsia" w:ascii="宋体" w:hAnsi="宋体" w:cs="宋体"/>
                <w:szCs w:val="21"/>
              </w:rPr>
              <w:t>提供以上3点内容得3分，</w:t>
            </w:r>
            <w:r>
              <w:rPr>
                <w:rFonts w:hint="eastAsia" w:ascii="宋体" w:hAnsi="宋体"/>
                <w:szCs w:val="21"/>
              </w:rPr>
              <w:t>缺项不得分。在此基础上，专家根据内容的合理性进行评分:</w:t>
            </w:r>
          </w:p>
          <w:p w14:paraId="519CC817">
            <w:pPr>
              <w:wordWrap w:val="0"/>
              <w:rPr>
                <w:rFonts w:ascii="宋体" w:hAnsi="宋体" w:cs="宋体"/>
                <w:szCs w:val="21"/>
              </w:rPr>
            </w:pPr>
            <w:r>
              <w:rPr>
                <w:rFonts w:hint="eastAsia" w:ascii="宋体" w:hAnsi="宋体" w:cs="宋体"/>
                <w:szCs w:val="21"/>
              </w:rPr>
              <w:t>优评分标准:方案符合实际、完整、规范、思路清晰，内容合理性强。</w:t>
            </w:r>
          </w:p>
          <w:p w14:paraId="1124D7C5">
            <w:pPr>
              <w:wordWrap w:val="0"/>
              <w:rPr>
                <w:rFonts w:ascii="宋体" w:hAnsi="宋体" w:cs="宋体"/>
                <w:szCs w:val="21"/>
              </w:rPr>
            </w:pPr>
            <w:r>
              <w:rPr>
                <w:rFonts w:hint="eastAsia" w:ascii="宋体" w:hAnsi="宋体" w:cs="宋体"/>
                <w:szCs w:val="21"/>
              </w:rPr>
              <w:t>良评分标准:方案较符合实际、较完整规范、思路较清晰，内容合理性较强。</w:t>
            </w:r>
          </w:p>
          <w:p w14:paraId="492BD47C">
            <w:pPr>
              <w:wordWrap w:val="0"/>
              <w:rPr>
                <w:rFonts w:ascii="宋体" w:hAnsi="宋体" w:cs="宋体"/>
                <w:szCs w:val="21"/>
              </w:rPr>
            </w:pPr>
            <w:r>
              <w:rPr>
                <w:rFonts w:hint="eastAsia" w:ascii="宋体" w:hAnsi="宋体" w:cs="宋体"/>
                <w:szCs w:val="21"/>
              </w:rPr>
              <w:t>中评分标准方案较普通、完整性、规范性-般，思路不够清晰，内容合理性般。</w:t>
            </w:r>
          </w:p>
          <w:p w14:paraId="20308F85">
            <w:pPr>
              <w:wordWrap w:val="0"/>
              <w:rPr>
                <w:rFonts w:ascii="宋体" w:hAnsi="宋体" w:cs="宋体"/>
                <w:szCs w:val="21"/>
              </w:rPr>
            </w:pPr>
            <w:r>
              <w:rPr>
                <w:rFonts w:hint="eastAsia" w:ascii="宋体" w:hAnsi="宋体" w:cs="宋体"/>
                <w:szCs w:val="21"/>
              </w:rPr>
              <w:t>差评分标准:方案不完整、不规范，思路不清晰，内容合理性较差或末提供。</w:t>
            </w:r>
          </w:p>
          <w:p w14:paraId="583D8EF1">
            <w:pPr>
              <w:wordWrap w:val="0"/>
              <w:rPr>
                <w:rFonts w:ascii="宋体" w:hAnsi="宋体" w:cs="宋体"/>
                <w:szCs w:val="21"/>
              </w:rPr>
            </w:pPr>
            <w:r>
              <w:rPr>
                <w:rFonts w:hint="eastAsia" w:ascii="宋体" w:hAnsi="宋体" w:cs="宋体"/>
                <w:szCs w:val="21"/>
              </w:rPr>
              <w:t>评价为优得 5分；</w:t>
            </w:r>
          </w:p>
          <w:p w14:paraId="29687737">
            <w:pPr>
              <w:wordWrap w:val="0"/>
              <w:rPr>
                <w:rFonts w:ascii="宋体" w:hAnsi="宋体" w:cs="宋体"/>
                <w:szCs w:val="21"/>
              </w:rPr>
            </w:pPr>
            <w:r>
              <w:rPr>
                <w:rFonts w:hint="eastAsia" w:ascii="宋体" w:hAnsi="宋体" w:cs="宋体"/>
                <w:szCs w:val="21"/>
              </w:rPr>
              <w:t>评价为良得 3分；</w:t>
            </w:r>
          </w:p>
          <w:p w14:paraId="5A367E4F">
            <w:pPr>
              <w:wordWrap w:val="0"/>
              <w:rPr>
                <w:rFonts w:ascii="宋体" w:hAnsi="宋体" w:cs="宋体"/>
                <w:szCs w:val="21"/>
              </w:rPr>
            </w:pPr>
            <w:r>
              <w:rPr>
                <w:rFonts w:hint="eastAsia" w:ascii="宋体" w:hAnsi="宋体" w:cs="宋体"/>
                <w:szCs w:val="21"/>
              </w:rPr>
              <w:t>评价为中得 2分；</w:t>
            </w:r>
          </w:p>
          <w:p w14:paraId="0C80F4E2">
            <w:pPr>
              <w:pStyle w:val="32"/>
              <w:ind w:left="0" w:leftChars="0" w:firstLine="0" w:firstLineChars="0"/>
            </w:pPr>
            <w:r>
              <w:rPr>
                <w:rFonts w:hint="eastAsia" w:ascii="宋体" w:hAnsi="宋体"/>
                <w:szCs w:val="21"/>
              </w:rPr>
              <w:t>评价为差不得分。如评审为差，评审专家须书面说明理由，并记录在档。</w:t>
            </w:r>
          </w:p>
        </w:tc>
      </w:tr>
      <w:tr w14:paraId="1B49E0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16798D7A">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760B58A">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tcPr>
          <w:p w14:paraId="1EDFAA17">
            <w:pPr>
              <w:wordWrap w:val="0"/>
              <w:rPr>
                <w:rFonts w:ascii="宋体" w:hAnsi="宋体" w:cs="宋体"/>
                <w:szCs w:val="21"/>
              </w:rPr>
            </w:pPr>
            <w:r>
              <w:rPr>
                <w:szCs w:val="21"/>
              </w:rPr>
              <w:t>质量保障措施及方案</w:t>
            </w:r>
          </w:p>
        </w:tc>
        <w:tc>
          <w:tcPr>
            <w:tcW w:w="974" w:type="dxa"/>
            <w:tcBorders>
              <w:top w:val="single" w:color="000000" w:sz="8" w:space="0"/>
              <w:left w:val="single" w:color="000000" w:sz="8" w:space="0"/>
              <w:bottom w:val="single" w:color="000000" w:sz="8" w:space="0"/>
              <w:right w:val="single" w:color="000000" w:sz="8" w:space="0"/>
            </w:tcBorders>
          </w:tcPr>
          <w:p w14:paraId="15286B87">
            <w:pPr>
              <w:widowControl/>
              <w:jc w:val="left"/>
              <w:rPr>
                <w:rFonts w:ascii="Calibri" w:hAnsi="Calibri" w:cs="宋体"/>
                <w:szCs w:val="22"/>
              </w:rPr>
            </w:pPr>
            <w:r>
              <w:rPr>
                <w:rFonts w:hint="eastAsia" w:ascii="Calibri" w:hAnsi="Calibri" w:cs="宋体"/>
                <w:szCs w:val="22"/>
              </w:rPr>
              <w:t>9</w:t>
            </w:r>
          </w:p>
        </w:tc>
        <w:tc>
          <w:tcPr>
            <w:tcW w:w="4197" w:type="dxa"/>
            <w:tcBorders>
              <w:top w:val="single" w:color="000000" w:sz="8" w:space="0"/>
              <w:left w:val="single" w:color="000000" w:sz="8" w:space="0"/>
              <w:bottom w:val="single" w:color="000000" w:sz="8" w:space="0"/>
              <w:right w:val="single" w:color="000000" w:sz="8" w:space="0"/>
            </w:tcBorders>
          </w:tcPr>
          <w:p w14:paraId="5C0BEAF6">
            <w:r>
              <w:rPr>
                <w:rFonts w:hint="eastAsia"/>
              </w:rPr>
              <w:t>（一）评分内容：</w:t>
            </w:r>
          </w:p>
          <w:p w14:paraId="0EA3F295">
            <w:pPr>
              <w:wordWrap w:val="0"/>
              <w:rPr>
                <w:rFonts w:ascii="宋体" w:hAnsi="宋体" w:cs="宋体"/>
                <w:szCs w:val="21"/>
              </w:rPr>
            </w:pPr>
            <w:r>
              <w:rPr>
                <w:rFonts w:hint="eastAsia" w:ascii="宋体" w:hAnsi="宋体" w:cs="宋体"/>
                <w:szCs w:val="21"/>
              </w:rPr>
              <w:t>考察针对本项目的质量保障措施及方案，方案内容包括以下内容:</w:t>
            </w:r>
          </w:p>
          <w:p w14:paraId="3F7C4E1C">
            <w:pPr>
              <w:wordWrap w:val="0"/>
              <w:rPr>
                <w:rFonts w:ascii="宋体" w:hAnsi="宋体" w:cs="宋体"/>
                <w:szCs w:val="21"/>
              </w:rPr>
            </w:pPr>
            <w:r>
              <w:rPr>
                <w:rFonts w:hint="eastAsia" w:ascii="宋体" w:hAnsi="宋体" w:cs="宋体"/>
                <w:szCs w:val="21"/>
              </w:rPr>
              <w:t>1.食品安全管理措施及方案。</w:t>
            </w:r>
          </w:p>
          <w:p w14:paraId="3511F57F">
            <w:pPr>
              <w:wordWrap w:val="0"/>
              <w:rPr>
                <w:rFonts w:ascii="宋体" w:hAnsi="宋体" w:cs="宋体"/>
                <w:szCs w:val="21"/>
              </w:rPr>
            </w:pPr>
            <w:r>
              <w:rPr>
                <w:rFonts w:hint="eastAsia" w:ascii="宋体" w:hAnsi="宋体" w:cs="宋体"/>
                <w:szCs w:val="21"/>
              </w:rPr>
              <w:t>2.服务、人员保障措施。</w:t>
            </w:r>
          </w:p>
          <w:p w14:paraId="4913BC83">
            <w:pPr>
              <w:wordWrap w:val="0"/>
              <w:rPr>
                <w:rFonts w:ascii="宋体" w:hAnsi="宋体" w:cs="宋体"/>
                <w:szCs w:val="21"/>
              </w:rPr>
            </w:pPr>
            <w:r>
              <w:rPr>
                <w:rFonts w:hint="eastAsia" w:ascii="宋体" w:hAnsi="宋体" w:cs="宋体"/>
                <w:szCs w:val="21"/>
              </w:rPr>
              <w:t>3.应急突发事件预案。</w:t>
            </w:r>
          </w:p>
          <w:p w14:paraId="274FCB3A">
            <w:pPr>
              <w:jc w:val="left"/>
              <w:rPr>
                <w:rFonts w:ascii="宋体" w:hAnsi="宋体"/>
                <w:szCs w:val="21"/>
              </w:rPr>
            </w:pPr>
            <w:r>
              <w:rPr>
                <w:rFonts w:hint="eastAsia" w:ascii="宋体" w:hAnsi="宋体" w:cs="宋体"/>
                <w:szCs w:val="21"/>
              </w:rPr>
              <w:t>提供以上 3点内容得6分，</w:t>
            </w:r>
            <w:r>
              <w:rPr>
                <w:rFonts w:hint="eastAsia" w:ascii="宋体" w:hAnsi="宋体"/>
                <w:szCs w:val="21"/>
              </w:rPr>
              <w:t>缺项不得分。在此基础上，专家根据内容的合理性进行评分:</w:t>
            </w:r>
          </w:p>
          <w:p w14:paraId="5CAA829C">
            <w:pPr>
              <w:wordWrap w:val="0"/>
              <w:rPr>
                <w:rFonts w:ascii="宋体" w:hAnsi="宋体" w:cs="宋体"/>
                <w:szCs w:val="21"/>
              </w:rPr>
            </w:pPr>
            <w:r>
              <w:rPr>
                <w:rFonts w:hint="eastAsia" w:ascii="宋体" w:hAnsi="宋体" w:cs="宋体"/>
                <w:szCs w:val="21"/>
              </w:rPr>
              <w:t>优评分标准:方案符合实际、完整、规范、思路清晰，内容合理性强。</w:t>
            </w:r>
          </w:p>
          <w:p w14:paraId="229F6238">
            <w:pPr>
              <w:wordWrap w:val="0"/>
              <w:rPr>
                <w:rFonts w:ascii="宋体" w:hAnsi="宋体" w:cs="宋体"/>
                <w:szCs w:val="21"/>
              </w:rPr>
            </w:pPr>
            <w:r>
              <w:rPr>
                <w:rFonts w:hint="eastAsia" w:ascii="宋体" w:hAnsi="宋体" w:cs="宋体"/>
                <w:szCs w:val="21"/>
              </w:rPr>
              <w:t>良评分标准:方案较符合实际、较完整规范、思路较清晰，内容合理性较强。</w:t>
            </w:r>
          </w:p>
          <w:p w14:paraId="4A1DBCF2">
            <w:pPr>
              <w:wordWrap w:val="0"/>
              <w:rPr>
                <w:rFonts w:ascii="宋体" w:hAnsi="宋体" w:cs="宋体"/>
                <w:szCs w:val="21"/>
              </w:rPr>
            </w:pPr>
            <w:r>
              <w:rPr>
                <w:rFonts w:hint="eastAsia" w:ascii="宋体" w:hAnsi="宋体" w:cs="宋体"/>
                <w:szCs w:val="21"/>
              </w:rPr>
              <w:t>中评分标准方案较普通、完整性、规范性-般，思路不够清晰，内容合理性般。</w:t>
            </w:r>
          </w:p>
          <w:p w14:paraId="3DA30710">
            <w:pPr>
              <w:wordWrap w:val="0"/>
              <w:rPr>
                <w:rFonts w:ascii="宋体" w:hAnsi="宋体" w:cs="宋体"/>
                <w:szCs w:val="21"/>
              </w:rPr>
            </w:pPr>
            <w:r>
              <w:rPr>
                <w:rFonts w:hint="eastAsia" w:ascii="宋体" w:hAnsi="宋体" w:cs="宋体"/>
                <w:szCs w:val="21"/>
              </w:rPr>
              <w:t>差评分标准:方案不完整、不规范，思路不清晰，内容合理性较差或末提供。</w:t>
            </w:r>
          </w:p>
          <w:p w14:paraId="56BE25F1">
            <w:pPr>
              <w:wordWrap w:val="0"/>
              <w:rPr>
                <w:rFonts w:ascii="宋体" w:hAnsi="宋体" w:cs="宋体"/>
                <w:szCs w:val="21"/>
              </w:rPr>
            </w:pPr>
            <w:r>
              <w:rPr>
                <w:rFonts w:hint="eastAsia" w:ascii="宋体" w:hAnsi="宋体" w:cs="宋体"/>
                <w:szCs w:val="21"/>
              </w:rPr>
              <w:t>评价为优得 3分；</w:t>
            </w:r>
          </w:p>
          <w:p w14:paraId="58145C7F">
            <w:pPr>
              <w:wordWrap w:val="0"/>
              <w:rPr>
                <w:rFonts w:ascii="宋体" w:hAnsi="宋体" w:cs="宋体"/>
                <w:szCs w:val="21"/>
              </w:rPr>
            </w:pPr>
            <w:r>
              <w:rPr>
                <w:rFonts w:hint="eastAsia" w:ascii="宋体" w:hAnsi="宋体" w:cs="宋体"/>
                <w:szCs w:val="21"/>
              </w:rPr>
              <w:t>评价为良得 2分;</w:t>
            </w:r>
          </w:p>
          <w:p w14:paraId="047295E7">
            <w:pPr>
              <w:wordWrap w:val="0"/>
              <w:rPr>
                <w:rFonts w:ascii="宋体" w:hAnsi="宋体" w:cs="宋体"/>
                <w:szCs w:val="21"/>
              </w:rPr>
            </w:pPr>
            <w:r>
              <w:rPr>
                <w:rFonts w:hint="eastAsia" w:ascii="宋体" w:hAnsi="宋体" w:cs="宋体"/>
                <w:szCs w:val="21"/>
              </w:rPr>
              <w:t>评价为中得 1分;</w:t>
            </w:r>
          </w:p>
          <w:p w14:paraId="1105910C">
            <w:pPr>
              <w:widowControl/>
              <w:jc w:val="left"/>
              <w:rPr>
                <w:rFonts w:ascii="宋体" w:hAnsi="宋体"/>
                <w:color w:val="FF0000"/>
              </w:rPr>
            </w:pPr>
            <w:r>
              <w:rPr>
                <w:rFonts w:hint="eastAsia" w:ascii="宋体" w:hAnsi="宋体"/>
                <w:szCs w:val="21"/>
              </w:rPr>
              <w:t>评价为差不得分。</w:t>
            </w:r>
          </w:p>
        </w:tc>
      </w:tr>
      <w:tr w14:paraId="7EACBE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1D7DD4A3">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4747A205">
            <w:pPr>
              <w:wordWrap w:val="0"/>
              <w:jc w:val="center"/>
              <w:rPr>
                <w:rFonts w:ascii="宋体" w:hAnsi="宋体" w:cs="宋体"/>
                <w:szCs w:val="21"/>
              </w:rPr>
            </w:pPr>
            <w:r>
              <w:rPr>
                <w:rFonts w:hint="eastAsia"/>
                <w:szCs w:val="21"/>
              </w:rPr>
              <w:t>4</w:t>
            </w:r>
          </w:p>
        </w:tc>
        <w:tc>
          <w:tcPr>
            <w:tcW w:w="2543" w:type="dxa"/>
            <w:tcBorders>
              <w:top w:val="single" w:color="000000" w:sz="8" w:space="0"/>
              <w:left w:val="single" w:color="000000" w:sz="8" w:space="0"/>
              <w:bottom w:val="single" w:color="000000" w:sz="8" w:space="0"/>
              <w:right w:val="single" w:color="000000" w:sz="8" w:space="0"/>
            </w:tcBorders>
          </w:tcPr>
          <w:p w14:paraId="0CDFB9BE">
            <w:pPr>
              <w:widowControl/>
              <w:jc w:val="left"/>
              <w:rPr>
                <w:rFonts w:ascii="Calibri" w:hAnsi="Calibri" w:cs="宋体"/>
                <w:szCs w:val="22"/>
              </w:rPr>
            </w:pPr>
            <w:r>
              <w:rPr>
                <w:szCs w:val="21"/>
              </w:rPr>
              <w:t>项目完成（服务期满）后的服务承诺</w:t>
            </w:r>
          </w:p>
        </w:tc>
        <w:tc>
          <w:tcPr>
            <w:tcW w:w="974" w:type="dxa"/>
            <w:tcBorders>
              <w:top w:val="single" w:color="000000" w:sz="8" w:space="0"/>
              <w:left w:val="single" w:color="000000" w:sz="8" w:space="0"/>
              <w:bottom w:val="single" w:color="000000" w:sz="8" w:space="0"/>
              <w:right w:val="single" w:color="000000" w:sz="8" w:space="0"/>
            </w:tcBorders>
          </w:tcPr>
          <w:p w14:paraId="34E76D04">
            <w:pPr>
              <w:widowControl/>
              <w:jc w:val="left"/>
              <w:rPr>
                <w:rFonts w:ascii="Calibri" w:hAnsi="Calibri" w:cs="宋体"/>
                <w:szCs w:val="22"/>
              </w:rPr>
            </w:pPr>
            <w:r>
              <w:rPr>
                <w:rFonts w:hint="eastAsia" w:ascii="Calibri" w:hAnsi="Calibri" w:cs="宋体"/>
                <w:szCs w:val="22"/>
              </w:rPr>
              <w:t>3</w:t>
            </w:r>
          </w:p>
        </w:tc>
        <w:tc>
          <w:tcPr>
            <w:tcW w:w="4197" w:type="dxa"/>
            <w:tcBorders>
              <w:top w:val="single" w:color="000000" w:sz="8" w:space="0"/>
              <w:left w:val="single" w:color="000000" w:sz="8" w:space="0"/>
              <w:bottom w:val="single" w:color="000000" w:sz="8" w:space="0"/>
              <w:right w:val="single" w:color="000000" w:sz="8" w:space="0"/>
            </w:tcBorders>
          </w:tcPr>
          <w:p w14:paraId="5AF8F82E">
            <w:r>
              <w:rPr>
                <w:rFonts w:hint="eastAsia"/>
              </w:rPr>
              <w:t>（一）评分内容：</w:t>
            </w:r>
          </w:p>
          <w:p w14:paraId="34A9DD59">
            <w:pPr>
              <w:wordWrap w:val="0"/>
              <w:rPr>
                <w:rFonts w:ascii="宋体" w:hAnsi="宋体" w:cs="宋体"/>
                <w:szCs w:val="21"/>
              </w:rPr>
            </w:pPr>
            <w:r>
              <w:rPr>
                <w:rFonts w:hint="eastAsia" w:ascii="宋体" w:hAnsi="宋体" w:cs="宋体"/>
                <w:szCs w:val="21"/>
              </w:rPr>
              <w:t>1.服务期满后主动离岗。</w:t>
            </w:r>
          </w:p>
          <w:p w14:paraId="08C5BB5B">
            <w:pPr>
              <w:wordWrap w:val="0"/>
              <w:rPr>
                <w:rFonts w:ascii="宋体" w:hAnsi="宋体" w:cs="宋体"/>
                <w:szCs w:val="21"/>
              </w:rPr>
            </w:pPr>
            <w:r>
              <w:rPr>
                <w:rFonts w:hint="eastAsia" w:ascii="宋体" w:hAnsi="宋体" w:cs="宋体"/>
                <w:szCs w:val="21"/>
              </w:rPr>
              <w:t>2.与后续服务公司进行交接。</w:t>
            </w:r>
          </w:p>
          <w:p w14:paraId="52069850">
            <w:pPr>
              <w:wordWrap w:val="0"/>
              <w:rPr>
                <w:rFonts w:ascii="宋体" w:hAnsi="宋体" w:cs="宋体"/>
                <w:szCs w:val="21"/>
              </w:rPr>
            </w:pPr>
            <w:r>
              <w:rPr>
                <w:rFonts w:hint="eastAsia" w:ascii="宋体" w:hAnsi="宋体" w:cs="宋体"/>
                <w:szCs w:val="21"/>
              </w:rPr>
              <w:t>3.服务期满，后续服务公司未到位前仍按原合同服务承诺提供服务。</w:t>
            </w:r>
          </w:p>
          <w:p w14:paraId="7D7A5AEB">
            <w:r>
              <w:rPr>
                <w:rFonts w:hint="eastAsia"/>
              </w:rPr>
              <w:t>（二）评分依据：</w:t>
            </w:r>
          </w:p>
          <w:p w14:paraId="03F1E333">
            <w:pPr>
              <w:wordWrap w:val="0"/>
              <w:rPr>
                <w:szCs w:val="21"/>
              </w:rPr>
            </w:pPr>
            <w:r>
              <w:rPr>
                <w:rFonts w:hint="eastAsia" w:ascii="宋体" w:hAnsi="宋体" w:cs="宋体"/>
                <w:szCs w:val="21"/>
              </w:rPr>
              <w:t>投标人承诺以上全部三项的得3分，要求提供承诺（格式自定）作为得分依据，未提供承诺或承诺内容不满足要求不得分。</w:t>
            </w:r>
          </w:p>
        </w:tc>
      </w:tr>
      <w:tr w14:paraId="350CA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5D821264">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776C8C1">
            <w:pPr>
              <w:wordWrap w:val="0"/>
              <w:jc w:val="center"/>
              <w:rPr>
                <w:szCs w:val="21"/>
              </w:rPr>
            </w:pPr>
            <w:r>
              <w:rPr>
                <w:rFonts w:hint="eastAsia"/>
                <w:szCs w:val="21"/>
              </w:rPr>
              <w:t>5</w:t>
            </w:r>
          </w:p>
        </w:tc>
        <w:tc>
          <w:tcPr>
            <w:tcW w:w="2543" w:type="dxa"/>
            <w:tcBorders>
              <w:top w:val="single" w:color="000000" w:sz="8" w:space="0"/>
              <w:left w:val="single" w:color="000000" w:sz="8" w:space="0"/>
              <w:bottom w:val="single" w:color="000000" w:sz="8" w:space="0"/>
              <w:right w:val="single" w:color="000000" w:sz="8" w:space="0"/>
            </w:tcBorders>
          </w:tcPr>
          <w:p w14:paraId="6618E30A">
            <w:pPr>
              <w:wordWrap w:val="0"/>
              <w:rPr>
                <w:rFonts w:ascii="宋体" w:hAnsi="宋体"/>
                <w:color w:val="FF0000"/>
              </w:rPr>
            </w:pPr>
            <w:r>
              <w:rPr>
                <w:rFonts w:hint="eastAsia" w:ascii="宋体" w:hAnsi="宋体"/>
                <w:szCs w:val="21"/>
              </w:rPr>
              <w:t>拟安排的项目</w:t>
            </w:r>
            <w:r>
              <w:rPr>
                <w:rFonts w:hint="eastAsia"/>
                <w:szCs w:val="21"/>
              </w:rPr>
              <w:t>团队成员</w:t>
            </w:r>
          </w:p>
        </w:tc>
        <w:tc>
          <w:tcPr>
            <w:tcW w:w="974" w:type="dxa"/>
            <w:tcBorders>
              <w:top w:val="single" w:color="000000" w:sz="8" w:space="0"/>
              <w:left w:val="single" w:color="000000" w:sz="8" w:space="0"/>
              <w:bottom w:val="single" w:color="000000" w:sz="8" w:space="0"/>
              <w:right w:val="single" w:color="000000" w:sz="8" w:space="0"/>
            </w:tcBorders>
          </w:tcPr>
          <w:p w14:paraId="2C8D01BB">
            <w:pPr>
              <w:widowControl/>
              <w:jc w:val="left"/>
              <w:rPr>
                <w:rFonts w:ascii="Calibri" w:hAnsi="Calibri" w:cs="宋体"/>
                <w:szCs w:val="22"/>
              </w:rPr>
            </w:pPr>
            <w:r>
              <w:rPr>
                <w:rFonts w:hint="eastAsia" w:ascii="Calibri" w:hAnsi="Calibri" w:cs="宋体"/>
                <w:szCs w:val="22"/>
              </w:rPr>
              <w:t>20</w:t>
            </w:r>
          </w:p>
        </w:tc>
        <w:tc>
          <w:tcPr>
            <w:tcW w:w="4197" w:type="dxa"/>
            <w:tcBorders>
              <w:top w:val="single" w:color="000000" w:sz="8" w:space="0"/>
              <w:left w:val="single" w:color="000000" w:sz="8" w:space="0"/>
              <w:bottom w:val="single" w:color="000000" w:sz="8" w:space="0"/>
              <w:right w:val="single" w:color="000000" w:sz="8" w:space="0"/>
            </w:tcBorders>
          </w:tcPr>
          <w:p w14:paraId="70E5A153">
            <w:pPr>
              <w:rPr>
                <w:rFonts w:ascii="宋体" w:hAnsi="宋体"/>
                <w:szCs w:val="21"/>
              </w:rPr>
            </w:pPr>
            <w:r>
              <w:rPr>
                <w:rFonts w:hint="eastAsia" w:ascii="宋体" w:hAnsi="宋体"/>
                <w:szCs w:val="21"/>
              </w:rPr>
              <w:t>（一）评分内容：拟安排的项目团队成员须为投标人自有员工（以社保为准），否则本项不得分，在此基础上，对本项目拟安排人员能力进行评审：</w:t>
            </w:r>
          </w:p>
          <w:p w14:paraId="50991EFB">
            <w:pPr>
              <w:rPr>
                <w:rFonts w:ascii="宋体" w:hAnsi="宋体"/>
                <w:szCs w:val="21"/>
              </w:rPr>
            </w:pPr>
            <w:r>
              <w:rPr>
                <w:rFonts w:hint="eastAsia" w:ascii="宋体" w:hAnsi="宋体"/>
                <w:szCs w:val="21"/>
              </w:rPr>
              <w:t>1、中式烹饪师:</w:t>
            </w:r>
          </w:p>
          <w:p w14:paraId="3C6DBFB1">
            <w:pPr>
              <w:rPr>
                <w:rFonts w:ascii="宋体" w:hAnsi="宋体"/>
                <w:szCs w:val="21"/>
              </w:rPr>
            </w:pPr>
            <w:r>
              <w:rPr>
                <w:rFonts w:hint="eastAsia" w:ascii="宋体" w:hAnsi="宋体"/>
                <w:szCs w:val="21"/>
              </w:rPr>
              <w:t xml:space="preserve">（1）每提供一名具有中式烹饪师职业资格证书（一级）的得3分，最高不超过6分；                            </w:t>
            </w:r>
          </w:p>
          <w:p w14:paraId="7A7A5639">
            <w:pPr>
              <w:rPr>
                <w:rFonts w:ascii="宋体" w:hAnsi="宋体"/>
                <w:szCs w:val="21"/>
              </w:rPr>
            </w:pPr>
            <w:r>
              <w:rPr>
                <w:rFonts w:hint="eastAsia" w:ascii="宋体" w:hAnsi="宋体"/>
                <w:szCs w:val="21"/>
              </w:rPr>
              <w:t xml:space="preserve">（2）每提供一名具有中式烹饪师职业资格证书（二级）的得2分，最高不超过4分；                             </w:t>
            </w:r>
          </w:p>
          <w:p w14:paraId="6807B745">
            <w:pPr>
              <w:rPr>
                <w:rFonts w:ascii="宋体" w:hAnsi="宋体"/>
                <w:szCs w:val="21"/>
              </w:rPr>
            </w:pPr>
            <w:r>
              <w:rPr>
                <w:rFonts w:hint="eastAsia" w:ascii="宋体" w:hAnsi="宋体"/>
                <w:szCs w:val="21"/>
              </w:rPr>
              <w:t>（3）每提供一名具有中式烹饪师职业资格证书（三级）的得1分，最高不超过2分；</w:t>
            </w:r>
          </w:p>
          <w:p w14:paraId="3A8EA321">
            <w:pPr>
              <w:rPr>
                <w:rFonts w:ascii="宋体" w:hAnsi="宋体"/>
                <w:b/>
                <w:bCs/>
                <w:szCs w:val="21"/>
              </w:rPr>
            </w:pPr>
            <w:r>
              <w:rPr>
                <w:rFonts w:hint="eastAsia" w:ascii="宋体" w:hAnsi="宋体"/>
                <w:b/>
                <w:bCs/>
                <w:szCs w:val="21"/>
              </w:rPr>
              <w:t>以上（1）（2）（3）项同一人同时具有多个证书，不重复计分，按照分值较高的计一次分，本项最高得6分。</w:t>
            </w:r>
          </w:p>
          <w:p w14:paraId="46001B14">
            <w:pPr>
              <w:rPr>
                <w:rFonts w:ascii="宋体" w:hAnsi="宋体"/>
                <w:szCs w:val="21"/>
              </w:rPr>
            </w:pPr>
            <w:r>
              <w:rPr>
                <w:rFonts w:hint="eastAsia" w:ascii="宋体" w:hAnsi="宋体"/>
                <w:szCs w:val="21"/>
              </w:rPr>
              <w:t>2、中式面点师:</w:t>
            </w:r>
          </w:p>
          <w:p w14:paraId="3F885179">
            <w:pPr>
              <w:rPr>
                <w:rFonts w:ascii="宋体" w:hAnsi="宋体"/>
                <w:szCs w:val="21"/>
              </w:rPr>
            </w:pPr>
            <w:r>
              <w:rPr>
                <w:rFonts w:hint="eastAsia" w:ascii="宋体" w:hAnsi="宋体"/>
                <w:szCs w:val="21"/>
              </w:rPr>
              <w:t xml:space="preserve">（1）每提供一名具有中式面点师证书（一级）的得3分，最高不超过6分；                           </w:t>
            </w:r>
          </w:p>
          <w:p w14:paraId="711C842B">
            <w:pPr>
              <w:rPr>
                <w:rFonts w:ascii="宋体" w:hAnsi="宋体"/>
                <w:szCs w:val="21"/>
              </w:rPr>
            </w:pPr>
            <w:r>
              <w:rPr>
                <w:rFonts w:hint="eastAsia" w:ascii="宋体" w:hAnsi="宋体"/>
                <w:szCs w:val="21"/>
              </w:rPr>
              <w:t xml:space="preserve">（2）每提供一名具有中式面点师证书（二级）的得2分，最高不超过4分；                          </w:t>
            </w:r>
          </w:p>
          <w:p w14:paraId="5504C6CE">
            <w:pPr>
              <w:rPr>
                <w:rFonts w:ascii="宋体" w:hAnsi="宋体"/>
                <w:szCs w:val="21"/>
              </w:rPr>
            </w:pPr>
            <w:r>
              <w:rPr>
                <w:rFonts w:hint="eastAsia" w:ascii="宋体" w:hAnsi="宋体"/>
                <w:szCs w:val="21"/>
              </w:rPr>
              <w:t>（3）每提供一名具有中式面点师证书（三级）的得1分，最高不超过2分；</w:t>
            </w:r>
          </w:p>
          <w:p w14:paraId="0ECECDE9">
            <w:pPr>
              <w:rPr>
                <w:rFonts w:ascii="宋体" w:hAnsi="宋体"/>
                <w:b/>
                <w:bCs/>
                <w:szCs w:val="21"/>
              </w:rPr>
            </w:pPr>
            <w:r>
              <w:rPr>
                <w:rFonts w:hint="eastAsia" w:ascii="宋体" w:hAnsi="宋体"/>
                <w:b/>
                <w:bCs/>
                <w:szCs w:val="21"/>
              </w:rPr>
              <w:t>以上（1）（2）（3）项同一人同时具有多个证书，不重复计分，按照分值较高的计一次分，本项最高得6分。</w:t>
            </w:r>
          </w:p>
          <w:p w14:paraId="36753049">
            <w:pPr>
              <w:rPr>
                <w:rFonts w:ascii="宋体" w:hAnsi="宋体"/>
                <w:szCs w:val="21"/>
              </w:rPr>
            </w:pPr>
            <w:r>
              <w:rPr>
                <w:rFonts w:hint="eastAsia" w:ascii="宋体" w:hAnsi="宋体"/>
                <w:szCs w:val="21"/>
              </w:rPr>
              <w:t>3、具有中级食品安全管理人员考试合格证明的得2分；</w:t>
            </w:r>
          </w:p>
          <w:p w14:paraId="4FACE315">
            <w:pPr>
              <w:rPr>
                <w:rFonts w:ascii="宋体" w:hAnsi="宋体"/>
                <w:szCs w:val="21"/>
              </w:rPr>
            </w:pPr>
            <w:r>
              <w:rPr>
                <w:rFonts w:hint="eastAsia" w:ascii="宋体" w:hAnsi="宋体"/>
                <w:szCs w:val="21"/>
              </w:rPr>
              <w:t>4、具有公共营养师证书的得2分；</w:t>
            </w:r>
          </w:p>
          <w:p w14:paraId="3DC5F591">
            <w:pPr>
              <w:rPr>
                <w:rFonts w:ascii="宋体" w:hAnsi="宋体"/>
                <w:szCs w:val="21"/>
              </w:rPr>
            </w:pPr>
            <w:r>
              <w:rPr>
                <w:rFonts w:hint="eastAsia" w:ascii="宋体" w:hAnsi="宋体"/>
                <w:szCs w:val="21"/>
              </w:rPr>
              <w:t>5、具有人力资源管理师证书的得2分；</w:t>
            </w:r>
          </w:p>
          <w:p w14:paraId="07FC9F23">
            <w:pPr>
              <w:rPr>
                <w:rFonts w:ascii="宋体" w:hAnsi="宋体"/>
                <w:szCs w:val="21"/>
              </w:rPr>
            </w:pPr>
            <w:r>
              <w:rPr>
                <w:rFonts w:hint="eastAsia" w:ascii="宋体" w:hAnsi="宋体"/>
                <w:szCs w:val="21"/>
              </w:rPr>
              <w:t>6、具有食品检验员四级（或以上）证书的得2分。</w:t>
            </w:r>
          </w:p>
          <w:p w14:paraId="610DE271">
            <w:pPr>
              <w:rPr>
                <w:rFonts w:ascii="宋体" w:hAnsi="宋体" w:cs="仿宋"/>
                <w:szCs w:val="21"/>
              </w:rPr>
            </w:pPr>
            <w:r>
              <w:rPr>
                <w:rFonts w:hint="eastAsia" w:ascii="宋体" w:hAnsi="宋体"/>
                <w:szCs w:val="21"/>
              </w:rPr>
              <w:t>以上6项累计得分，最高得20分。</w:t>
            </w:r>
            <w:r>
              <w:rPr>
                <w:rFonts w:hint="eastAsia" w:ascii="宋体" w:hAnsi="宋体" w:cs="仿宋"/>
                <w:szCs w:val="21"/>
              </w:rPr>
              <w:t xml:space="preserve"> </w:t>
            </w:r>
          </w:p>
          <w:p w14:paraId="345D290D">
            <w:pPr>
              <w:rPr>
                <w:szCs w:val="21"/>
              </w:rPr>
            </w:pPr>
            <w:r>
              <w:rPr>
                <w:szCs w:val="21"/>
              </w:rPr>
              <w:t>（二）评分依据：</w:t>
            </w:r>
          </w:p>
          <w:p w14:paraId="25CA5989">
            <w:pPr>
              <w:pStyle w:val="15"/>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项目主要团队成员必须为投标企业自有员工，</w:t>
            </w: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r>
              <w:rPr>
                <w:rFonts w:hint="eastAsia" w:ascii="宋体" w:hAnsi="宋体" w:cs="宋体"/>
                <w:szCs w:val="21"/>
              </w:rPr>
              <w:t>原件备查。</w:t>
            </w:r>
          </w:p>
          <w:p w14:paraId="4EF3D348">
            <w:pPr>
              <w:rPr>
                <w:rFonts w:ascii="新宋体" w:hAnsi="新宋体" w:eastAsia="新宋体" w:cs="宋体"/>
                <w:szCs w:val="21"/>
              </w:rPr>
            </w:pPr>
            <w:r>
              <w:rPr>
                <w:rFonts w:hint="eastAsia" w:ascii="新宋体" w:hAnsi="新宋体" w:eastAsia="新宋体" w:cs="宋体"/>
                <w:szCs w:val="21"/>
              </w:rPr>
              <w:t>2</w:t>
            </w:r>
            <w:r>
              <w:rPr>
                <w:rFonts w:ascii="新宋体" w:hAnsi="新宋体" w:eastAsia="新宋体" w:cs="宋体"/>
                <w:szCs w:val="21"/>
              </w:rPr>
              <w:t>.</w:t>
            </w:r>
            <w:r>
              <w:rPr>
                <w:rFonts w:hint="eastAsia" w:ascii="新宋体" w:hAnsi="新宋体" w:eastAsia="新宋体" w:cs="宋体"/>
                <w:szCs w:val="21"/>
              </w:rPr>
              <w:t>提供相关证书扫描件，否则不得分。</w:t>
            </w:r>
          </w:p>
          <w:p w14:paraId="724D098C">
            <w:pPr>
              <w:pStyle w:val="32"/>
              <w:ind w:left="0" w:leftChars="0" w:firstLine="0" w:firstLineChars="0"/>
              <w:rPr>
                <w:rFonts w:eastAsia="新宋体"/>
              </w:rPr>
            </w:pPr>
            <w:r>
              <w:rPr>
                <w:rFonts w:hint="eastAsia" w:ascii="新宋体" w:hAnsi="新宋体" w:eastAsia="新宋体" w:cs="宋体"/>
                <w:szCs w:val="21"/>
              </w:rPr>
              <w:t>3.</w:t>
            </w:r>
            <w:r>
              <w:rPr>
                <w:rFonts w:hint="eastAsia"/>
              </w:rPr>
              <w:t>若由行业协会</w:t>
            </w:r>
            <w:r>
              <w:rPr>
                <w:rFonts w:hint="eastAsia"/>
                <w:bCs/>
              </w:rPr>
              <w:t>/社会组织</w:t>
            </w:r>
            <w:r>
              <w:rPr>
                <w:rFonts w:hint="eastAsia"/>
              </w:rPr>
              <w:t>发证的，还需提供该行业协会</w:t>
            </w:r>
            <w:r>
              <w:rPr>
                <w:rFonts w:hint="eastAsia"/>
                <w:bCs/>
              </w:rPr>
              <w:t>/社会组织</w:t>
            </w:r>
            <w:r>
              <w:rPr>
                <w:rFonts w:hint="eastAsia"/>
              </w:rPr>
              <w:t>在中国社会组织政务服务平台查询正常截图（</w:t>
            </w:r>
            <w:r>
              <w:t>https://chinanpo.mca.gov.cn</w:t>
            </w:r>
            <w:r>
              <w:rPr>
                <w:rFonts w:hint="eastAsia"/>
              </w:rPr>
              <w:t>）。相关证书在公开渠道无法查询的，需提供颁发部门或者监管机构的证明材料，证明证书真实有效且为合法机构颁发。</w:t>
            </w:r>
          </w:p>
          <w:p w14:paraId="7805B512">
            <w:pPr>
              <w:pStyle w:val="32"/>
              <w:ind w:left="0" w:leftChars="0" w:firstLine="0" w:firstLineChars="0"/>
              <w:rPr>
                <w:rFonts w:ascii="Calibri" w:hAnsi="Calibri" w:cs="宋体"/>
                <w:szCs w:val="22"/>
              </w:rPr>
            </w:pPr>
            <w:r>
              <w:rPr>
                <w:rFonts w:hint="eastAsia"/>
              </w:rPr>
              <w:t>备注：以上资料均要求提供扫描件，评分中出现无证明资料或证书过期或专家无法凭所提供资料判断是否得分的情况，一律作不得分处理。</w:t>
            </w:r>
          </w:p>
        </w:tc>
      </w:tr>
      <w:tr w14:paraId="0019E5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6" w:hRule="atLeast"/>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6A844C5A">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2EB1EE37">
            <w:pPr>
              <w:wordWrap w:val="0"/>
              <w:jc w:val="center"/>
              <w:rPr>
                <w:szCs w:val="21"/>
              </w:rPr>
            </w:pPr>
            <w:r>
              <w:rPr>
                <w:rFonts w:hint="eastAsia"/>
                <w:szCs w:val="21"/>
              </w:rPr>
              <w:t>6</w:t>
            </w:r>
          </w:p>
        </w:tc>
        <w:tc>
          <w:tcPr>
            <w:tcW w:w="2543" w:type="dxa"/>
            <w:tcBorders>
              <w:top w:val="single" w:color="000000" w:sz="8" w:space="0"/>
              <w:left w:val="single" w:color="000000" w:sz="8" w:space="0"/>
              <w:bottom w:val="single" w:color="000000" w:sz="8" w:space="0"/>
              <w:right w:val="single" w:color="000000" w:sz="8" w:space="0"/>
            </w:tcBorders>
          </w:tcPr>
          <w:p w14:paraId="65103396">
            <w:pPr>
              <w:wordWrap w:val="0"/>
              <w:rPr>
                <w:szCs w:val="21"/>
              </w:rPr>
            </w:pPr>
            <w:r>
              <w:rPr>
                <w:rFonts w:hint="eastAsia" w:ascii="宋体" w:hAnsi="宋体" w:cs="宋体"/>
                <w:szCs w:val="21"/>
              </w:rPr>
              <w:t>违约承诺</w:t>
            </w:r>
          </w:p>
        </w:tc>
        <w:tc>
          <w:tcPr>
            <w:tcW w:w="974" w:type="dxa"/>
            <w:tcBorders>
              <w:top w:val="single" w:color="000000" w:sz="8" w:space="0"/>
              <w:left w:val="single" w:color="000000" w:sz="8" w:space="0"/>
              <w:bottom w:val="single" w:color="000000" w:sz="8" w:space="0"/>
              <w:right w:val="single" w:color="000000" w:sz="8" w:space="0"/>
            </w:tcBorders>
          </w:tcPr>
          <w:p w14:paraId="576DE992">
            <w:pPr>
              <w:widowControl/>
              <w:jc w:val="left"/>
              <w:rPr>
                <w:rFonts w:ascii="Calibri" w:hAnsi="Calibri" w:cs="宋体"/>
                <w:color w:val="FF0000"/>
                <w:szCs w:val="22"/>
              </w:rPr>
            </w:pPr>
            <w:r>
              <w:rPr>
                <w:rFonts w:hint="eastAsia" w:ascii="Calibri" w:hAnsi="Calibri" w:cs="宋体"/>
                <w:szCs w:val="21"/>
              </w:rPr>
              <w:t>3</w:t>
            </w:r>
          </w:p>
        </w:tc>
        <w:tc>
          <w:tcPr>
            <w:tcW w:w="4197" w:type="dxa"/>
            <w:tcBorders>
              <w:top w:val="single" w:color="000000" w:sz="8" w:space="0"/>
              <w:left w:val="single" w:color="000000" w:sz="8" w:space="0"/>
              <w:bottom w:val="single" w:color="000000" w:sz="8" w:space="0"/>
              <w:right w:val="single" w:color="000000" w:sz="8" w:space="0"/>
            </w:tcBorders>
          </w:tcPr>
          <w:p w14:paraId="59319FA4">
            <w:r>
              <w:rPr>
                <w:rFonts w:hint="eastAsia"/>
              </w:rPr>
              <w:t>（一）评分内容：</w:t>
            </w:r>
          </w:p>
          <w:p w14:paraId="7CCE3949">
            <w:pPr>
              <w:wordWrap w:val="0"/>
              <w:rPr>
                <w:rFonts w:ascii="宋体" w:hAnsi="宋体" w:cs="宋体"/>
                <w:szCs w:val="21"/>
              </w:rPr>
            </w:pPr>
            <w:r>
              <w:rPr>
                <w:rFonts w:hint="eastAsia" w:ascii="宋体" w:hAnsi="宋体" w:cs="宋体"/>
                <w:szCs w:val="21"/>
              </w:rPr>
              <w:t>1.人员严格按照招标文件及投标承诺配置；</w:t>
            </w:r>
          </w:p>
          <w:p w14:paraId="5C4D7F6D">
            <w:pPr>
              <w:wordWrap w:val="0"/>
              <w:rPr>
                <w:rFonts w:ascii="宋体" w:hAnsi="宋体" w:cs="宋体"/>
                <w:szCs w:val="21"/>
              </w:rPr>
            </w:pPr>
            <w:r>
              <w:rPr>
                <w:rFonts w:hint="eastAsia" w:ascii="宋体" w:hAnsi="宋体" w:cs="宋体"/>
                <w:szCs w:val="21"/>
              </w:rPr>
              <w:t>2.服务质量达到招标文件要求；</w:t>
            </w:r>
          </w:p>
          <w:p w14:paraId="2C66DF0E">
            <w:pPr>
              <w:wordWrap w:val="0"/>
              <w:rPr>
                <w:rFonts w:ascii="宋体" w:hAnsi="宋体" w:cs="宋体"/>
                <w:szCs w:val="21"/>
              </w:rPr>
            </w:pPr>
            <w:r>
              <w:rPr>
                <w:rFonts w:hint="eastAsia" w:ascii="宋体" w:hAnsi="宋体" w:cs="宋体"/>
                <w:szCs w:val="21"/>
              </w:rPr>
              <w:t>3.对未能达到的管理要求承担管理责任。</w:t>
            </w:r>
          </w:p>
          <w:p w14:paraId="54C99438">
            <w:r>
              <w:rPr>
                <w:rFonts w:hint="eastAsia"/>
              </w:rPr>
              <w:t>（二）评分依据：</w:t>
            </w:r>
          </w:p>
          <w:p w14:paraId="0F80081C">
            <w:pPr>
              <w:wordWrap w:val="0"/>
              <w:rPr>
                <w:b/>
              </w:rPr>
            </w:pPr>
            <w:r>
              <w:rPr>
                <w:rFonts w:hint="eastAsia" w:ascii="宋体" w:hAnsi="宋体" w:cs="宋体"/>
                <w:szCs w:val="21"/>
              </w:rPr>
              <w:t>投标人承诺以上全部三项的得3分，要求提供承诺（格式自定）作为得分依据，未提供承诺或承诺内容不满足要求不得分。</w:t>
            </w:r>
          </w:p>
        </w:tc>
      </w:tr>
      <w:tr w14:paraId="7E7159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restart"/>
            <w:tcBorders>
              <w:top w:val="single" w:color="000000" w:sz="8" w:space="0"/>
              <w:left w:val="single" w:color="000000" w:sz="8" w:space="0"/>
              <w:right w:val="single" w:color="000000" w:sz="8" w:space="0"/>
            </w:tcBorders>
          </w:tcPr>
          <w:p w14:paraId="0A936F45">
            <w:pPr>
              <w:wordWrap w:val="0"/>
              <w:jc w:val="center"/>
              <w:rPr>
                <w:rFonts w:ascii="宋体" w:hAnsi="宋体" w:cs="宋体"/>
                <w:b/>
                <w:bCs/>
                <w:color w:val="0000FF"/>
                <w:sz w:val="24"/>
              </w:rPr>
            </w:pPr>
            <w:r>
              <w:rPr>
                <w:b/>
                <w:bCs/>
                <w:color w:val="0000FF"/>
              </w:rPr>
              <w:t>3</w:t>
            </w:r>
          </w:p>
        </w:tc>
        <w:tc>
          <w:tcPr>
            <w:tcW w:w="4197" w:type="dxa"/>
            <w:gridSpan w:val="3"/>
            <w:tcBorders>
              <w:top w:val="single" w:color="000000" w:sz="8" w:space="0"/>
              <w:left w:val="single" w:color="000000" w:sz="8" w:space="0"/>
              <w:bottom w:val="single" w:color="000000" w:sz="8" w:space="0"/>
              <w:right w:val="single" w:color="000000" w:sz="8" w:space="0"/>
            </w:tcBorders>
          </w:tcPr>
          <w:p w14:paraId="6F2FCE08">
            <w:pPr>
              <w:wordWrap w:val="0"/>
              <w:jc w:val="center"/>
              <w:rPr>
                <w:rFonts w:ascii="宋体" w:hAnsi="宋体" w:cs="宋体"/>
                <w:b/>
                <w:bCs/>
                <w:color w:val="0000FF"/>
                <w:sz w:val="24"/>
              </w:rPr>
            </w:pPr>
            <w:r>
              <w:rPr>
                <w:rFonts w:hint="eastAsia"/>
                <w:b/>
                <w:bCs/>
                <w:color w:val="0000FF"/>
              </w:rPr>
              <w:t>综合实力部分</w:t>
            </w:r>
          </w:p>
        </w:tc>
        <w:tc>
          <w:tcPr>
            <w:tcW w:w="4197" w:type="dxa"/>
            <w:tcBorders>
              <w:top w:val="single" w:color="000000" w:sz="8" w:space="0"/>
              <w:left w:val="single" w:color="000000" w:sz="8" w:space="0"/>
              <w:bottom w:val="single" w:color="000000" w:sz="8" w:space="0"/>
              <w:right w:val="single" w:color="000000" w:sz="8" w:space="0"/>
            </w:tcBorders>
          </w:tcPr>
          <w:p w14:paraId="1EAAC824">
            <w:pPr>
              <w:wordWrap w:val="0"/>
              <w:jc w:val="center"/>
              <w:rPr>
                <w:rFonts w:ascii="宋体" w:hAnsi="宋体" w:cs="宋体"/>
                <w:b/>
                <w:bCs/>
                <w:color w:val="0000FF"/>
                <w:sz w:val="24"/>
              </w:rPr>
            </w:pPr>
            <w:r>
              <w:rPr>
                <w:rFonts w:hint="eastAsia" w:ascii="宋体" w:hAnsi="宋体" w:cs="宋体"/>
                <w:b/>
                <w:bCs/>
                <w:color w:val="0000FF"/>
                <w:sz w:val="24"/>
              </w:rPr>
              <w:t>39</w:t>
            </w:r>
          </w:p>
        </w:tc>
      </w:tr>
      <w:tr w14:paraId="5B8501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continue"/>
            <w:tcBorders>
              <w:left w:val="single" w:color="000000" w:sz="8" w:space="0"/>
              <w:right w:val="single" w:color="000000" w:sz="8" w:space="0"/>
            </w:tcBorders>
            <w:shd w:val="clear" w:color="auto" w:fill="auto"/>
            <w:vAlign w:val="center"/>
          </w:tcPr>
          <w:p w14:paraId="2F6C9EA7">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0C58B63">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839300D">
            <w:pPr>
              <w:wordWrap w:val="0"/>
              <w:jc w:val="center"/>
              <w:rPr>
                <w:rFonts w:ascii="宋体" w:hAnsi="宋体" w:cs="宋体"/>
                <w:szCs w:val="21"/>
              </w:rPr>
            </w:pPr>
            <w:r>
              <w:rPr>
                <w:rFonts w:hint="eastAsia"/>
                <w:szCs w:val="21"/>
              </w:rPr>
              <w:t>评分因素</w:t>
            </w:r>
          </w:p>
        </w:tc>
        <w:tc>
          <w:tcPr>
            <w:tcW w:w="97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5F4AE7D">
            <w:pPr>
              <w:wordWrap w:val="0"/>
              <w:jc w:val="center"/>
              <w:rPr>
                <w:rFonts w:ascii="宋体" w:hAnsi="宋体" w:cs="宋体"/>
                <w:szCs w:val="21"/>
              </w:rPr>
            </w:pPr>
            <w:r>
              <w:rPr>
                <w:rFonts w:hint="eastAsia"/>
                <w:szCs w:val="21"/>
              </w:rPr>
              <w:t>权重</w:t>
            </w:r>
          </w:p>
        </w:tc>
        <w:tc>
          <w:tcPr>
            <w:tcW w:w="419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29E2C66">
            <w:pPr>
              <w:jc w:val="center"/>
              <w:rPr>
                <w:rFonts w:ascii="宋体" w:hAnsi="宋体"/>
                <w:color w:val="FF0000"/>
              </w:rPr>
            </w:pPr>
            <w:r>
              <w:rPr>
                <w:rFonts w:hint="eastAsia"/>
                <w:szCs w:val="21"/>
              </w:rPr>
              <w:t>评分准则</w:t>
            </w:r>
          </w:p>
        </w:tc>
      </w:tr>
      <w:tr w14:paraId="7A0C34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continue"/>
            <w:tcBorders>
              <w:left w:val="single" w:color="000000" w:sz="8" w:space="0"/>
              <w:right w:val="single" w:color="000000" w:sz="8" w:space="0"/>
            </w:tcBorders>
            <w:vAlign w:val="center"/>
          </w:tcPr>
          <w:p w14:paraId="3ED57A4F">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83987F4">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tcPr>
          <w:p w14:paraId="79A47CF5">
            <w:pPr>
              <w:widowControl/>
              <w:jc w:val="left"/>
              <w:rPr>
                <w:rFonts w:ascii="宋体" w:hAnsi="宋体" w:cs="宋体"/>
                <w:szCs w:val="21"/>
              </w:rPr>
            </w:pPr>
            <w:r>
              <w:rPr>
                <w:rFonts w:ascii="宋体" w:hAnsi="宋体"/>
                <w:szCs w:val="21"/>
              </w:rPr>
              <w:t>同类项目业绩情况</w:t>
            </w:r>
          </w:p>
        </w:tc>
        <w:tc>
          <w:tcPr>
            <w:tcW w:w="974" w:type="dxa"/>
            <w:tcBorders>
              <w:top w:val="single" w:color="000000" w:sz="8" w:space="0"/>
              <w:left w:val="single" w:color="000000" w:sz="8" w:space="0"/>
              <w:bottom w:val="single" w:color="000000" w:sz="8" w:space="0"/>
              <w:right w:val="single" w:color="000000" w:sz="8" w:space="0"/>
            </w:tcBorders>
          </w:tcPr>
          <w:p w14:paraId="15EFBE7C">
            <w:pPr>
              <w:widowControl/>
              <w:jc w:val="left"/>
              <w:rPr>
                <w:rFonts w:ascii="宋体" w:hAnsi="宋体" w:cs="宋体"/>
                <w:szCs w:val="21"/>
              </w:rPr>
            </w:pPr>
            <w:r>
              <w:rPr>
                <w:rFonts w:hint="eastAsia" w:ascii="Calibri" w:hAnsi="Calibri" w:cs="宋体"/>
                <w:szCs w:val="22"/>
              </w:rPr>
              <w:t>5</w:t>
            </w:r>
          </w:p>
        </w:tc>
        <w:tc>
          <w:tcPr>
            <w:tcW w:w="4197" w:type="dxa"/>
            <w:tcBorders>
              <w:top w:val="single" w:color="000000" w:sz="8" w:space="0"/>
              <w:left w:val="single" w:color="000000" w:sz="8" w:space="0"/>
              <w:bottom w:val="single" w:color="000000" w:sz="8" w:space="0"/>
              <w:right w:val="single" w:color="000000" w:sz="8" w:space="0"/>
            </w:tcBorders>
          </w:tcPr>
          <w:p w14:paraId="39F237AE">
            <w:pPr>
              <w:wordWrap w:val="0"/>
              <w:rPr>
                <w:rFonts w:ascii="宋体" w:hAnsi="宋体"/>
                <w:szCs w:val="21"/>
              </w:rPr>
            </w:pPr>
            <w:r>
              <w:rPr>
                <w:rFonts w:ascii="宋体" w:hAnsi="宋体"/>
                <w:szCs w:val="21"/>
              </w:rPr>
              <w:t xml:space="preserve">（一）评分内容： </w:t>
            </w:r>
          </w:p>
          <w:p w14:paraId="144D98FF">
            <w:pPr>
              <w:wordWrap w:val="0"/>
              <w:rPr>
                <w:rFonts w:ascii="宋体" w:hAnsi="宋体"/>
                <w:szCs w:val="21"/>
              </w:rPr>
            </w:pPr>
            <w:r>
              <w:rPr>
                <w:rFonts w:ascii="宋体" w:hAnsi="宋体"/>
                <w:szCs w:val="21"/>
              </w:rPr>
              <w:t>考察投标人</w:t>
            </w:r>
            <w:r>
              <w:rPr>
                <w:rFonts w:hint="eastAsia" w:ascii="宋体" w:hAnsi="宋体"/>
                <w:szCs w:val="21"/>
              </w:rPr>
              <w:t>2023年1月1日（以合同签订时间为准）至本项目投标截止之日近三年内，具有同类（政府或事业单位、学校食堂人工服务或食堂运营服务）项目经验的，</w:t>
            </w:r>
            <w:r>
              <w:rPr>
                <w:rFonts w:hint="eastAsia"/>
              </w:rPr>
              <w:t>成立时间不足三年的，可提供自成立之日起的业绩。</w:t>
            </w:r>
          </w:p>
          <w:p w14:paraId="2187183A">
            <w:pPr>
              <w:wordWrap w:val="0"/>
              <w:rPr>
                <w:rFonts w:ascii="宋体" w:hAnsi="宋体"/>
                <w:szCs w:val="21"/>
              </w:rPr>
            </w:pPr>
            <w:r>
              <w:rPr>
                <w:rFonts w:ascii="宋体" w:hAnsi="宋体"/>
                <w:szCs w:val="21"/>
              </w:rPr>
              <w:t>每提供1个案例得</w:t>
            </w:r>
            <w:r>
              <w:rPr>
                <w:rFonts w:hint="eastAsia" w:ascii="宋体" w:hAnsi="宋体"/>
                <w:szCs w:val="21"/>
              </w:rPr>
              <w:t>1</w:t>
            </w:r>
            <w:r>
              <w:rPr>
                <w:rFonts w:ascii="宋体" w:hAnsi="宋体"/>
                <w:szCs w:val="21"/>
              </w:rPr>
              <w:t>分，满分为</w:t>
            </w:r>
            <w:r>
              <w:rPr>
                <w:rFonts w:hint="eastAsia" w:ascii="宋体" w:hAnsi="宋体"/>
                <w:szCs w:val="21"/>
              </w:rPr>
              <w:t>5</w:t>
            </w:r>
            <w:r>
              <w:rPr>
                <w:rFonts w:ascii="宋体" w:hAnsi="宋体"/>
                <w:szCs w:val="21"/>
              </w:rPr>
              <w:t>分。未提供的不得分。</w:t>
            </w:r>
          </w:p>
          <w:p w14:paraId="7E9FF0F0">
            <w:r>
              <w:rPr>
                <w:rFonts w:ascii="宋体" w:hAnsi="宋体"/>
                <w:szCs w:val="21"/>
              </w:rPr>
              <w:t>（二）评分依据：</w:t>
            </w:r>
            <w:r>
              <w:rPr>
                <w:rFonts w:hint="eastAsia"/>
              </w:rPr>
              <w:t>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p>
          <w:p w14:paraId="5BD19475">
            <w:pPr>
              <w:widowControl/>
              <w:jc w:val="left"/>
              <w:rPr>
                <w:rFonts w:ascii="宋体" w:hAnsi="宋体"/>
                <w:szCs w:val="21"/>
              </w:rPr>
            </w:pPr>
          </w:p>
          <w:p w14:paraId="1D55C008">
            <w:pPr>
              <w:pStyle w:val="32"/>
              <w:ind w:left="0" w:leftChars="0" w:firstLine="0" w:firstLineChars="0"/>
              <w:rPr>
                <w:rFonts w:ascii="宋体" w:hAnsi="宋体" w:cs="宋体"/>
                <w:szCs w:val="21"/>
              </w:rPr>
            </w:pPr>
            <w:r>
              <w:rPr>
                <w:rFonts w:hint="eastAsia"/>
              </w:rPr>
              <w:t>备注：以上资料均要求提供扫描件和合同期内的任意一张发票扫描件，评分中出现无证明资料或提供不齐或专家无法凭所提供资料判断是否得分的情况，一律作不得分处理。同一项目不同年份的合同按一份业绩计算。</w:t>
            </w:r>
          </w:p>
        </w:tc>
      </w:tr>
      <w:tr w14:paraId="727002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continue"/>
            <w:tcBorders>
              <w:left w:val="single" w:color="000000" w:sz="8" w:space="0"/>
              <w:right w:val="single" w:color="000000" w:sz="8" w:space="0"/>
            </w:tcBorders>
            <w:vAlign w:val="center"/>
          </w:tcPr>
          <w:p w14:paraId="61B57EE1">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29C0A0FA">
            <w:pPr>
              <w:wordWrap w:val="0"/>
              <w:jc w:val="center"/>
              <w:rPr>
                <w:szCs w:val="21"/>
              </w:rPr>
            </w:pPr>
            <w:r>
              <w:rPr>
                <w:rFonts w:hint="eastAsia"/>
                <w:szCs w:val="21"/>
              </w:rPr>
              <w:t>2</w:t>
            </w:r>
          </w:p>
        </w:tc>
        <w:tc>
          <w:tcPr>
            <w:tcW w:w="2543" w:type="dxa"/>
            <w:tcBorders>
              <w:top w:val="single" w:color="000000" w:sz="8" w:space="0"/>
              <w:left w:val="single" w:color="000000" w:sz="8" w:space="0"/>
              <w:bottom w:val="single" w:color="000000" w:sz="8" w:space="0"/>
              <w:right w:val="single" w:color="000000" w:sz="8" w:space="0"/>
            </w:tcBorders>
          </w:tcPr>
          <w:p w14:paraId="0BF40236">
            <w:pPr>
              <w:wordWrap w:val="0"/>
              <w:rPr>
                <w:rFonts w:ascii="宋体" w:hAnsi="宋体"/>
              </w:rPr>
            </w:pPr>
            <w:r>
              <w:rPr>
                <w:rFonts w:hint="eastAsia" w:ascii="宋体" w:hAnsi="宋体"/>
              </w:rPr>
              <w:t>同类项目业绩</w:t>
            </w:r>
            <w:r>
              <w:rPr>
                <w:rFonts w:hint="eastAsia" w:ascii="宋体" w:hAnsi="宋体"/>
                <w:szCs w:val="21"/>
              </w:rPr>
              <w:t>履约情况</w:t>
            </w:r>
          </w:p>
          <w:p w14:paraId="4745772E">
            <w:pPr>
              <w:wordWrap w:val="0"/>
              <w:rPr>
                <w:rFonts w:ascii="宋体" w:hAnsi="宋体" w:cs="宋体"/>
                <w:szCs w:val="21"/>
              </w:rPr>
            </w:pPr>
          </w:p>
        </w:tc>
        <w:tc>
          <w:tcPr>
            <w:tcW w:w="974" w:type="dxa"/>
            <w:tcBorders>
              <w:top w:val="single" w:color="000000" w:sz="8" w:space="0"/>
              <w:left w:val="single" w:color="000000" w:sz="8" w:space="0"/>
              <w:bottom w:val="single" w:color="000000" w:sz="8" w:space="0"/>
              <w:right w:val="single" w:color="000000" w:sz="8" w:space="0"/>
            </w:tcBorders>
          </w:tcPr>
          <w:p w14:paraId="6A86E6E8">
            <w:pPr>
              <w:widowControl/>
              <w:jc w:val="left"/>
              <w:rPr>
                <w:rFonts w:ascii="宋体" w:hAnsi="宋体" w:cs="宋体"/>
                <w:szCs w:val="21"/>
              </w:rPr>
            </w:pPr>
            <w:r>
              <w:rPr>
                <w:rFonts w:hint="eastAsia" w:ascii="Calibri" w:hAnsi="Calibri" w:eastAsia="华文仿宋" w:cs="华文仿宋"/>
                <w:szCs w:val="21"/>
              </w:rPr>
              <w:t>5</w:t>
            </w:r>
          </w:p>
        </w:tc>
        <w:tc>
          <w:tcPr>
            <w:tcW w:w="4197" w:type="dxa"/>
            <w:tcBorders>
              <w:top w:val="single" w:color="000000" w:sz="8" w:space="0"/>
              <w:left w:val="single" w:color="000000" w:sz="8" w:space="0"/>
              <w:bottom w:val="single" w:color="000000" w:sz="8" w:space="0"/>
              <w:right w:val="single" w:color="000000" w:sz="8" w:space="0"/>
            </w:tcBorders>
          </w:tcPr>
          <w:p w14:paraId="3EE9327A">
            <w:pPr>
              <w:rPr>
                <w:bCs/>
              </w:rPr>
            </w:pPr>
            <w:r>
              <w:rPr>
                <w:rFonts w:hint="eastAsia"/>
                <w:bCs/>
              </w:rPr>
              <w:t>（一）评分内容：</w:t>
            </w:r>
          </w:p>
          <w:p w14:paraId="7048ED53">
            <w:r>
              <w:rPr>
                <w:rFonts w:hint="eastAsia" w:ascii="宋体" w:hAnsi="宋体"/>
              </w:rPr>
              <w:t>投标人提供符合“1.投标人同类项目业绩情况”合同甲方出具评价</w:t>
            </w:r>
            <w:r>
              <w:rPr>
                <w:rFonts w:hint="eastAsia"/>
              </w:rPr>
              <w:t>为优/优秀/满意或最高评价的</w:t>
            </w:r>
            <w:r>
              <w:rPr>
                <w:rFonts w:hint="eastAsia"/>
                <w:kern w:val="0"/>
              </w:rPr>
              <w:t>履约评价或验收合格证明文件</w:t>
            </w:r>
            <w:r>
              <w:rPr>
                <w:rFonts w:hint="eastAsia" w:ascii="宋体" w:hAnsi="宋体"/>
              </w:rPr>
              <w:t>，</w:t>
            </w:r>
            <w:r>
              <w:rPr>
                <w:rFonts w:hint="eastAsia"/>
              </w:rPr>
              <w:t>每提供一</w:t>
            </w:r>
            <w:r>
              <w:rPr>
                <w:rFonts w:hint="eastAsia" w:ascii="宋体" w:hAnsi="宋体" w:cs="宋体"/>
              </w:rPr>
              <w:t>份得1分，最高得5分。</w:t>
            </w:r>
          </w:p>
          <w:p w14:paraId="7C172630">
            <w:pPr>
              <w:rPr>
                <w:bCs/>
              </w:rPr>
            </w:pPr>
            <w:r>
              <w:rPr>
                <w:rFonts w:hint="eastAsia"/>
                <w:bCs/>
              </w:rPr>
              <w:t>（二）评分依据：</w:t>
            </w:r>
          </w:p>
          <w:p w14:paraId="701E9C5D">
            <w:pPr>
              <w:wordWrap w:val="0"/>
            </w:pPr>
            <w:r>
              <w:rPr>
                <w:rFonts w:hint="eastAsia" w:ascii="宋体" w:hAnsi="宋体"/>
              </w:rPr>
              <w:t>提供加盖合同甲方公章（或甲方业务章）项目</w:t>
            </w:r>
            <w:r>
              <w:rPr>
                <w:rFonts w:hint="eastAsia"/>
                <w:kern w:val="0"/>
              </w:rPr>
              <w:t>履约评价或验收合格证明文件</w:t>
            </w:r>
            <w:r>
              <w:rPr>
                <w:rFonts w:hint="eastAsia"/>
              </w:rPr>
              <w:t>清晰扫描件</w:t>
            </w:r>
            <w:r>
              <w:rPr>
                <w:rFonts w:hint="eastAsia"/>
                <w:kern w:val="0"/>
              </w:rPr>
              <w:t>且评价文件体现评价单位联系人及联系方式的（如未体现的，供应商须另行提供评价单位的联系人及联系方式）</w:t>
            </w:r>
            <w:r>
              <w:rPr>
                <w:rFonts w:hint="eastAsia"/>
              </w:rPr>
              <w:t>。</w:t>
            </w:r>
          </w:p>
          <w:p w14:paraId="13211530">
            <w:pPr>
              <w:wordWrap w:val="0"/>
              <w:rPr>
                <w:rFonts w:ascii="宋体" w:hAnsi="宋体" w:cs="宋体"/>
                <w:szCs w:val="21"/>
              </w:rPr>
            </w:pPr>
            <w:r>
              <w:rPr>
                <w:rFonts w:hint="eastAsia"/>
              </w:rPr>
              <w:t>备注：同一项目按一份计算，不重复计算分数。以上资料均要求提供扫描件，评分中出现无证明资料或评价文件未体现评价单位联系人及联系方式或者供应商未提供评价单位的联系人及联系方式或专家无法凭所提供资料判断是否得分的情况，一律作不得分处理。</w:t>
            </w:r>
          </w:p>
        </w:tc>
      </w:tr>
      <w:tr w14:paraId="5253A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489" w:hRule="atLeast"/>
        </w:trPr>
        <w:tc>
          <w:tcPr>
            <w:tcW w:w="681" w:type="dxa"/>
            <w:vMerge w:val="continue"/>
            <w:tcBorders>
              <w:left w:val="single" w:color="000000" w:sz="8" w:space="0"/>
              <w:right w:val="single" w:color="000000" w:sz="8" w:space="0"/>
            </w:tcBorders>
            <w:vAlign w:val="center"/>
          </w:tcPr>
          <w:p w14:paraId="52DF65A2">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2D1BEF35">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tcPr>
          <w:p w14:paraId="062BD6A0">
            <w:pPr>
              <w:wordWrap w:val="0"/>
              <w:rPr>
                <w:rFonts w:ascii="宋体" w:hAnsi="宋体"/>
                <w:szCs w:val="21"/>
              </w:rPr>
            </w:pPr>
            <w:r>
              <w:rPr>
                <w:rFonts w:hint="eastAsia" w:ascii="宋体" w:hAnsi="宋体"/>
                <w:szCs w:val="21"/>
              </w:rPr>
              <w:t>体系认证</w:t>
            </w:r>
          </w:p>
        </w:tc>
        <w:tc>
          <w:tcPr>
            <w:tcW w:w="974" w:type="dxa"/>
            <w:tcBorders>
              <w:top w:val="single" w:color="000000" w:sz="8" w:space="0"/>
              <w:left w:val="single" w:color="000000" w:sz="8" w:space="0"/>
              <w:bottom w:val="single" w:color="000000" w:sz="8" w:space="0"/>
              <w:right w:val="single" w:color="000000" w:sz="8" w:space="0"/>
            </w:tcBorders>
          </w:tcPr>
          <w:p w14:paraId="6C58A5BE">
            <w:pPr>
              <w:widowControl/>
              <w:jc w:val="left"/>
              <w:rPr>
                <w:rFonts w:ascii="Calibri" w:hAnsi="Calibri" w:cs="宋体"/>
                <w:szCs w:val="22"/>
              </w:rPr>
            </w:pPr>
            <w:r>
              <w:rPr>
                <w:rFonts w:hint="eastAsia" w:ascii="Calibri" w:hAnsi="Calibri" w:cs="宋体"/>
                <w:szCs w:val="22"/>
              </w:rPr>
              <w:t>6</w:t>
            </w:r>
          </w:p>
        </w:tc>
        <w:tc>
          <w:tcPr>
            <w:tcW w:w="4197" w:type="dxa"/>
            <w:tcBorders>
              <w:top w:val="single" w:color="000000" w:sz="8" w:space="0"/>
              <w:left w:val="single" w:color="000000" w:sz="8" w:space="0"/>
              <w:bottom w:val="single" w:color="000000" w:sz="8" w:space="0"/>
              <w:right w:val="single" w:color="000000" w:sz="8" w:space="0"/>
            </w:tcBorders>
          </w:tcPr>
          <w:p w14:paraId="28145A87">
            <w:pPr>
              <w:pStyle w:val="32"/>
              <w:ind w:left="0" w:leftChars="0" w:firstLine="0" w:firstLineChars="0"/>
            </w:pPr>
            <w:r>
              <w:rPr>
                <w:rFonts w:hint="eastAsia"/>
              </w:rPr>
              <w:t>（一） 评分内容：</w:t>
            </w:r>
          </w:p>
          <w:p w14:paraId="2AFCBDE0">
            <w:pPr>
              <w:pStyle w:val="32"/>
              <w:ind w:left="0" w:leftChars="0" w:firstLine="0" w:firstLineChars="0"/>
            </w:pPr>
            <w:r>
              <w:rPr>
                <w:rFonts w:hint="eastAsia"/>
              </w:rPr>
              <w:t>1.投标人通过职业健康安全管理体系认证的得</w:t>
            </w:r>
            <w:r>
              <w:rPr>
                <w:rFonts w:hint="eastAsia" w:ascii="宋体" w:hAnsi="宋体" w:cs="仿宋"/>
                <w:szCs w:val="21"/>
              </w:rPr>
              <w:t>2</w:t>
            </w:r>
            <w:r>
              <w:rPr>
                <w:rFonts w:hint="eastAsia"/>
              </w:rPr>
              <w:t>分。</w:t>
            </w:r>
          </w:p>
          <w:p w14:paraId="17D08A09">
            <w:pPr>
              <w:pStyle w:val="32"/>
              <w:ind w:left="0" w:leftChars="0" w:firstLine="0" w:firstLineChars="0"/>
            </w:pPr>
            <w:r>
              <w:rPr>
                <w:rFonts w:hint="eastAsia"/>
              </w:rPr>
              <w:t>2.投标人通过环境管理体系认证的得</w:t>
            </w:r>
            <w:r>
              <w:rPr>
                <w:rFonts w:hint="eastAsia" w:ascii="宋体" w:hAnsi="宋体" w:cs="宋体"/>
              </w:rPr>
              <w:t>2</w:t>
            </w:r>
            <w:r>
              <w:rPr>
                <w:rFonts w:hint="eastAsia"/>
              </w:rPr>
              <w:t>分。</w:t>
            </w:r>
          </w:p>
          <w:p w14:paraId="1063FD54">
            <w:pPr>
              <w:pStyle w:val="32"/>
              <w:ind w:left="0" w:leftChars="0" w:firstLine="0" w:firstLineChars="0"/>
            </w:pPr>
            <w:r>
              <w:rPr>
                <w:rFonts w:hint="eastAsia"/>
              </w:rPr>
              <w:t>3.投标人通过质量管理体系认证且认证的得</w:t>
            </w:r>
            <w:r>
              <w:rPr>
                <w:rFonts w:hint="eastAsia" w:ascii="宋体" w:hAnsi="宋体" w:cs="宋体"/>
              </w:rPr>
              <w:t>2</w:t>
            </w:r>
            <w:r>
              <w:rPr>
                <w:rFonts w:hint="eastAsia"/>
              </w:rPr>
              <w:t>分。</w:t>
            </w:r>
          </w:p>
          <w:p w14:paraId="4DCB39EA">
            <w:pPr>
              <w:pStyle w:val="32"/>
              <w:ind w:left="0" w:leftChars="0" w:firstLine="0" w:firstLineChars="0"/>
            </w:pPr>
            <w:r>
              <w:rPr>
                <w:rFonts w:hint="eastAsia"/>
              </w:rPr>
              <w:t>以上</w:t>
            </w:r>
            <w:r>
              <w:rPr>
                <w:rFonts w:hint="eastAsia" w:ascii="宋体" w:hAnsi="宋体" w:cs="宋体"/>
              </w:rPr>
              <w:t>3</w:t>
            </w:r>
            <w:r>
              <w:rPr>
                <w:rFonts w:hint="eastAsia"/>
              </w:rPr>
              <w:t>项累加计分，最高得</w:t>
            </w:r>
            <w:r>
              <w:rPr>
                <w:rFonts w:hint="eastAsia" w:ascii="宋体" w:hAnsi="宋体" w:cs="宋体"/>
              </w:rPr>
              <w:t>6</w:t>
            </w:r>
            <w:r>
              <w:rPr>
                <w:rFonts w:hint="eastAsia"/>
              </w:rPr>
              <w:t>分。</w:t>
            </w:r>
          </w:p>
          <w:p w14:paraId="681A0BF5">
            <w:r>
              <w:rPr>
                <w:rFonts w:hint="eastAsia"/>
              </w:rPr>
              <w:t>（二）评分依据：</w:t>
            </w:r>
          </w:p>
          <w:p w14:paraId="3B459543">
            <w:r>
              <w:rPr>
                <w:rFonts w:hint="eastAsia"/>
              </w:rPr>
              <w:t>提供有效的认证证书扫描件作为得分依据；认证证书需同时提供在全国认证认可信息公共服务平台（认e云）查询有效的截图（http://cx.cnca.cn），原件备查。</w:t>
            </w:r>
          </w:p>
          <w:p w14:paraId="48DE312D"/>
          <w:p w14:paraId="62C12891">
            <w:pPr>
              <w:rPr>
                <w:rFonts w:ascii="宋体" w:hAnsi="宋体" w:cs="宋体"/>
                <w:szCs w:val="21"/>
              </w:rPr>
            </w:pPr>
            <w:r>
              <w:rPr>
                <w:rFonts w:hint="eastAsia"/>
              </w:rPr>
              <w:t>备注：评分中出现无证明资料或证书过期或被撤销或暂停或专家无法凭所提供资料判断是否得分的情况，一律作不得分处理。</w:t>
            </w:r>
          </w:p>
        </w:tc>
      </w:tr>
      <w:tr w14:paraId="4DAC5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continue"/>
            <w:tcBorders>
              <w:left w:val="single" w:color="000000" w:sz="8" w:space="0"/>
              <w:right w:val="single" w:color="000000" w:sz="8" w:space="0"/>
            </w:tcBorders>
            <w:vAlign w:val="center"/>
          </w:tcPr>
          <w:p w14:paraId="7725F05A">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05AAF656">
            <w:pPr>
              <w:wordWrap w:val="0"/>
              <w:jc w:val="center"/>
              <w:rPr>
                <w:rFonts w:ascii="宋体" w:hAnsi="宋体" w:cs="宋体"/>
                <w:szCs w:val="21"/>
              </w:rPr>
            </w:pPr>
            <w:r>
              <w:rPr>
                <w:rFonts w:ascii="Calibri" w:hAnsi="Calibri" w:cs="宋体"/>
                <w:szCs w:val="21"/>
              </w:rPr>
              <w:t>4</w:t>
            </w:r>
          </w:p>
        </w:tc>
        <w:tc>
          <w:tcPr>
            <w:tcW w:w="2543" w:type="dxa"/>
            <w:tcBorders>
              <w:top w:val="single" w:color="000000" w:sz="8" w:space="0"/>
              <w:left w:val="single" w:color="000000" w:sz="8" w:space="0"/>
              <w:bottom w:val="single" w:color="000000" w:sz="8" w:space="0"/>
              <w:right w:val="single" w:color="000000" w:sz="8" w:space="0"/>
            </w:tcBorders>
          </w:tcPr>
          <w:p w14:paraId="0D03BF54">
            <w:pPr>
              <w:jc w:val="left"/>
              <w:rPr>
                <w:rFonts w:ascii="宋体" w:hAnsi="宋体" w:cs="宋体"/>
                <w:szCs w:val="21"/>
              </w:rPr>
            </w:pPr>
            <w:r>
              <w:rPr>
                <w:rFonts w:hint="eastAsia" w:ascii="新宋体" w:hAnsi="新宋体" w:eastAsia="新宋体"/>
                <w:szCs w:val="21"/>
              </w:rPr>
              <w:t>企业荣誉情况</w:t>
            </w:r>
          </w:p>
        </w:tc>
        <w:tc>
          <w:tcPr>
            <w:tcW w:w="974" w:type="dxa"/>
            <w:tcBorders>
              <w:top w:val="single" w:color="000000" w:sz="8" w:space="0"/>
              <w:left w:val="single" w:color="000000" w:sz="8" w:space="0"/>
              <w:bottom w:val="single" w:color="000000" w:sz="8" w:space="0"/>
              <w:right w:val="single" w:color="000000" w:sz="8" w:space="0"/>
            </w:tcBorders>
          </w:tcPr>
          <w:p w14:paraId="68789FA3">
            <w:pPr>
              <w:wordWrap w:val="0"/>
              <w:jc w:val="left"/>
              <w:rPr>
                <w:rFonts w:ascii="宋体" w:hAnsi="宋体" w:cs="宋体"/>
                <w:szCs w:val="21"/>
              </w:rPr>
            </w:pPr>
            <w:r>
              <w:rPr>
                <w:rFonts w:hint="eastAsia" w:ascii="Calibri" w:hAnsi="Calibri" w:cs="宋体"/>
                <w:szCs w:val="21"/>
              </w:rPr>
              <w:t>3</w:t>
            </w:r>
          </w:p>
        </w:tc>
        <w:tc>
          <w:tcPr>
            <w:tcW w:w="4197" w:type="dxa"/>
            <w:tcBorders>
              <w:top w:val="single" w:color="000000" w:sz="8" w:space="0"/>
              <w:left w:val="single" w:color="000000" w:sz="8" w:space="0"/>
              <w:bottom w:val="single" w:color="000000" w:sz="8" w:space="0"/>
              <w:right w:val="single" w:color="000000" w:sz="8" w:space="0"/>
            </w:tcBorders>
          </w:tcPr>
          <w:p w14:paraId="5ADDE4C2">
            <w:pPr>
              <w:pStyle w:val="32"/>
              <w:ind w:left="0" w:leftChars="0" w:firstLine="0" w:firstLineChars="0"/>
              <w:rPr>
                <w:rFonts w:ascii="新宋体" w:hAnsi="新宋体" w:eastAsia="新宋体"/>
                <w:szCs w:val="21"/>
              </w:rPr>
            </w:pPr>
            <w:r>
              <w:rPr>
                <w:rFonts w:hint="eastAsia" w:ascii="新宋体" w:hAnsi="新宋体" w:eastAsia="新宋体"/>
                <w:szCs w:val="21"/>
              </w:rPr>
              <w:t>（一）评审标准：</w:t>
            </w:r>
          </w:p>
          <w:p w14:paraId="60FEA5C9">
            <w:pPr>
              <w:pStyle w:val="32"/>
              <w:ind w:left="0" w:leftChars="0" w:firstLine="0" w:firstLineChars="0"/>
              <w:rPr>
                <w:rFonts w:ascii="新宋体" w:hAnsi="新宋体" w:eastAsia="新宋体"/>
                <w:szCs w:val="21"/>
              </w:rPr>
            </w:pPr>
            <w:r>
              <w:rPr>
                <w:rFonts w:hint="eastAsia" w:ascii="新宋体" w:hAnsi="新宋体" w:eastAsia="新宋体"/>
                <w:szCs w:val="21"/>
              </w:rPr>
              <w:t>（1）具有</w:t>
            </w:r>
            <w:r>
              <w:rPr>
                <w:rFonts w:hint="eastAsia" w:ascii="宋体" w:hAnsi="宋体"/>
                <w:szCs w:val="21"/>
              </w:rPr>
              <w:t>政府或事业单位</w:t>
            </w:r>
            <w:r>
              <w:rPr>
                <w:rFonts w:hint="eastAsia" w:ascii="新宋体" w:hAnsi="新宋体" w:eastAsia="新宋体"/>
                <w:szCs w:val="21"/>
              </w:rPr>
              <w:t>颁发的</w:t>
            </w:r>
            <w:r>
              <w:rPr>
                <w:rFonts w:hint="eastAsia"/>
              </w:rPr>
              <w:t>食堂运营相关</w:t>
            </w:r>
            <w:r>
              <w:rPr>
                <w:rFonts w:hint="eastAsia" w:ascii="新宋体" w:hAnsi="新宋体" w:eastAsia="新宋体"/>
                <w:szCs w:val="21"/>
              </w:rPr>
              <w:t>荣誉/证书，每一项1.5分，最高得3分。</w:t>
            </w:r>
          </w:p>
          <w:p w14:paraId="0066D536">
            <w:pPr>
              <w:pStyle w:val="32"/>
              <w:ind w:left="0" w:leftChars="0" w:firstLine="0" w:firstLineChars="0"/>
              <w:rPr>
                <w:rFonts w:ascii="新宋体" w:hAnsi="新宋体" w:eastAsia="新宋体"/>
                <w:szCs w:val="21"/>
              </w:rPr>
            </w:pPr>
            <w:r>
              <w:rPr>
                <w:rFonts w:hint="eastAsia" w:ascii="新宋体" w:hAnsi="新宋体" w:eastAsia="新宋体"/>
                <w:szCs w:val="21"/>
              </w:rPr>
              <w:t>以上得分累计，最高3分。</w:t>
            </w:r>
          </w:p>
          <w:p w14:paraId="46DA5E01">
            <w:r>
              <w:rPr>
                <w:rFonts w:hint="eastAsia"/>
              </w:rPr>
              <w:t>（二）评分依据：</w:t>
            </w:r>
          </w:p>
          <w:p w14:paraId="087144CC">
            <w:r>
              <w:rPr>
                <w:rFonts w:hint="eastAsia"/>
              </w:rPr>
              <w:t>提供荣誉证书或文件扫描件作为得分依据，原件备查。</w:t>
            </w:r>
          </w:p>
          <w:p w14:paraId="3F485EE9">
            <w:pPr>
              <w:pStyle w:val="32"/>
              <w:ind w:left="0" w:leftChars="0" w:firstLine="0" w:firstLineChars="0"/>
            </w:pPr>
            <w:r>
              <w:rPr>
                <w:rFonts w:hint="eastAsia"/>
              </w:rPr>
              <w:t>备注：评分中出现无证明资料或证书过期或专家无法凭所提供资料判断是否得分的情况，一律作不得分处理。</w:t>
            </w:r>
          </w:p>
        </w:tc>
      </w:tr>
      <w:tr w14:paraId="5138CC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continue"/>
            <w:tcBorders>
              <w:left w:val="single" w:color="000000" w:sz="8" w:space="0"/>
              <w:right w:val="single" w:color="000000" w:sz="8" w:space="0"/>
            </w:tcBorders>
            <w:vAlign w:val="center"/>
          </w:tcPr>
          <w:p w14:paraId="09219CBE">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4F47797A">
            <w:pPr>
              <w:wordWrap w:val="0"/>
              <w:jc w:val="center"/>
              <w:rPr>
                <w:rFonts w:ascii="宋体" w:hAnsi="宋体" w:cs="宋体"/>
                <w:szCs w:val="21"/>
              </w:rPr>
            </w:pPr>
            <w:r>
              <w:rPr>
                <w:rFonts w:ascii="Calibri" w:hAnsi="Calibri" w:cs="宋体"/>
                <w:szCs w:val="21"/>
              </w:rPr>
              <w:t>5</w:t>
            </w:r>
          </w:p>
        </w:tc>
        <w:tc>
          <w:tcPr>
            <w:tcW w:w="2543" w:type="dxa"/>
            <w:tcBorders>
              <w:top w:val="single" w:color="000000" w:sz="8" w:space="0"/>
              <w:left w:val="single" w:color="000000" w:sz="8" w:space="0"/>
              <w:bottom w:val="single" w:color="000000" w:sz="8" w:space="0"/>
              <w:right w:val="single" w:color="000000" w:sz="8" w:space="0"/>
            </w:tcBorders>
          </w:tcPr>
          <w:p w14:paraId="5531B7A7">
            <w:pPr>
              <w:jc w:val="left"/>
              <w:rPr>
                <w:rFonts w:ascii="新宋体" w:hAnsi="新宋体" w:eastAsia="新宋体"/>
                <w:szCs w:val="21"/>
              </w:rPr>
            </w:pPr>
            <w:r>
              <w:rPr>
                <w:rFonts w:hint="eastAsia" w:ascii="新宋体" w:hAnsi="新宋体" w:eastAsia="新宋体" w:cs="宋体"/>
                <w:szCs w:val="21"/>
              </w:rPr>
              <w:t>公共（众）责任险</w:t>
            </w:r>
          </w:p>
        </w:tc>
        <w:tc>
          <w:tcPr>
            <w:tcW w:w="974" w:type="dxa"/>
            <w:tcBorders>
              <w:top w:val="single" w:color="000000" w:sz="8" w:space="0"/>
              <w:left w:val="single" w:color="000000" w:sz="8" w:space="0"/>
              <w:bottom w:val="single" w:color="000000" w:sz="8" w:space="0"/>
              <w:right w:val="single" w:color="000000" w:sz="8" w:space="0"/>
            </w:tcBorders>
          </w:tcPr>
          <w:p w14:paraId="73384DC6">
            <w:pPr>
              <w:wordWrap w:val="0"/>
              <w:jc w:val="left"/>
              <w:rPr>
                <w:rFonts w:ascii="宋体" w:hAnsi="宋体" w:cs="宋体"/>
                <w:szCs w:val="21"/>
              </w:rPr>
            </w:pPr>
            <w:r>
              <w:rPr>
                <w:rFonts w:hint="eastAsia" w:ascii="Calibri" w:hAnsi="Calibri" w:cs="宋体"/>
                <w:szCs w:val="21"/>
              </w:rPr>
              <w:t>9</w:t>
            </w:r>
          </w:p>
        </w:tc>
        <w:tc>
          <w:tcPr>
            <w:tcW w:w="4197" w:type="dxa"/>
            <w:tcBorders>
              <w:top w:val="single" w:color="000000" w:sz="8" w:space="0"/>
              <w:left w:val="single" w:color="000000" w:sz="8" w:space="0"/>
              <w:bottom w:val="single" w:color="000000" w:sz="8" w:space="0"/>
              <w:right w:val="single" w:color="000000" w:sz="8" w:space="0"/>
            </w:tcBorders>
          </w:tcPr>
          <w:p w14:paraId="5E94DC60">
            <w:pPr>
              <w:pStyle w:val="15"/>
            </w:pPr>
            <w:r>
              <w:rPr>
                <w:rFonts w:hint="eastAsia"/>
              </w:rPr>
              <w:t>（一）评审标准：</w:t>
            </w:r>
          </w:p>
          <w:p w14:paraId="4C5F8955">
            <w:pPr>
              <w:pStyle w:val="15"/>
            </w:pPr>
            <w:r>
              <w:rPr>
                <w:rFonts w:hint="eastAsia"/>
              </w:rPr>
              <w:t>1、根据投标人购买的公共（众）责任保险额进行评审：</w:t>
            </w:r>
          </w:p>
          <w:p w14:paraId="208B4725">
            <w:pPr>
              <w:pStyle w:val="15"/>
              <w:rPr>
                <w:rFonts w:ascii="宋体" w:hAnsi="宋体" w:cs="宋体"/>
              </w:rPr>
            </w:pPr>
            <w:r>
              <w:rPr>
                <w:rFonts w:hint="eastAsia"/>
              </w:rPr>
              <w:t>（1）累</w:t>
            </w:r>
            <w:r>
              <w:rPr>
                <w:rFonts w:hint="eastAsia" w:ascii="宋体" w:hAnsi="宋体" w:cs="宋体"/>
              </w:rPr>
              <w:t>计赔偿限额≥10000万，且每次事故赔偿限额≥3000万，得9分；</w:t>
            </w:r>
          </w:p>
          <w:p w14:paraId="2D1CFAC2">
            <w:pPr>
              <w:pStyle w:val="15"/>
              <w:rPr>
                <w:rFonts w:ascii="宋体" w:hAnsi="宋体" w:cs="宋体"/>
              </w:rPr>
            </w:pPr>
            <w:r>
              <w:rPr>
                <w:rFonts w:hint="eastAsia" w:ascii="宋体" w:hAnsi="宋体" w:cs="宋体"/>
              </w:rPr>
              <w:t>（2）累计赔偿限额≥8000万，且每次事故赔偿限额≥2000万，得6分；</w:t>
            </w:r>
          </w:p>
          <w:p w14:paraId="7B1F9989">
            <w:pPr>
              <w:pStyle w:val="15"/>
            </w:pPr>
            <w:r>
              <w:rPr>
                <w:rFonts w:hint="eastAsia" w:ascii="宋体" w:hAnsi="宋体" w:cs="宋体"/>
              </w:rPr>
              <w:t>（3）累计赔偿限额≥5000万，且每次事故赔偿限额≥1000万，得3分</w:t>
            </w:r>
            <w:r>
              <w:rPr>
                <w:rFonts w:hint="eastAsia"/>
              </w:rPr>
              <w:t>；</w:t>
            </w:r>
          </w:p>
          <w:p w14:paraId="3C95098F">
            <w:pPr>
              <w:pStyle w:val="15"/>
            </w:pPr>
            <w:r>
              <w:rPr>
                <w:rFonts w:hint="eastAsia"/>
              </w:rPr>
              <w:t>（二）证明文件：</w:t>
            </w:r>
          </w:p>
          <w:p w14:paraId="4E821CD0">
            <w:pPr>
              <w:pStyle w:val="15"/>
            </w:pPr>
            <w:r>
              <w:rPr>
                <w:rFonts w:hint="eastAsia"/>
              </w:rPr>
              <w:t>1、提供有效期内的公共（众）责任险保险单和相关购买保险发票。投保人必须和投标人名称一致。</w:t>
            </w:r>
          </w:p>
          <w:p w14:paraId="254E3BF6">
            <w:pPr>
              <w:pStyle w:val="15"/>
            </w:pPr>
            <w:r>
              <w:rPr>
                <w:rFonts w:hint="eastAsia"/>
              </w:rPr>
              <w:t>备注：评分中出现无证明资料或证书过期或专家无法凭所提供资料判断是否得分的情况，一律作不得分处理。</w:t>
            </w:r>
          </w:p>
        </w:tc>
      </w:tr>
      <w:tr w14:paraId="78EC0F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155" w:hRule="atLeast"/>
        </w:trPr>
        <w:tc>
          <w:tcPr>
            <w:tcW w:w="681" w:type="dxa"/>
            <w:vMerge w:val="continue"/>
            <w:tcBorders>
              <w:left w:val="single" w:color="000000" w:sz="8" w:space="0"/>
              <w:right w:val="single" w:color="000000" w:sz="8" w:space="0"/>
            </w:tcBorders>
            <w:vAlign w:val="center"/>
          </w:tcPr>
          <w:p w14:paraId="7DC40F0A">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6DFE05C">
            <w:pPr>
              <w:wordWrap w:val="0"/>
              <w:jc w:val="center"/>
              <w:rPr>
                <w:rFonts w:ascii="宋体" w:hAnsi="宋体" w:cs="宋体"/>
                <w:szCs w:val="21"/>
              </w:rPr>
            </w:pPr>
            <w:r>
              <w:rPr>
                <w:rFonts w:ascii="Calibri" w:hAnsi="Calibri" w:cs="宋体"/>
                <w:szCs w:val="21"/>
              </w:rPr>
              <w:t>6</w:t>
            </w:r>
          </w:p>
        </w:tc>
        <w:tc>
          <w:tcPr>
            <w:tcW w:w="2543" w:type="dxa"/>
            <w:tcBorders>
              <w:top w:val="single" w:color="000000" w:sz="8" w:space="0"/>
              <w:left w:val="single" w:color="000000" w:sz="8" w:space="0"/>
              <w:bottom w:val="single" w:color="000000" w:sz="8" w:space="0"/>
              <w:right w:val="single" w:color="000000" w:sz="8" w:space="0"/>
            </w:tcBorders>
          </w:tcPr>
          <w:p w14:paraId="2CADC5A0">
            <w:pPr>
              <w:jc w:val="left"/>
              <w:rPr>
                <w:rFonts w:ascii="新宋体" w:hAnsi="新宋体" w:eastAsia="新宋体" w:cs="宋体"/>
                <w:szCs w:val="21"/>
              </w:rPr>
            </w:pPr>
            <w:r>
              <w:rPr>
                <w:rFonts w:hint="eastAsia"/>
                <w:szCs w:val="21"/>
              </w:rPr>
              <w:t>人员信息化管理能力</w:t>
            </w:r>
          </w:p>
        </w:tc>
        <w:tc>
          <w:tcPr>
            <w:tcW w:w="974" w:type="dxa"/>
            <w:tcBorders>
              <w:top w:val="single" w:color="000000" w:sz="8" w:space="0"/>
              <w:left w:val="single" w:color="000000" w:sz="8" w:space="0"/>
              <w:bottom w:val="single" w:color="000000" w:sz="8" w:space="0"/>
              <w:right w:val="single" w:color="000000" w:sz="8" w:space="0"/>
            </w:tcBorders>
          </w:tcPr>
          <w:p w14:paraId="68372B05">
            <w:pPr>
              <w:wordWrap w:val="0"/>
              <w:jc w:val="left"/>
              <w:rPr>
                <w:rFonts w:ascii="宋体" w:hAnsi="宋体" w:cs="宋体"/>
                <w:szCs w:val="21"/>
              </w:rPr>
            </w:pPr>
            <w:r>
              <w:rPr>
                <w:rFonts w:ascii="Calibri" w:hAnsi="Calibri" w:cs="宋体"/>
                <w:szCs w:val="21"/>
              </w:rPr>
              <w:t>6</w:t>
            </w:r>
          </w:p>
        </w:tc>
        <w:tc>
          <w:tcPr>
            <w:tcW w:w="4197" w:type="dxa"/>
            <w:tcBorders>
              <w:top w:val="single" w:color="000000" w:sz="8" w:space="0"/>
              <w:left w:val="single" w:color="000000" w:sz="8" w:space="0"/>
              <w:bottom w:val="single" w:color="000000" w:sz="8" w:space="0"/>
              <w:right w:val="single" w:color="000000" w:sz="8" w:space="0"/>
            </w:tcBorders>
          </w:tcPr>
          <w:p w14:paraId="4F1808E5">
            <w:pPr>
              <w:pStyle w:val="32"/>
              <w:ind w:left="0" w:leftChars="0" w:firstLine="0" w:firstLineChars="0"/>
              <w:rPr>
                <w:rFonts w:ascii="宋体" w:hAnsi="宋体"/>
                <w:szCs w:val="21"/>
              </w:rPr>
            </w:pPr>
            <w:r>
              <w:rPr>
                <w:rFonts w:hint="eastAsia" w:ascii="宋体" w:hAnsi="宋体"/>
                <w:szCs w:val="21"/>
              </w:rPr>
              <w:t>（一）评审标准：</w:t>
            </w:r>
          </w:p>
          <w:p w14:paraId="00BC8DBF">
            <w:pPr>
              <w:pStyle w:val="32"/>
              <w:ind w:left="0" w:leftChars="0" w:firstLine="0" w:firstLineChars="0"/>
              <w:rPr>
                <w:rFonts w:ascii="宋体" w:hAnsi="宋体"/>
                <w:szCs w:val="21"/>
              </w:rPr>
            </w:pPr>
            <w:r>
              <w:rPr>
                <w:rFonts w:hint="eastAsia" w:ascii="宋体" w:hAnsi="宋体"/>
                <w:szCs w:val="21"/>
              </w:rPr>
              <w:t>投标人具有财务管理平台、人事工资管理、客户业务档案管理、企业社保智能管理、客户关系管理、人力资源考勤系统、人力资源派遣运营管理系统、农产品卫生质量安全塑源系统相关类别，名字不要求一致，功能对应即可，每提供一项的得0.75分，满分为6分。</w:t>
            </w:r>
          </w:p>
          <w:p w14:paraId="54852706">
            <w:pPr>
              <w:pStyle w:val="32"/>
              <w:numPr>
                <w:ilvl w:val="0"/>
                <w:numId w:val="1"/>
              </w:numPr>
              <w:ind w:left="0" w:leftChars="0" w:firstLine="0" w:firstLineChars="0"/>
              <w:rPr>
                <w:rFonts w:ascii="宋体" w:hAnsi="宋体" w:cs="宋体"/>
                <w:szCs w:val="21"/>
              </w:rPr>
            </w:pPr>
            <w:r>
              <w:rPr>
                <w:rFonts w:hint="eastAsia" w:ascii="宋体" w:hAnsi="宋体" w:cs="宋体"/>
                <w:szCs w:val="21"/>
              </w:rPr>
              <w:t>证明文件：</w:t>
            </w:r>
          </w:p>
          <w:p w14:paraId="63523486">
            <w:pPr>
              <w:pStyle w:val="32"/>
              <w:numPr>
                <w:ilvl w:val="255"/>
                <w:numId w:val="0"/>
              </w:numPr>
              <w:rPr>
                <w:rFonts w:ascii="宋体" w:hAnsi="宋体" w:cs="宋体"/>
                <w:szCs w:val="21"/>
              </w:rPr>
            </w:pPr>
            <w:r>
              <w:rPr>
                <w:rFonts w:hint="eastAsia" w:ascii="宋体" w:hAnsi="宋体" w:cs="宋体"/>
                <w:szCs w:val="21"/>
              </w:rPr>
              <w:t>投标人提供相应管理平台使用记录截图或中国版权保护中心有效网站查询截图，否则不得分。管理平台使用甲方或证书上的“著作权人”必须为投标人。</w:t>
            </w:r>
          </w:p>
          <w:p w14:paraId="25E23DB6">
            <w:pPr>
              <w:pStyle w:val="32"/>
              <w:ind w:left="0" w:leftChars="0" w:firstLine="0" w:firstLineChars="0"/>
            </w:pPr>
            <w:r>
              <w:rPr>
                <w:rFonts w:hint="eastAsia" w:ascii="宋体" w:hAnsi="宋体" w:cs="宋体"/>
                <w:szCs w:val="21"/>
              </w:rPr>
              <w:t>备注：评分中出现无证明资料或证书过期或专家无法凭所提供资料判断是否得分的情况，一律作不得分处理。</w:t>
            </w:r>
          </w:p>
        </w:tc>
      </w:tr>
      <w:tr w14:paraId="166E13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1" w:type="dxa"/>
            <w:vMerge w:val="continue"/>
            <w:tcBorders>
              <w:left w:val="single" w:color="000000" w:sz="8" w:space="0"/>
              <w:right w:val="single" w:color="000000" w:sz="8" w:space="0"/>
            </w:tcBorders>
            <w:vAlign w:val="center"/>
          </w:tcPr>
          <w:p w14:paraId="5415D36B">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2DFFCD40">
            <w:pPr>
              <w:wordWrap w:val="0"/>
              <w:jc w:val="center"/>
              <w:rPr>
                <w:szCs w:val="21"/>
              </w:rPr>
            </w:pPr>
            <w:r>
              <w:rPr>
                <w:rFonts w:hint="eastAsia"/>
                <w:szCs w:val="21"/>
              </w:rPr>
              <w:t>7</w:t>
            </w:r>
          </w:p>
        </w:tc>
        <w:tc>
          <w:tcPr>
            <w:tcW w:w="2543" w:type="dxa"/>
            <w:tcBorders>
              <w:top w:val="single" w:color="000000" w:sz="8" w:space="0"/>
              <w:left w:val="single" w:color="000000" w:sz="8" w:space="0"/>
              <w:bottom w:val="single" w:color="000000" w:sz="8" w:space="0"/>
              <w:right w:val="single" w:color="000000" w:sz="8" w:space="0"/>
            </w:tcBorders>
          </w:tcPr>
          <w:p w14:paraId="19300F88">
            <w:pPr>
              <w:wordWrap w:val="0"/>
              <w:rPr>
                <w:szCs w:val="21"/>
              </w:rPr>
            </w:pPr>
            <w:r>
              <w:rPr>
                <w:szCs w:val="21"/>
              </w:rPr>
              <w:t>诚信情况</w:t>
            </w:r>
          </w:p>
          <w:p w14:paraId="40C6C92B">
            <w:pPr>
              <w:jc w:val="left"/>
              <w:rPr>
                <w:rFonts w:ascii="Calibri" w:hAnsi="Calibri" w:cs="宋体"/>
                <w:szCs w:val="22"/>
              </w:rPr>
            </w:pPr>
          </w:p>
        </w:tc>
        <w:tc>
          <w:tcPr>
            <w:tcW w:w="974" w:type="dxa"/>
            <w:tcBorders>
              <w:top w:val="single" w:color="000000" w:sz="8" w:space="0"/>
              <w:left w:val="single" w:color="000000" w:sz="8" w:space="0"/>
              <w:bottom w:val="single" w:color="000000" w:sz="8" w:space="0"/>
              <w:right w:val="single" w:color="000000" w:sz="8" w:space="0"/>
            </w:tcBorders>
          </w:tcPr>
          <w:p w14:paraId="614C1C4F">
            <w:pPr>
              <w:wordWrap w:val="0"/>
              <w:jc w:val="left"/>
              <w:rPr>
                <w:rFonts w:ascii="宋体" w:hAnsi="宋体" w:cs="宋体"/>
                <w:szCs w:val="21"/>
              </w:rPr>
            </w:pPr>
            <w:r>
              <w:rPr>
                <w:rFonts w:ascii="Calibri" w:hAnsi="Calibri" w:cs="宋体"/>
                <w:szCs w:val="21"/>
              </w:rPr>
              <w:t>5</w:t>
            </w:r>
          </w:p>
        </w:tc>
        <w:tc>
          <w:tcPr>
            <w:tcW w:w="4197" w:type="dxa"/>
            <w:tcBorders>
              <w:top w:val="single" w:color="000000" w:sz="8" w:space="0"/>
              <w:left w:val="single" w:color="000000" w:sz="8" w:space="0"/>
              <w:bottom w:val="single" w:color="000000" w:sz="8" w:space="0"/>
              <w:right w:val="single" w:color="000000" w:sz="8" w:space="0"/>
            </w:tcBorders>
          </w:tcPr>
          <w:p w14:paraId="25BF2BC2">
            <w:pPr>
              <w:pStyle w:val="17"/>
              <w:wordWrap w:val="0"/>
              <w:spacing w:line="240" w:lineRule="auto"/>
              <w:ind w:firstLine="420" w:firstLineChars="200"/>
              <w:rPr>
                <w:rFonts w:ascii="宋体" w:hAnsi="宋体" w:cs="宋体"/>
                <w:b w:val="0"/>
                <w:bCs w:val="0"/>
                <w:sz w:val="21"/>
                <w:szCs w:val="21"/>
              </w:rPr>
            </w:pPr>
            <w:r>
              <w:rPr>
                <w:rFonts w:hint="eastAsia" w:ascii="宋体" w:hAnsi="宋体" w:cs="宋体"/>
                <w:b w:val="0"/>
                <w:bCs w:val="0"/>
                <w:sz w:val="21"/>
                <w:szCs w:val="21"/>
              </w:rPr>
              <w:t>投标人存在《深圳市财政局政府采购供应商信用信息管理办法》（深财规〔2023〕3号）列明的一般行政处罚信息、一般违法失信记录信息的，本项不得分，不存在上述情形的本项得满分。投标人无需提供任何证明材料，评标过程中由工作人员向评审委员会提供有关供应商诚信查询结果。“深圳政府采购智慧平台信用库”作为供应商信用信息的法定查询渠道之一。</w:t>
            </w:r>
          </w:p>
          <w:p w14:paraId="23173EB9">
            <w:pPr>
              <w:wordWrap w:val="0"/>
              <w:rPr>
                <w:rFonts w:ascii="宋体" w:hAnsi="宋体"/>
                <w:color w:val="FF0000"/>
              </w:rPr>
            </w:pPr>
            <w:r>
              <w:rPr>
                <w:rFonts w:hint="eastAsia" w:ascii="宋体" w:hAnsi="宋体" w:cs="宋体"/>
                <w:szCs w:val="21"/>
              </w:rPr>
              <w:t>查询渠道：通过“信用中国”（www.creditchina.gov.cn，下载信用信息报告）、“中国政府采购网”（www.ccgp.gov.cn）以及“深圳市政府采购监管网”（http://zfcg.sz.gov.cn）以及财政部门认可的“供应商诚信档案库”查查询供应商信用信息，信用信息以开标当日的查询结果为准。</w:t>
            </w:r>
          </w:p>
        </w:tc>
      </w:tr>
    </w:tbl>
    <w:p w14:paraId="68B354BC">
      <w:pPr>
        <w:widowControl/>
        <w:jc w:val="left"/>
        <w:rPr>
          <w:rFonts w:ascii="黑体" w:hAnsi="黑体" w:eastAsia="黑体"/>
          <w:color w:val="FF0000"/>
          <w:sz w:val="28"/>
          <w:szCs w:val="28"/>
        </w:rPr>
      </w:pPr>
    </w:p>
    <w:p w14:paraId="7F797D82">
      <w:pPr>
        <w:pStyle w:val="29"/>
        <w:spacing w:before="280" w:after="280" w:line="320" w:lineRule="exact"/>
        <w:jc w:val="center"/>
        <w:outlineLvl w:val="1"/>
        <w:rPr>
          <w:rFonts w:ascii="黑体" w:hAnsi="黑体" w:eastAsia="黑体"/>
          <w:sz w:val="28"/>
          <w:szCs w:val="40"/>
        </w:rPr>
      </w:pPr>
      <w:bookmarkStart w:id="4" w:name="OLE_LINK34"/>
      <w:r>
        <w:rPr>
          <w:rFonts w:hint="eastAsia" w:ascii="黑体" w:hAnsi="黑体" w:eastAsia="黑体"/>
          <w:sz w:val="28"/>
          <w:szCs w:val="40"/>
        </w:rPr>
        <w:t>定标方法</w:t>
      </w:r>
    </w:p>
    <w:p w14:paraId="7504E953">
      <w:pPr>
        <w:jc w:val="center"/>
      </w:pPr>
      <w:r>
        <w:rPr>
          <w:rFonts w:hint="eastAsia"/>
          <w:b/>
        </w:rPr>
        <w:t>非评定分离项目</w:t>
      </w:r>
    </w:p>
    <w:tbl>
      <w:tblPr>
        <w:tblStyle w:val="34"/>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909"/>
      </w:tblGrid>
      <w:tr w14:paraId="0AF0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center"/>
          </w:tcPr>
          <w:p w14:paraId="6AFE745B">
            <w:pPr>
              <w:jc w:val="center"/>
              <w:rPr>
                <w:b/>
                <w:bCs/>
              </w:rPr>
            </w:pPr>
            <w:r>
              <w:rPr>
                <w:rFonts w:hint="eastAsia"/>
                <w:b/>
                <w:bCs/>
              </w:rPr>
              <w:t>评标方法</w:t>
            </w:r>
          </w:p>
        </w:tc>
        <w:tc>
          <w:tcPr>
            <w:tcW w:w="5909" w:type="dxa"/>
            <w:vAlign w:val="center"/>
          </w:tcPr>
          <w:p w14:paraId="31D53ECB">
            <w:pPr>
              <w:jc w:val="center"/>
              <w:rPr>
                <w:b/>
                <w:bCs/>
              </w:rPr>
            </w:pPr>
            <w:r>
              <w:rPr>
                <w:rFonts w:hint="eastAsia"/>
                <w:b/>
                <w:bCs/>
              </w:rPr>
              <w:t>综合评分法</w:t>
            </w:r>
          </w:p>
        </w:tc>
      </w:tr>
      <w:tr w14:paraId="0C47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844" w:type="dxa"/>
            <w:vAlign w:val="center"/>
          </w:tcPr>
          <w:p w14:paraId="3EC12531">
            <w:pPr>
              <w:jc w:val="center"/>
            </w:pPr>
            <w:r>
              <w:rPr>
                <w:rFonts w:hint="eastAsia"/>
              </w:rPr>
              <w:t>候选中标供应商家数</w:t>
            </w:r>
          </w:p>
        </w:tc>
        <w:tc>
          <w:tcPr>
            <w:tcW w:w="5909" w:type="dxa"/>
            <w:vAlign w:val="center"/>
          </w:tcPr>
          <w:p w14:paraId="07BCFF18">
            <w:pPr>
              <w:jc w:val="center"/>
            </w:pPr>
            <w:r>
              <w:rPr>
                <w:rFonts w:hint="eastAsia"/>
              </w:rPr>
              <w:t>2</w:t>
            </w:r>
          </w:p>
        </w:tc>
      </w:tr>
      <w:tr w14:paraId="04D5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center"/>
          </w:tcPr>
          <w:p w14:paraId="5F2B6229">
            <w:pPr>
              <w:jc w:val="center"/>
            </w:pPr>
            <w:r>
              <w:rPr>
                <w:rFonts w:hint="eastAsia"/>
              </w:rPr>
              <w:t>中标供应商家数</w:t>
            </w:r>
          </w:p>
        </w:tc>
        <w:tc>
          <w:tcPr>
            <w:tcW w:w="5909" w:type="dxa"/>
            <w:vAlign w:val="center"/>
          </w:tcPr>
          <w:p w14:paraId="0E3891E1">
            <w:pPr>
              <w:jc w:val="center"/>
            </w:pPr>
            <w:r>
              <w:rPr>
                <w:rFonts w:hint="eastAsia"/>
              </w:rPr>
              <w:t>1</w:t>
            </w:r>
          </w:p>
        </w:tc>
      </w:tr>
    </w:tbl>
    <w:p w14:paraId="45CEEE82">
      <w:pPr>
        <w:spacing w:line="320" w:lineRule="exact"/>
        <w:ind w:firstLine="411" w:firstLineChars="196"/>
        <w:rPr>
          <w:szCs w:val="21"/>
        </w:rPr>
      </w:pPr>
    </w:p>
    <w:p w14:paraId="5227691B">
      <w:pPr>
        <w:ind w:firstLine="411" w:firstLineChars="196"/>
        <w:rPr>
          <w:rFonts w:ascii="宋体" w:hAnsi="宋体" w:cs="宋体"/>
          <w:color w:val="FF0000"/>
          <w:kern w:val="0"/>
          <w:szCs w:val="21"/>
        </w:rPr>
      </w:pPr>
      <w:r>
        <w:rPr>
          <w:rFonts w:hint="eastAsia"/>
          <w:szCs w:val="21"/>
        </w:rPr>
        <w:t>☑</w:t>
      </w:r>
      <w:r>
        <w:rPr>
          <w:rFonts w:hint="eastAsia" w:ascii="宋体" w:hAnsi="宋体" w:cs="宋体"/>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第二的投标人为第一递补中标候选人、排名第三的投标人为第二递补中标候选人）。中标候选人并列的，采取随机抽取的方式确定，具体操作办法及流程由评标委员会确定。</w:t>
      </w:r>
      <w:r>
        <w:rPr>
          <w:rFonts w:hint="eastAsia" w:ascii="宋体" w:hAnsi="宋体" w:cs="宋体"/>
          <w:color w:val="FF0000"/>
          <w:kern w:val="0"/>
          <w:szCs w:val="21"/>
        </w:rPr>
        <w:t>如排名第一的中标候选人被认定投标或中标无效，符合法定情形时，依法顺次替补；合格供应商不符合法定数量时，应当重新开展采购活动。</w:t>
      </w:r>
    </w:p>
    <w:p w14:paraId="5B5A87E8">
      <w:pPr>
        <w:ind w:firstLine="411" w:firstLineChars="196"/>
        <w:rPr>
          <w:rFonts w:ascii="宋体" w:hAnsi="宋体" w:cs="宋体"/>
          <w:kern w:val="0"/>
          <w:szCs w:val="21"/>
        </w:rPr>
      </w:pPr>
    </w:p>
    <w:p w14:paraId="5EA8761D">
      <w:pPr>
        <w:ind w:firstLine="411" w:firstLineChars="196"/>
        <w:rPr>
          <w:rFonts w:ascii="宋体" w:hAnsi="宋体" w:cs="宋体"/>
          <w:kern w:val="0"/>
          <w:szCs w:val="21"/>
        </w:rPr>
      </w:pPr>
      <w:r>
        <w:rPr>
          <w:rFonts w:hint="eastAsia" w:ascii="宋体" w:hAnsi="宋体" w:cs="宋体"/>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ascii="宋体" w:hAnsi="宋体" w:cs="宋体"/>
          <w:color w:val="FF0000"/>
          <w:kern w:val="0"/>
          <w:szCs w:val="21"/>
        </w:rPr>
        <w:t>如唯一候选中标供应商被认定投标或中标无效，采购人应当重新开展采购活动。</w:t>
      </w:r>
    </w:p>
    <w:p w14:paraId="16BABD66">
      <w:pPr>
        <w:pStyle w:val="32"/>
        <w:ind w:left="0" w:leftChars="0" w:firstLine="0" w:firstLineChars="0"/>
      </w:pPr>
    </w:p>
    <w:p w14:paraId="3562460F">
      <w:pPr>
        <w:spacing w:line="320" w:lineRule="exact"/>
      </w:pPr>
    </w:p>
    <w:p w14:paraId="438A3D3F">
      <w:pPr>
        <w:pStyle w:val="29"/>
        <w:spacing w:before="280" w:after="280" w:line="320" w:lineRule="exact"/>
        <w:jc w:val="center"/>
        <w:outlineLvl w:val="1"/>
        <w:rPr>
          <w:rFonts w:ascii="黑体" w:hAnsi="黑体" w:eastAsia="黑体"/>
          <w:sz w:val="28"/>
          <w:szCs w:val="40"/>
        </w:rPr>
      </w:pPr>
      <w:r>
        <w:rPr>
          <w:rFonts w:hint="eastAsia" w:ascii="黑体" w:hAnsi="黑体" w:eastAsia="黑体"/>
          <w:sz w:val="28"/>
          <w:szCs w:val="40"/>
        </w:rPr>
        <w:t>相关费用</w:t>
      </w:r>
    </w:p>
    <w:p w14:paraId="29F902DE">
      <w:pPr>
        <w:ind w:firstLine="422" w:firstLineChars="200"/>
        <w:rPr>
          <w:b/>
        </w:rPr>
      </w:pPr>
      <w:bookmarkStart w:id="5" w:name="OLE_LINK29"/>
      <w:r>
        <w:rPr>
          <w:rFonts w:hint="eastAsia"/>
          <w:b/>
        </w:rPr>
        <w:t>1、采购代理服务费</w:t>
      </w:r>
    </w:p>
    <w:p w14:paraId="6A3764D5">
      <w:pPr>
        <w:ind w:firstLine="422" w:firstLineChars="200"/>
        <w:rPr>
          <w:b/>
        </w:rPr>
      </w:pPr>
      <w:r>
        <w:rPr>
          <w:rFonts w:hint="eastAsia"/>
          <w:b/>
        </w:rPr>
        <w:t>本项目为代理服务项目，将向中标（成交）供应商收取代理服务费。</w:t>
      </w:r>
    </w:p>
    <w:p w14:paraId="4BD04C05">
      <w:pPr>
        <w:ind w:firstLine="420" w:firstLineChars="200"/>
      </w:pPr>
      <w:r>
        <w:rPr>
          <w:rFonts w:hint="eastAsia"/>
        </w:rPr>
        <w:t>中标</w:t>
      </w:r>
      <w:bookmarkEnd w:id="5"/>
      <w:r>
        <w:rPr>
          <w:rFonts w:hint="eastAsia"/>
        </w:rPr>
        <w:t>（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B90C7F9">
      <w:pPr>
        <w:ind w:firstLine="420" w:firstLineChars="200"/>
      </w:pPr>
      <w:r>
        <w:rPr>
          <w:rFonts w:hint="eastAsia"/>
        </w:rPr>
        <w:t>（1）代理服务费以《中标（成交）通知书》确定的中标（成交）金额作为计算基数，按差额定率累进法计算。</w:t>
      </w:r>
    </w:p>
    <w:p w14:paraId="57F291DD">
      <w:pPr>
        <w:ind w:firstLine="420" w:firstLineChars="200"/>
      </w:pPr>
      <w:r>
        <w:rPr>
          <w:rFonts w:hint="eastAsia"/>
        </w:rPr>
        <w:t>（2）中标（成交）金额的各部分费率如下表：</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573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A21E2AA">
            <w:pPr>
              <w:widowControl/>
              <w:spacing w:line="360" w:lineRule="auto"/>
              <w:jc w:val="center"/>
            </w:pPr>
            <w:r>
              <w:rPr>
                <w:rFonts w:hint="eastAsia"/>
              </w:rPr>
              <w:t>中标（成交）金额</w:t>
            </w:r>
          </w:p>
        </w:tc>
        <w:tc>
          <w:tcPr>
            <w:tcW w:w="1799" w:type="dxa"/>
            <w:vAlign w:val="center"/>
          </w:tcPr>
          <w:p w14:paraId="3AA5D9B0">
            <w:pPr>
              <w:widowControl/>
              <w:spacing w:line="360" w:lineRule="auto"/>
              <w:jc w:val="center"/>
            </w:pPr>
            <w:r>
              <w:rPr>
                <w:rFonts w:hint="eastAsia"/>
              </w:rPr>
              <w:t>货物采购</w:t>
            </w:r>
          </w:p>
        </w:tc>
        <w:tc>
          <w:tcPr>
            <w:tcW w:w="1799" w:type="dxa"/>
            <w:vAlign w:val="center"/>
          </w:tcPr>
          <w:p w14:paraId="67267F9D">
            <w:pPr>
              <w:widowControl/>
              <w:spacing w:line="360" w:lineRule="auto"/>
              <w:jc w:val="center"/>
            </w:pPr>
            <w:r>
              <w:rPr>
                <w:rFonts w:hint="eastAsia"/>
              </w:rPr>
              <w:t>服务采购</w:t>
            </w:r>
          </w:p>
        </w:tc>
        <w:tc>
          <w:tcPr>
            <w:tcW w:w="1799" w:type="dxa"/>
            <w:vAlign w:val="center"/>
          </w:tcPr>
          <w:p w14:paraId="1DC2314C">
            <w:pPr>
              <w:widowControl/>
              <w:spacing w:line="360" w:lineRule="auto"/>
              <w:jc w:val="center"/>
            </w:pPr>
            <w:r>
              <w:rPr>
                <w:rFonts w:hint="eastAsia"/>
              </w:rPr>
              <w:t>工程采购</w:t>
            </w:r>
          </w:p>
        </w:tc>
      </w:tr>
      <w:tr w14:paraId="79F5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54707BE">
            <w:pPr>
              <w:widowControl/>
              <w:spacing w:line="360" w:lineRule="auto"/>
              <w:jc w:val="center"/>
            </w:pPr>
            <w:r>
              <w:rPr>
                <w:rFonts w:hint="eastAsia"/>
              </w:rPr>
              <w:t>100万元以下</w:t>
            </w:r>
          </w:p>
        </w:tc>
        <w:tc>
          <w:tcPr>
            <w:tcW w:w="1799" w:type="dxa"/>
            <w:vAlign w:val="center"/>
          </w:tcPr>
          <w:p w14:paraId="0862745C">
            <w:pPr>
              <w:widowControl/>
              <w:spacing w:line="360" w:lineRule="auto"/>
              <w:jc w:val="center"/>
            </w:pPr>
            <w:r>
              <w:rPr>
                <w:rFonts w:hint="eastAsia"/>
              </w:rPr>
              <w:t>1.5%</w:t>
            </w:r>
          </w:p>
        </w:tc>
        <w:tc>
          <w:tcPr>
            <w:tcW w:w="1799" w:type="dxa"/>
            <w:vAlign w:val="center"/>
          </w:tcPr>
          <w:p w14:paraId="464A6DA8">
            <w:pPr>
              <w:widowControl/>
              <w:spacing w:line="360" w:lineRule="auto"/>
              <w:jc w:val="center"/>
            </w:pPr>
            <w:r>
              <w:rPr>
                <w:rFonts w:hint="eastAsia"/>
              </w:rPr>
              <w:t>1.5%</w:t>
            </w:r>
          </w:p>
        </w:tc>
        <w:tc>
          <w:tcPr>
            <w:tcW w:w="1799" w:type="dxa"/>
            <w:vAlign w:val="center"/>
          </w:tcPr>
          <w:p w14:paraId="51AC45FF">
            <w:pPr>
              <w:widowControl/>
              <w:spacing w:line="360" w:lineRule="auto"/>
              <w:jc w:val="center"/>
            </w:pPr>
            <w:r>
              <w:rPr>
                <w:rFonts w:hint="eastAsia"/>
              </w:rPr>
              <w:t>1.0%</w:t>
            </w:r>
          </w:p>
        </w:tc>
      </w:tr>
      <w:tr w14:paraId="0561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00DF47">
            <w:pPr>
              <w:widowControl/>
              <w:spacing w:line="360" w:lineRule="auto"/>
              <w:jc w:val="center"/>
            </w:pPr>
            <w:r>
              <w:rPr>
                <w:rFonts w:hint="eastAsia"/>
              </w:rPr>
              <w:t>100万元（含）-500万元</w:t>
            </w:r>
          </w:p>
        </w:tc>
        <w:tc>
          <w:tcPr>
            <w:tcW w:w="1799" w:type="dxa"/>
            <w:vAlign w:val="center"/>
          </w:tcPr>
          <w:p w14:paraId="4ED5D0C7">
            <w:pPr>
              <w:widowControl/>
              <w:spacing w:line="360" w:lineRule="auto"/>
              <w:jc w:val="center"/>
            </w:pPr>
            <w:r>
              <w:rPr>
                <w:rFonts w:hint="eastAsia"/>
              </w:rPr>
              <w:t>1.1%</w:t>
            </w:r>
          </w:p>
        </w:tc>
        <w:tc>
          <w:tcPr>
            <w:tcW w:w="1799" w:type="dxa"/>
            <w:vAlign w:val="center"/>
          </w:tcPr>
          <w:p w14:paraId="17C6DAE8">
            <w:pPr>
              <w:widowControl/>
              <w:spacing w:line="360" w:lineRule="auto"/>
              <w:jc w:val="center"/>
            </w:pPr>
            <w:r>
              <w:rPr>
                <w:rFonts w:hint="eastAsia"/>
              </w:rPr>
              <w:t>0.8%</w:t>
            </w:r>
          </w:p>
        </w:tc>
        <w:tc>
          <w:tcPr>
            <w:tcW w:w="1799" w:type="dxa"/>
            <w:vAlign w:val="center"/>
          </w:tcPr>
          <w:p w14:paraId="10F05026">
            <w:pPr>
              <w:widowControl/>
              <w:spacing w:line="360" w:lineRule="auto"/>
              <w:jc w:val="center"/>
            </w:pPr>
            <w:r>
              <w:rPr>
                <w:rFonts w:hint="eastAsia"/>
              </w:rPr>
              <w:t>0.7%</w:t>
            </w:r>
          </w:p>
        </w:tc>
      </w:tr>
      <w:tr w14:paraId="7A8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241FAF2">
            <w:pPr>
              <w:widowControl/>
              <w:spacing w:line="360" w:lineRule="auto"/>
              <w:jc w:val="center"/>
            </w:pPr>
            <w:r>
              <w:rPr>
                <w:rFonts w:hint="eastAsia"/>
              </w:rPr>
              <w:t>500万元（含）-1000万元</w:t>
            </w:r>
          </w:p>
        </w:tc>
        <w:tc>
          <w:tcPr>
            <w:tcW w:w="1799" w:type="dxa"/>
            <w:vAlign w:val="center"/>
          </w:tcPr>
          <w:p w14:paraId="3D4966AB">
            <w:pPr>
              <w:widowControl/>
              <w:spacing w:line="360" w:lineRule="auto"/>
              <w:jc w:val="center"/>
            </w:pPr>
            <w:r>
              <w:rPr>
                <w:rFonts w:hint="eastAsia"/>
              </w:rPr>
              <w:t>0.8%</w:t>
            </w:r>
          </w:p>
        </w:tc>
        <w:tc>
          <w:tcPr>
            <w:tcW w:w="1799" w:type="dxa"/>
            <w:vAlign w:val="center"/>
          </w:tcPr>
          <w:p w14:paraId="447D12D1">
            <w:pPr>
              <w:widowControl/>
              <w:spacing w:line="360" w:lineRule="auto"/>
              <w:jc w:val="center"/>
            </w:pPr>
            <w:r>
              <w:rPr>
                <w:rFonts w:hint="eastAsia"/>
              </w:rPr>
              <w:t>0.45%</w:t>
            </w:r>
          </w:p>
        </w:tc>
        <w:tc>
          <w:tcPr>
            <w:tcW w:w="1799" w:type="dxa"/>
            <w:vAlign w:val="center"/>
          </w:tcPr>
          <w:p w14:paraId="053DFBD2">
            <w:pPr>
              <w:widowControl/>
              <w:spacing w:line="360" w:lineRule="auto"/>
              <w:jc w:val="center"/>
            </w:pPr>
            <w:r>
              <w:rPr>
                <w:rFonts w:hint="eastAsia"/>
              </w:rPr>
              <w:t>0.55%</w:t>
            </w:r>
          </w:p>
        </w:tc>
      </w:tr>
      <w:tr w14:paraId="2C1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30A943">
            <w:pPr>
              <w:widowControl/>
              <w:spacing w:line="360" w:lineRule="auto"/>
              <w:jc w:val="center"/>
            </w:pPr>
            <w:r>
              <w:rPr>
                <w:rFonts w:hint="eastAsia"/>
              </w:rPr>
              <w:t>1000万元（含）-5000万元</w:t>
            </w:r>
          </w:p>
        </w:tc>
        <w:tc>
          <w:tcPr>
            <w:tcW w:w="1799" w:type="dxa"/>
            <w:vAlign w:val="center"/>
          </w:tcPr>
          <w:p w14:paraId="091B9208">
            <w:pPr>
              <w:widowControl/>
              <w:spacing w:line="360" w:lineRule="auto"/>
              <w:jc w:val="center"/>
            </w:pPr>
            <w:r>
              <w:rPr>
                <w:rFonts w:hint="eastAsia"/>
              </w:rPr>
              <w:t>0.5%</w:t>
            </w:r>
          </w:p>
        </w:tc>
        <w:tc>
          <w:tcPr>
            <w:tcW w:w="1799" w:type="dxa"/>
            <w:vAlign w:val="center"/>
          </w:tcPr>
          <w:p w14:paraId="5FCBC025">
            <w:pPr>
              <w:widowControl/>
              <w:spacing w:line="360" w:lineRule="auto"/>
              <w:jc w:val="center"/>
            </w:pPr>
            <w:r>
              <w:rPr>
                <w:rFonts w:hint="eastAsia"/>
              </w:rPr>
              <w:t>0.25%</w:t>
            </w:r>
          </w:p>
        </w:tc>
        <w:tc>
          <w:tcPr>
            <w:tcW w:w="1799" w:type="dxa"/>
            <w:vAlign w:val="center"/>
          </w:tcPr>
          <w:p w14:paraId="092611A6">
            <w:pPr>
              <w:widowControl/>
              <w:spacing w:line="360" w:lineRule="auto"/>
              <w:jc w:val="center"/>
            </w:pPr>
            <w:r>
              <w:rPr>
                <w:rFonts w:hint="eastAsia"/>
              </w:rPr>
              <w:t>0.35%</w:t>
            </w:r>
          </w:p>
        </w:tc>
      </w:tr>
      <w:tr w14:paraId="0861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1A50B">
            <w:pPr>
              <w:widowControl/>
              <w:spacing w:line="360" w:lineRule="auto"/>
              <w:jc w:val="center"/>
            </w:pPr>
            <w:r>
              <w:rPr>
                <w:rFonts w:hint="eastAsia"/>
              </w:rPr>
              <w:t>5000万元（含）-1亿元</w:t>
            </w:r>
          </w:p>
        </w:tc>
        <w:tc>
          <w:tcPr>
            <w:tcW w:w="1799" w:type="dxa"/>
            <w:vAlign w:val="center"/>
          </w:tcPr>
          <w:p w14:paraId="68940062">
            <w:pPr>
              <w:widowControl/>
              <w:spacing w:line="360" w:lineRule="auto"/>
              <w:jc w:val="center"/>
            </w:pPr>
            <w:r>
              <w:rPr>
                <w:rFonts w:hint="eastAsia"/>
              </w:rPr>
              <w:t>0.25%</w:t>
            </w:r>
          </w:p>
        </w:tc>
        <w:tc>
          <w:tcPr>
            <w:tcW w:w="1799" w:type="dxa"/>
            <w:vAlign w:val="center"/>
          </w:tcPr>
          <w:p w14:paraId="71E169C5">
            <w:pPr>
              <w:widowControl/>
              <w:spacing w:line="360" w:lineRule="auto"/>
              <w:jc w:val="center"/>
            </w:pPr>
            <w:r>
              <w:rPr>
                <w:rFonts w:hint="eastAsia"/>
              </w:rPr>
              <w:t>0.1%</w:t>
            </w:r>
          </w:p>
        </w:tc>
        <w:tc>
          <w:tcPr>
            <w:tcW w:w="1799" w:type="dxa"/>
            <w:vAlign w:val="center"/>
          </w:tcPr>
          <w:p w14:paraId="45B17D3F">
            <w:pPr>
              <w:widowControl/>
              <w:spacing w:line="360" w:lineRule="auto"/>
              <w:jc w:val="center"/>
            </w:pPr>
            <w:r>
              <w:rPr>
                <w:rFonts w:hint="eastAsia"/>
              </w:rPr>
              <w:t>0.2%</w:t>
            </w:r>
          </w:p>
        </w:tc>
      </w:tr>
      <w:tr w14:paraId="3374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103EAE1">
            <w:pPr>
              <w:widowControl/>
              <w:spacing w:line="360" w:lineRule="auto"/>
              <w:jc w:val="center"/>
            </w:pPr>
            <w:r>
              <w:rPr>
                <w:rFonts w:hint="eastAsia"/>
              </w:rPr>
              <w:t>1亿元（含）-5亿元</w:t>
            </w:r>
          </w:p>
        </w:tc>
        <w:tc>
          <w:tcPr>
            <w:tcW w:w="1799" w:type="dxa"/>
            <w:vAlign w:val="center"/>
          </w:tcPr>
          <w:p w14:paraId="2296D29C">
            <w:pPr>
              <w:widowControl/>
              <w:spacing w:line="360" w:lineRule="auto"/>
              <w:jc w:val="center"/>
            </w:pPr>
            <w:r>
              <w:rPr>
                <w:rFonts w:hint="eastAsia"/>
              </w:rPr>
              <w:t>0.05%</w:t>
            </w:r>
          </w:p>
        </w:tc>
        <w:tc>
          <w:tcPr>
            <w:tcW w:w="1799" w:type="dxa"/>
            <w:vAlign w:val="center"/>
          </w:tcPr>
          <w:p w14:paraId="7F3A12AA">
            <w:pPr>
              <w:widowControl/>
              <w:spacing w:line="360" w:lineRule="auto"/>
              <w:jc w:val="center"/>
            </w:pPr>
            <w:r>
              <w:rPr>
                <w:rFonts w:hint="eastAsia"/>
              </w:rPr>
              <w:t>0.05%</w:t>
            </w:r>
          </w:p>
        </w:tc>
        <w:tc>
          <w:tcPr>
            <w:tcW w:w="1799" w:type="dxa"/>
            <w:vAlign w:val="center"/>
          </w:tcPr>
          <w:p w14:paraId="79F2BF25">
            <w:pPr>
              <w:widowControl/>
              <w:spacing w:line="360" w:lineRule="auto"/>
              <w:jc w:val="center"/>
            </w:pPr>
            <w:r>
              <w:rPr>
                <w:rFonts w:hint="eastAsia"/>
              </w:rPr>
              <w:t>0.05%</w:t>
            </w:r>
          </w:p>
        </w:tc>
      </w:tr>
      <w:tr w14:paraId="3750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0D0615">
            <w:pPr>
              <w:widowControl/>
              <w:spacing w:line="360" w:lineRule="auto"/>
              <w:jc w:val="center"/>
            </w:pPr>
            <w:r>
              <w:rPr>
                <w:rFonts w:hint="eastAsia"/>
              </w:rPr>
              <w:t>5亿元（含）-10亿元</w:t>
            </w:r>
          </w:p>
        </w:tc>
        <w:tc>
          <w:tcPr>
            <w:tcW w:w="1799" w:type="dxa"/>
            <w:vAlign w:val="center"/>
          </w:tcPr>
          <w:p w14:paraId="64C4D0D6">
            <w:pPr>
              <w:widowControl/>
              <w:spacing w:line="360" w:lineRule="auto"/>
              <w:jc w:val="center"/>
            </w:pPr>
            <w:r>
              <w:rPr>
                <w:rFonts w:hint="eastAsia"/>
              </w:rPr>
              <w:t>0.035%</w:t>
            </w:r>
          </w:p>
        </w:tc>
        <w:tc>
          <w:tcPr>
            <w:tcW w:w="1799" w:type="dxa"/>
            <w:vAlign w:val="center"/>
          </w:tcPr>
          <w:p w14:paraId="44FA771E">
            <w:pPr>
              <w:widowControl/>
              <w:spacing w:line="360" w:lineRule="auto"/>
              <w:jc w:val="center"/>
            </w:pPr>
            <w:r>
              <w:rPr>
                <w:rFonts w:hint="eastAsia"/>
              </w:rPr>
              <w:t>0.035%</w:t>
            </w:r>
          </w:p>
        </w:tc>
        <w:tc>
          <w:tcPr>
            <w:tcW w:w="1799" w:type="dxa"/>
            <w:vAlign w:val="center"/>
          </w:tcPr>
          <w:p w14:paraId="44E6CDD2">
            <w:pPr>
              <w:widowControl/>
              <w:spacing w:line="360" w:lineRule="auto"/>
              <w:jc w:val="center"/>
            </w:pPr>
            <w:r>
              <w:rPr>
                <w:rFonts w:hint="eastAsia"/>
              </w:rPr>
              <w:t>0.035%</w:t>
            </w:r>
          </w:p>
        </w:tc>
      </w:tr>
      <w:tr w14:paraId="32C7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E1988F2">
            <w:pPr>
              <w:widowControl/>
              <w:spacing w:line="360" w:lineRule="auto"/>
              <w:jc w:val="center"/>
            </w:pPr>
            <w:r>
              <w:rPr>
                <w:rFonts w:hint="eastAsia"/>
              </w:rPr>
              <w:t>10亿元（含）-50亿元</w:t>
            </w:r>
          </w:p>
        </w:tc>
        <w:tc>
          <w:tcPr>
            <w:tcW w:w="1799" w:type="dxa"/>
            <w:vAlign w:val="center"/>
          </w:tcPr>
          <w:p w14:paraId="659EBD7D">
            <w:pPr>
              <w:widowControl/>
              <w:spacing w:line="360" w:lineRule="auto"/>
              <w:jc w:val="center"/>
            </w:pPr>
            <w:r>
              <w:rPr>
                <w:rFonts w:hint="eastAsia"/>
              </w:rPr>
              <w:t>0.008%</w:t>
            </w:r>
          </w:p>
        </w:tc>
        <w:tc>
          <w:tcPr>
            <w:tcW w:w="1799" w:type="dxa"/>
            <w:vAlign w:val="center"/>
          </w:tcPr>
          <w:p w14:paraId="1AF4262B">
            <w:pPr>
              <w:widowControl/>
              <w:spacing w:line="360" w:lineRule="auto"/>
              <w:jc w:val="center"/>
            </w:pPr>
            <w:r>
              <w:rPr>
                <w:rFonts w:hint="eastAsia"/>
              </w:rPr>
              <w:t>0.008%</w:t>
            </w:r>
          </w:p>
        </w:tc>
        <w:tc>
          <w:tcPr>
            <w:tcW w:w="1799" w:type="dxa"/>
            <w:vAlign w:val="center"/>
          </w:tcPr>
          <w:p w14:paraId="43DC1BCD">
            <w:pPr>
              <w:widowControl/>
              <w:spacing w:line="360" w:lineRule="auto"/>
              <w:jc w:val="center"/>
            </w:pPr>
            <w:r>
              <w:rPr>
                <w:rFonts w:hint="eastAsia"/>
              </w:rPr>
              <w:t>0.008%</w:t>
            </w:r>
          </w:p>
        </w:tc>
      </w:tr>
      <w:tr w14:paraId="11C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31947C">
            <w:pPr>
              <w:widowControl/>
              <w:spacing w:line="360" w:lineRule="auto"/>
              <w:jc w:val="center"/>
            </w:pPr>
            <w:r>
              <w:rPr>
                <w:rFonts w:hint="eastAsia"/>
              </w:rPr>
              <w:t>50亿元（含）-100亿元</w:t>
            </w:r>
          </w:p>
        </w:tc>
        <w:tc>
          <w:tcPr>
            <w:tcW w:w="1799" w:type="dxa"/>
            <w:vAlign w:val="center"/>
          </w:tcPr>
          <w:p w14:paraId="0EA2BB8C">
            <w:pPr>
              <w:widowControl/>
              <w:spacing w:line="360" w:lineRule="auto"/>
              <w:jc w:val="center"/>
            </w:pPr>
            <w:r>
              <w:rPr>
                <w:rFonts w:hint="eastAsia"/>
              </w:rPr>
              <w:t>0.006%</w:t>
            </w:r>
          </w:p>
        </w:tc>
        <w:tc>
          <w:tcPr>
            <w:tcW w:w="1799" w:type="dxa"/>
            <w:vAlign w:val="center"/>
          </w:tcPr>
          <w:p w14:paraId="79598064">
            <w:pPr>
              <w:widowControl/>
              <w:spacing w:line="360" w:lineRule="auto"/>
              <w:jc w:val="center"/>
            </w:pPr>
            <w:r>
              <w:rPr>
                <w:rFonts w:hint="eastAsia"/>
              </w:rPr>
              <w:t>0.006%</w:t>
            </w:r>
          </w:p>
        </w:tc>
        <w:tc>
          <w:tcPr>
            <w:tcW w:w="1799" w:type="dxa"/>
            <w:vAlign w:val="center"/>
          </w:tcPr>
          <w:p w14:paraId="774D02AA">
            <w:pPr>
              <w:widowControl/>
              <w:spacing w:line="360" w:lineRule="auto"/>
              <w:jc w:val="center"/>
            </w:pPr>
            <w:r>
              <w:rPr>
                <w:rFonts w:hint="eastAsia"/>
              </w:rPr>
              <w:t>0.006%</w:t>
            </w:r>
          </w:p>
        </w:tc>
      </w:tr>
      <w:tr w14:paraId="63B6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AC32ED">
            <w:pPr>
              <w:widowControl/>
              <w:spacing w:line="360" w:lineRule="auto"/>
              <w:jc w:val="center"/>
            </w:pPr>
            <w:r>
              <w:rPr>
                <w:rFonts w:hint="eastAsia"/>
              </w:rPr>
              <w:t>100亿元（含）以上</w:t>
            </w:r>
          </w:p>
        </w:tc>
        <w:tc>
          <w:tcPr>
            <w:tcW w:w="1799" w:type="dxa"/>
            <w:vAlign w:val="center"/>
          </w:tcPr>
          <w:p w14:paraId="69815EFB">
            <w:pPr>
              <w:widowControl/>
              <w:spacing w:line="360" w:lineRule="auto"/>
              <w:jc w:val="center"/>
            </w:pPr>
            <w:r>
              <w:rPr>
                <w:rFonts w:hint="eastAsia"/>
              </w:rPr>
              <w:t>0.004%</w:t>
            </w:r>
          </w:p>
        </w:tc>
        <w:tc>
          <w:tcPr>
            <w:tcW w:w="1799" w:type="dxa"/>
            <w:vAlign w:val="center"/>
          </w:tcPr>
          <w:p w14:paraId="68EB9E14">
            <w:pPr>
              <w:widowControl/>
              <w:spacing w:line="360" w:lineRule="auto"/>
              <w:jc w:val="center"/>
            </w:pPr>
            <w:r>
              <w:rPr>
                <w:rFonts w:hint="eastAsia"/>
              </w:rPr>
              <w:t>0.004%</w:t>
            </w:r>
          </w:p>
        </w:tc>
        <w:tc>
          <w:tcPr>
            <w:tcW w:w="1799" w:type="dxa"/>
            <w:vAlign w:val="center"/>
          </w:tcPr>
          <w:p w14:paraId="501CDA41">
            <w:pPr>
              <w:widowControl/>
              <w:spacing w:line="360" w:lineRule="auto"/>
              <w:jc w:val="center"/>
            </w:pPr>
            <w:r>
              <w:rPr>
                <w:rFonts w:hint="eastAsia"/>
              </w:rPr>
              <w:t>0.004%</w:t>
            </w:r>
          </w:p>
        </w:tc>
      </w:tr>
    </w:tbl>
    <w:p w14:paraId="32573183"/>
    <w:p w14:paraId="558D6344">
      <w:pPr>
        <w:ind w:firstLine="420" w:firstLineChars="200"/>
      </w:pPr>
      <w:r>
        <w:rPr>
          <w:rFonts w:hint="eastAsia"/>
        </w:rPr>
        <w:t>备注：1.每宗交易代理服务费不低于 5000 元；</w:t>
      </w:r>
    </w:p>
    <w:p w14:paraId="24465B16">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2C0056CF">
      <w:pPr>
        <w:ind w:firstLine="420" w:firstLineChars="200"/>
      </w:pPr>
    </w:p>
    <w:p w14:paraId="493FA828">
      <w:pPr>
        <w:ind w:firstLine="420" w:firstLineChars="200"/>
      </w:pPr>
      <w:r>
        <w:rPr>
          <w:rFonts w:hint="eastAsia"/>
        </w:rPr>
        <w:t>如某货物采购项目，中标（成交）金额为600万元，总共交纳的代理服务费的具体计算过程如下：</w:t>
      </w:r>
    </w:p>
    <w:p w14:paraId="727724D4">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5C5783B6">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54FE23E3">
      <w:pPr>
        <w:ind w:firstLine="422" w:firstLineChars="200"/>
        <w:rPr>
          <w:b/>
          <w:color w:val="FF0000"/>
        </w:rPr>
      </w:pPr>
      <w:r>
        <w:rPr>
          <w:rFonts w:hint="eastAsia"/>
          <w:b/>
          <w:color w:val="FF0000"/>
        </w:rPr>
        <w:t>基本户信息：</w:t>
      </w:r>
    </w:p>
    <w:p w14:paraId="479A2672">
      <w:pPr>
        <w:ind w:firstLine="420" w:firstLineChars="200"/>
        <w:rPr>
          <w:color w:val="FF0000"/>
        </w:rPr>
      </w:pPr>
      <w:r>
        <w:rPr>
          <w:rFonts w:hint="eastAsia"/>
          <w:color w:val="FF0000"/>
        </w:rPr>
        <w:t>账户名：深圳交易集团有限公司</w:t>
      </w:r>
    </w:p>
    <w:p w14:paraId="0E863607">
      <w:pPr>
        <w:ind w:firstLine="420" w:firstLineChars="200"/>
        <w:rPr>
          <w:color w:val="FF0000"/>
        </w:rPr>
      </w:pPr>
      <w:r>
        <w:rPr>
          <w:rFonts w:hint="eastAsia"/>
          <w:color w:val="FF0000"/>
        </w:rPr>
        <w:t>账号：</w:t>
      </w:r>
      <w:r>
        <w:rPr>
          <w:color w:val="FF0000"/>
        </w:rPr>
        <w:t>632766021</w:t>
      </w:r>
    </w:p>
    <w:p w14:paraId="7DED3CBD">
      <w:pPr>
        <w:ind w:firstLine="420" w:firstLineChars="200"/>
        <w:rPr>
          <w:color w:val="FF0000"/>
        </w:rPr>
      </w:pPr>
      <w:r>
        <w:rPr>
          <w:rFonts w:hint="eastAsia"/>
          <w:color w:val="FF0000"/>
        </w:rPr>
        <w:t>开户行：民生银行深圳五洲支行</w:t>
      </w:r>
    </w:p>
    <w:p w14:paraId="3EF58ADC">
      <w:pPr>
        <w:ind w:firstLine="422" w:firstLineChars="200"/>
        <w:rPr>
          <w:b/>
          <w:color w:val="FF0000"/>
        </w:rPr>
      </w:pPr>
      <w:r>
        <w:rPr>
          <w:rFonts w:hint="eastAsia"/>
          <w:b/>
          <w:color w:val="FF0000"/>
        </w:rPr>
        <w:t>转账备注：</w:t>
      </w:r>
    </w:p>
    <w:p w14:paraId="348259BD">
      <w:pPr>
        <w:ind w:firstLine="420" w:firstLineChars="200"/>
        <w:rPr>
          <w:color w:val="FF0000"/>
        </w:rPr>
      </w:pPr>
      <w:r>
        <w:rPr>
          <w:rFonts w:hint="eastAsia"/>
          <w:color w:val="FF0000"/>
        </w:rPr>
        <w:t>项目编号+项目名称+中标（成交）金额+中标（成交）供应商名称</w:t>
      </w:r>
    </w:p>
    <w:p w14:paraId="727BF839">
      <w:pPr>
        <w:ind w:firstLine="422" w:firstLineChars="200"/>
        <w:rPr>
          <w:b/>
        </w:rPr>
      </w:pPr>
      <w:r>
        <w:rPr>
          <w:rFonts w:hint="eastAsia"/>
          <w:b/>
        </w:rPr>
        <w:t>2、专家评审费</w:t>
      </w:r>
    </w:p>
    <w:p w14:paraId="5B898364">
      <w:pPr>
        <w:pStyle w:val="32"/>
        <w:ind w:left="0" w:leftChars="0"/>
      </w:pPr>
      <w:bookmarkStart w:id="6" w:name="OLE_LINK33"/>
      <w:r>
        <w:rPr>
          <w:rFonts w:hint="eastAsia"/>
        </w:rPr>
        <w:sym w:font="Wingdings" w:char="00FE"/>
      </w:r>
      <w:r>
        <w:rPr>
          <w:rFonts w:hint="eastAsia"/>
        </w:rPr>
        <w:t>本项目专家评审费由深圳公共资源交易中心（深圳交易集团有限公司罗湖分公司）支付，相关费用按照&lt;&lt;深圳市政府采购评审专家劳务报酬标准&gt;&gt;(深财购[2025]58号)执行。</w:t>
      </w:r>
      <w:bookmarkEnd w:id="6"/>
    </w:p>
    <w:p w14:paraId="1B8F29E2">
      <w:pPr>
        <w:pStyle w:val="32"/>
        <w:ind w:left="0" w:leftChars="0"/>
      </w:pPr>
    </w:p>
    <w:p w14:paraId="6ED0F539">
      <w:pPr>
        <w:widowControl/>
        <w:jc w:val="center"/>
        <w:rPr>
          <w:rFonts w:ascii="黑体" w:hAnsi="黑体" w:eastAsia="黑体"/>
          <w:sz w:val="28"/>
          <w:szCs w:val="40"/>
        </w:rPr>
      </w:pPr>
      <w:r>
        <w:rPr>
          <w:rFonts w:hint="eastAsia" w:ascii="黑体" w:hAnsi="黑体" w:eastAsia="黑体"/>
          <w:sz w:val="28"/>
          <w:szCs w:val="40"/>
        </w:rPr>
        <w:t>订单融资情况</w:t>
      </w:r>
    </w:p>
    <w:p w14:paraId="06E5C45B">
      <w:pPr>
        <w:widowControl/>
        <w:jc w:val="left"/>
        <w:rPr>
          <w:b/>
        </w:rPr>
      </w:pPr>
      <w:r>
        <w:rPr>
          <w:rFonts w:hint="eastAsia" w:ascii="宋体" w:hAnsi="宋体"/>
          <w:szCs w:val="21"/>
        </w:rPr>
        <w:t xml:space="preserve"> </w:t>
      </w:r>
      <w:r>
        <w:rPr>
          <w:rFonts w:hint="eastAsia"/>
          <w:b/>
        </w:rPr>
        <w:t xml:space="preserve">  </w:t>
      </w:r>
    </w:p>
    <w:p w14:paraId="28D80C25">
      <w:pPr>
        <w:ind w:firstLine="422" w:firstLineChars="200"/>
        <w:rPr>
          <w:b/>
          <w:bCs/>
        </w:rPr>
      </w:pPr>
      <w:r>
        <w:rPr>
          <w:rFonts w:hint="eastAsia"/>
          <w:b/>
          <w:bCs/>
        </w:rPr>
        <w:t>关于政府采购订单融资政策</w:t>
      </w:r>
    </w:p>
    <w:p w14:paraId="54B3F5CD">
      <w:pPr>
        <w:ind w:firstLine="420" w:firstLineChars="20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4771E0F">
      <w:pPr>
        <w:ind w:firstLine="422" w:firstLineChars="200"/>
        <w:rPr>
          <w:rFonts w:ascii="宋体" w:hAnsi="宋体" w:cs="宋体"/>
          <w:b/>
          <w:bCs/>
        </w:rPr>
      </w:pPr>
      <w:r>
        <w:rPr>
          <w:rFonts w:hint="eastAsia" w:ascii="宋体" w:hAnsi="宋体" w:cs="宋体"/>
          <w:b/>
          <w:bCs/>
        </w:rPr>
        <w:t>供应商账户信息</w:t>
      </w:r>
    </w:p>
    <w:p w14:paraId="222BE61B">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247333BF">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1EA61AB7">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016AF169">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1FF8E344">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29713930">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6AC4779E">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70AE430B">
      <w:pPr>
        <w:rPr>
          <w:szCs w:val="21"/>
        </w:rPr>
      </w:pPr>
      <w:r>
        <w:rPr>
          <w:rFonts w:hint="eastAsia" w:ascii="宋体" w:hAnsi="宋体"/>
          <w:b/>
          <w:bCs/>
          <w:color w:val="FF0000"/>
          <w:spacing w:val="-4"/>
          <w:kern w:val="0"/>
          <w:szCs w:val="21"/>
        </w:rPr>
        <w:t>注：本项填写内容作为订单融资开展的参考信息，不作为供应商资格性审查及符合性审查条件。</w:t>
      </w:r>
    </w:p>
    <w:bookmarkEnd w:id="4"/>
    <w:p w14:paraId="7DCB4CC1">
      <w:pPr>
        <w:pStyle w:val="32"/>
      </w:pPr>
    </w:p>
    <w:p w14:paraId="710CA25A">
      <w:r>
        <w:rPr>
          <w:rFonts w:hint="eastAsia"/>
        </w:rPr>
        <w:br w:type="page"/>
      </w:r>
    </w:p>
    <w:p w14:paraId="4FA98772">
      <w:pPr>
        <w:pStyle w:val="3"/>
      </w:pPr>
      <w:r>
        <w:rPr>
          <w:rFonts w:hint="eastAsia"/>
        </w:rPr>
        <w:t>第一册  招标项目需求</w:t>
      </w:r>
    </w:p>
    <w:p w14:paraId="44D89479">
      <w:pPr>
        <w:pStyle w:val="6"/>
      </w:pPr>
      <w:r>
        <w:rPr>
          <w:rFonts w:hint="eastAsia"/>
        </w:rPr>
        <w:t>第一章  招标公告</w:t>
      </w:r>
    </w:p>
    <w:p w14:paraId="533D0E4A">
      <w:pPr>
        <w:ind w:firstLine="482" w:firstLineChars="200"/>
        <w:rPr>
          <w:rFonts w:ascii="宋体" w:hAnsi="宋体" w:cs="宋体"/>
          <w:b/>
          <w:color w:val="FF0000"/>
          <w:kern w:val="0"/>
          <w:sz w:val="24"/>
          <w:szCs w:val="21"/>
        </w:rPr>
      </w:pPr>
      <w:bookmarkStart w:id="7" w:name="OLE_LINK21"/>
      <w:r>
        <w:rPr>
          <w:rFonts w:hint="eastAsia" w:ascii="宋体" w:hAnsi="宋体" w:cs="宋体"/>
          <w:b/>
          <w:color w:val="FF0000"/>
          <w:kern w:val="0"/>
          <w:sz w:val="24"/>
          <w:szCs w:val="21"/>
        </w:rPr>
        <w:t>投标供应商资格要求：（投标人应按资格要求提供相关证明文件，</w:t>
      </w:r>
      <w:r>
        <w:rPr>
          <w:rFonts w:hint="eastAsia" w:ascii="宋体" w:hAnsi="宋体" w:cs="宋体"/>
          <w:b/>
          <w:color w:val="FF0000"/>
          <w:kern w:val="0"/>
          <w:sz w:val="24"/>
          <w:szCs w:val="21"/>
          <w:highlight w:val="yellow"/>
        </w:rPr>
        <w:t>如供应商资格审查不通过，不得参与本次自行采购活动</w:t>
      </w:r>
      <w:r>
        <w:rPr>
          <w:rFonts w:hint="eastAsia" w:ascii="宋体" w:hAnsi="宋体" w:cs="宋体"/>
          <w:b/>
          <w:color w:val="FF0000"/>
          <w:kern w:val="0"/>
          <w:sz w:val="24"/>
          <w:szCs w:val="21"/>
        </w:rPr>
        <w:t>）</w:t>
      </w:r>
    </w:p>
    <w:p w14:paraId="5F6EDA42">
      <w:pPr>
        <w:ind w:firstLine="420" w:firstLineChars="200"/>
        <w:rPr>
          <w:rFonts w:ascii="宋体" w:hAnsi="宋体" w:cs="宋体"/>
          <w:kern w:val="0"/>
        </w:rPr>
      </w:pPr>
    </w:p>
    <w:p w14:paraId="2D864715">
      <w:pPr>
        <w:ind w:firstLine="420" w:firstLineChars="200"/>
        <w:rPr>
          <w:rFonts w:ascii="宋体" w:hAnsi="宋体" w:cs="宋体"/>
          <w:kern w:val="0"/>
        </w:rPr>
      </w:pPr>
      <w:bookmarkStart w:id="8" w:name="OLE_LINK35"/>
      <w:r>
        <w:rPr>
          <w:rFonts w:hint="eastAsia" w:ascii="宋体" w:hAnsi="宋体" w:cs="宋体"/>
          <w:kern w:val="0"/>
        </w:rPr>
        <w:t>1.具有独立承担民事责任的能力（提供营业执照或事业单位法人证书等证明资料扫描件，原件备查，分支机构参与投标的，须同时提供总部授权文件且授权书载明其民事责任由总公司承担）；</w:t>
      </w:r>
      <w:r>
        <w:rPr>
          <w:rFonts w:hint="eastAsia"/>
        </w:rPr>
        <w:t>同时，供应商必须具备有效的《食品经营许可证》（提供证书扫描件，原件备查）。</w:t>
      </w:r>
    </w:p>
    <w:p w14:paraId="1C45701D">
      <w:pPr>
        <w:ind w:firstLine="420" w:firstLineChars="200"/>
        <w:rPr>
          <w:rFonts w:ascii="宋体" w:hAnsi="宋体" w:cs="宋体"/>
          <w:color w:val="FF0000"/>
          <w:kern w:val="0"/>
        </w:rPr>
      </w:pPr>
      <w:r>
        <w:rPr>
          <w:rFonts w:hint="eastAsia" w:ascii="宋体" w:hAnsi="宋体" w:cs="宋体"/>
          <w:color w:val="FF0000"/>
          <w:kern w:val="0"/>
        </w:rPr>
        <w:t>2.本项目</w:t>
      </w:r>
      <w:r>
        <w:rPr>
          <w:rFonts w:hint="eastAsia" w:ascii="宋体" w:hAnsi="宋体" w:cs="宋体"/>
          <w:color w:val="FF0000"/>
          <w:kern w:val="0"/>
          <w:szCs w:val="21"/>
        </w:rPr>
        <w:sym w:font="Wingdings" w:char="00FE"/>
      </w:r>
      <w:r>
        <w:rPr>
          <w:rFonts w:hint="eastAsia" w:ascii="宋体" w:hAnsi="宋体" w:cs="宋体"/>
          <w:color w:val="FF0000"/>
          <w:kern w:val="0"/>
        </w:rPr>
        <w:t>不接受联合体投标，</w:t>
      </w:r>
      <w:r>
        <w:rPr>
          <w:rFonts w:hint="eastAsia" w:ascii="宋体" w:hAnsi="宋体" w:cs="宋体"/>
          <w:color w:val="FF0000"/>
          <w:kern w:val="0"/>
          <w:szCs w:val="21"/>
        </w:rPr>
        <w:sym w:font="Wingdings" w:char="00FE"/>
      </w:r>
      <w:r>
        <w:rPr>
          <w:rFonts w:hint="eastAsia" w:ascii="宋体" w:hAnsi="宋体" w:cs="宋体"/>
          <w:color w:val="FF0000"/>
          <w:kern w:val="0"/>
        </w:rPr>
        <w:t>不允许非主体非关键性工作分包，禁止转包，</w:t>
      </w:r>
      <w:r>
        <w:rPr>
          <w:rFonts w:ascii="宋体" w:hAnsi="宋体" w:cs="宋体"/>
          <w:color w:val="FF0000"/>
          <w:kern w:val="0"/>
        </w:rPr>
        <w:t>是否</w:t>
      </w:r>
      <w:r>
        <w:rPr>
          <w:rFonts w:hint="eastAsia" w:ascii="宋体" w:hAnsi="宋体" w:cs="宋体"/>
          <w:color w:val="FF0000"/>
          <w:kern w:val="0"/>
        </w:rPr>
        <w:t>允许投标人选用任何形式的进口产品参与投标以招标文件“第二章 项目需求书”为准（由供应商在《政府采购投标及履约承诺函》中作出声明）；</w:t>
      </w:r>
    </w:p>
    <w:p w14:paraId="38EE3521">
      <w:pPr>
        <w:ind w:firstLine="420" w:firstLineChars="200"/>
        <w:rPr>
          <w:rFonts w:ascii="宋体" w:hAnsi="宋体" w:cs="宋体"/>
          <w:kern w:val="0"/>
        </w:rPr>
      </w:pPr>
      <w:r>
        <w:rPr>
          <w:rFonts w:hint="eastAsia" w:ascii="宋体" w:hAnsi="宋体" w:cs="宋体"/>
          <w:kern w:val="0"/>
        </w:rPr>
        <w:t>3、参与本项目政府采购活动时不存在被有关部门禁止参与政府采购活动且在有效期内的情况（由供应商在《政府采购投标及履约承诺函》中作出声明）；</w:t>
      </w:r>
    </w:p>
    <w:p w14:paraId="3401E93A">
      <w:pPr>
        <w:ind w:firstLine="420" w:firstLineChars="200"/>
        <w:rPr>
          <w:rFonts w:ascii="宋体" w:hAnsi="宋体" w:cs="宋体"/>
          <w:kern w:val="0"/>
        </w:rPr>
      </w:pPr>
      <w:r>
        <w:rPr>
          <w:rFonts w:hint="eastAsia" w:ascii="宋体" w:hAnsi="宋体" w:cs="宋体"/>
          <w:kern w:val="0"/>
        </w:rPr>
        <w:t>4.具备《中华人民共和国政府采购法》第二十二条第一款的条件（由供应商在《政府采购投标及履约承诺函》中作出声明）；</w:t>
      </w:r>
    </w:p>
    <w:p w14:paraId="360B2031">
      <w:pPr>
        <w:ind w:firstLine="420" w:firstLineChars="200"/>
        <w:rPr>
          <w:rFonts w:ascii="宋体" w:hAnsi="宋体" w:cs="宋体"/>
          <w:kern w:val="0"/>
        </w:rPr>
      </w:pPr>
      <w:r>
        <w:rPr>
          <w:rFonts w:hint="eastAsia" w:ascii="宋体" w:hAnsi="宋体" w:cs="宋体"/>
          <w:kern w:val="0"/>
        </w:rPr>
        <w:t>5.未被列入失信被执行人、重大税收违法案件当事人名单、政府采购严重违法失信行为记录名单（由供应商在《政府采购投标及履约承诺函》中作出声明）；</w:t>
      </w:r>
    </w:p>
    <w:p w14:paraId="56A1B973">
      <w:pPr>
        <w:ind w:firstLine="420" w:firstLineChars="200"/>
        <w:rPr>
          <w:rFonts w:ascii="宋体" w:hAnsi="宋体" w:cs="宋体"/>
          <w:kern w:val="0"/>
        </w:rPr>
      </w:pPr>
      <w:r>
        <w:rPr>
          <w:rFonts w:hint="eastAsia" w:ascii="宋体" w:hAnsi="宋体" w:cs="宋体"/>
          <w:kern w:val="0"/>
        </w:rPr>
        <w:t>6.不存在《深圳市财政局政府采购供应商信用信息管理办法》（深财规〔2023〕3号）列明的严重违法失信行为（由供应商在《政府采购投标及履约承诺函》中作出声明）；</w:t>
      </w:r>
    </w:p>
    <w:p w14:paraId="0C3FF0EB">
      <w:pPr>
        <w:ind w:firstLine="420" w:firstLineChars="200"/>
        <w:rPr>
          <w:rFonts w:ascii="宋体" w:hAnsi="宋体" w:cs="宋体"/>
          <w:kern w:val="0"/>
        </w:rPr>
      </w:pPr>
      <w:r>
        <w:rPr>
          <w:rFonts w:hint="eastAsia" w:ascii="宋体" w:hAnsi="宋体" w:cs="宋体"/>
          <w:kern w:val="0"/>
        </w:rPr>
        <w:t>7.为采购项目提供整体设计、规范编制或者项目管理、监理、检测等服务的供应商，不得再参加该采购项目的其他采购活动（由供应商在《政府采购投标及履约承诺函》中作出声明）；</w:t>
      </w:r>
    </w:p>
    <w:p w14:paraId="6C323332">
      <w:pPr>
        <w:ind w:firstLine="420" w:firstLineChars="200"/>
        <w:rPr>
          <w:rFonts w:ascii="宋体" w:hAnsi="宋体" w:cs="宋体"/>
          <w:kern w:val="0"/>
        </w:rPr>
      </w:pPr>
      <w:r>
        <w:rPr>
          <w:rFonts w:hint="eastAsia" w:ascii="宋体" w:hAnsi="宋体" w:cs="宋体"/>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AD9C289">
      <w:pPr>
        <w:pStyle w:val="2"/>
      </w:pPr>
      <w:r>
        <w:rPr>
          <w:rFonts w:hint="eastAsia" w:ascii="宋体" w:hAnsi="宋体" w:cs="宋体"/>
          <w:kern w:val="0"/>
        </w:rPr>
        <w:t xml:space="preserve">    </w:t>
      </w:r>
    </w:p>
    <w:p w14:paraId="2885C382">
      <w:pPr>
        <w:widowControl/>
        <w:ind w:firstLine="420" w:firstLineChars="200"/>
        <w:jc w:val="left"/>
        <w:rPr>
          <w:rFonts w:ascii="宋体" w:hAnsi="宋体"/>
        </w:rPr>
      </w:pPr>
      <w:r>
        <w:rPr>
          <w:rFonts w:hint="eastAsia" w:ascii="宋体" w:hAnsi="宋体" w:cs="宋体"/>
          <w:kern w:val="0"/>
          <w:szCs w:val="21"/>
        </w:rPr>
        <w:t>注：</w:t>
      </w:r>
      <w:r>
        <w:rPr>
          <w:rFonts w:hint="eastAsia" w:ascii="宋体" w:hAnsi="宋体"/>
        </w:rPr>
        <w:t>（1）“信用中国”（www.creditchina.gov.cn，查询“信用服务”栏的“重大税收违法失信主体”“失信被执行人”或者下载信用信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bookmarkStart w:id="9" w:name="OLE_LINK27"/>
    </w:p>
    <w:p w14:paraId="536C88C5">
      <w:pPr>
        <w:widowControl/>
        <w:ind w:firstLine="420" w:firstLineChars="200"/>
        <w:jc w:val="left"/>
      </w:pPr>
      <w:r>
        <w:rPr>
          <w:rFonts w:hint="eastAsia" w:ascii="宋体" w:hAnsi="宋体"/>
        </w:rPr>
        <w:t>（2）</w:t>
      </w:r>
      <w:r>
        <w:rPr>
          <w:rFonts w:hint="eastAsia"/>
        </w:rPr>
        <w:t>供应商参与投标（响应）必须先行办理注册手续。如果是未注册为深圳政府采购的供应商，请访问深圳公共资源交易中心（统一用户中心 https://trade.szggzy.com/ggzy/center/#/login）,先办理注册手续（注册咨询：0755-36568999）,再进行投标报名。</w:t>
      </w:r>
    </w:p>
    <w:bookmarkEnd w:id="8"/>
    <w:bookmarkEnd w:id="9"/>
    <w:p w14:paraId="2597451C">
      <w:pPr>
        <w:rPr>
          <w:rFonts w:ascii="宋体" w:hAnsi="宋体" w:cs="宋体"/>
          <w:b/>
          <w:color w:val="FF0000"/>
          <w:kern w:val="0"/>
          <w:szCs w:val="21"/>
          <w:highlight w:val="yellow"/>
        </w:rPr>
      </w:pPr>
    </w:p>
    <w:p w14:paraId="74BED1F8">
      <w:pPr>
        <w:widowControl/>
        <w:jc w:val="left"/>
        <w:rPr>
          <w:rFonts w:ascii="宋体" w:hAnsi="宋体" w:cs="宋体"/>
          <w:kern w:val="0"/>
          <w:szCs w:val="21"/>
        </w:rPr>
      </w:pPr>
      <w:r>
        <w:rPr>
          <w:rFonts w:hint="eastAsia"/>
          <w:b/>
          <w:sz w:val="22"/>
          <w:szCs w:val="18"/>
        </w:rPr>
        <w:t>完整公告内容详见：</w:t>
      </w:r>
      <w:bookmarkStart w:id="10" w:name="OLE_LINK3"/>
      <w:r>
        <w:rPr>
          <w:rFonts w:hint="eastAsia"/>
          <w:b/>
          <w:color w:val="FF0000"/>
          <w:sz w:val="22"/>
          <w:szCs w:val="18"/>
        </w:rPr>
        <w:t>深圳交易集团罗湖分公司官网https://lh.szexgrp.com/jyfw/zfcg-view.html?id=zfcg</w:t>
      </w:r>
      <w:bookmarkEnd w:id="7"/>
      <w:bookmarkEnd w:id="10"/>
      <w:r>
        <w:rPr>
          <w:rFonts w:ascii="宋体" w:hAnsi="宋体" w:cs="宋体"/>
          <w:kern w:val="0"/>
          <w:szCs w:val="21"/>
        </w:rPr>
        <w:br w:type="page"/>
      </w:r>
    </w:p>
    <w:p w14:paraId="644FE646">
      <w:pPr>
        <w:ind w:firstLine="420" w:firstLineChars="200"/>
        <w:rPr>
          <w:rFonts w:ascii="宋体" w:hAnsi="宋体" w:cs="宋体"/>
          <w:kern w:val="0"/>
          <w:szCs w:val="21"/>
        </w:rPr>
      </w:pPr>
    </w:p>
    <w:p w14:paraId="1110131B">
      <w:pPr>
        <w:pStyle w:val="6"/>
      </w:pPr>
      <w:r>
        <w:rPr>
          <w:rFonts w:hint="eastAsia"/>
        </w:rPr>
        <w:t>第二章  项目需求书</w:t>
      </w:r>
    </w:p>
    <w:p w14:paraId="6089F029">
      <w:pPr>
        <w:pStyle w:val="4"/>
        <w:jc w:val="center"/>
        <w:rPr>
          <w:rFonts w:ascii="黑体" w:eastAsia="黑体"/>
          <w:b w:val="0"/>
          <w:kern w:val="0"/>
          <w:sz w:val="24"/>
        </w:rPr>
      </w:pPr>
      <w:bookmarkStart w:id="11" w:name="_Toc128884461"/>
      <w:r>
        <w:rPr>
          <w:rFonts w:hint="eastAsia" w:ascii="黑体" w:eastAsia="黑体"/>
          <w:b w:val="0"/>
          <w:kern w:val="0"/>
          <w:sz w:val="24"/>
        </w:rPr>
        <w:t>一、</w:t>
      </w:r>
      <w:bookmarkEnd w:id="11"/>
      <w:r>
        <w:rPr>
          <w:rFonts w:hint="eastAsia" w:ascii="黑体" w:eastAsia="黑体"/>
          <w:b w:val="0"/>
          <w:kern w:val="0"/>
          <w:sz w:val="24"/>
        </w:rPr>
        <w:t>项目情况介绍</w:t>
      </w:r>
    </w:p>
    <w:p w14:paraId="658A76DB">
      <w:pPr>
        <w:pStyle w:val="5"/>
        <w:jc w:val="center"/>
        <w:rPr>
          <w:b w:val="0"/>
          <w:bCs w:val="0"/>
          <w:sz w:val="24"/>
          <w:szCs w:val="24"/>
        </w:rPr>
      </w:pPr>
      <w:r>
        <w:rPr>
          <w:rFonts w:hint="eastAsia"/>
          <w:b w:val="0"/>
          <w:bCs w:val="0"/>
          <w:sz w:val="24"/>
          <w:szCs w:val="24"/>
        </w:rPr>
        <w:t>（一）项目</w:t>
      </w:r>
      <w:bookmarkStart w:id="12" w:name="_Toc128884464"/>
      <w:r>
        <w:rPr>
          <w:rFonts w:hint="eastAsia"/>
          <w:b w:val="0"/>
          <w:bCs w:val="0"/>
          <w:sz w:val="24"/>
          <w:szCs w:val="24"/>
        </w:rPr>
        <w:t>概况</w:t>
      </w:r>
    </w:p>
    <w:p w14:paraId="6F25A5EE">
      <w:pPr>
        <w:pStyle w:val="19"/>
        <w:spacing w:line="240" w:lineRule="auto"/>
      </w:pPr>
      <w:r>
        <w:rPr>
          <w:rFonts w:hint="eastAsia" w:ascii="宋体" w:hAnsi="宋体"/>
          <w:color w:val="000000"/>
          <w:szCs w:val="21"/>
        </w:rPr>
        <w:t>1、</w:t>
      </w:r>
      <w:r>
        <w:rPr>
          <w:rFonts w:hint="eastAsia"/>
        </w:rPr>
        <w:t>采购单位：</w:t>
      </w:r>
      <w:r>
        <w:rPr>
          <w:rFonts w:hint="eastAsia"/>
          <w:u w:val="single"/>
        </w:rPr>
        <w:t xml:space="preserve">深圳市罗湖区黄贝街道办事处 </w:t>
      </w:r>
    </w:p>
    <w:p w14:paraId="3DFF8158">
      <w:pPr>
        <w:ind w:firstLine="420" w:firstLineChars="200"/>
      </w:pPr>
      <w:r>
        <w:rPr>
          <w:rFonts w:hint="eastAsia" w:ascii="宋体" w:hAnsi="宋体"/>
          <w:color w:val="000000"/>
          <w:szCs w:val="21"/>
        </w:rPr>
        <w:t>2、</w:t>
      </w:r>
      <w:r>
        <w:rPr>
          <w:rFonts w:hint="eastAsia"/>
        </w:rPr>
        <w:t>项目关键信息：</w:t>
      </w:r>
    </w:p>
    <w:p w14:paraId="1D304412">
      <w:pPr>
        <w:ind w:firstLine="840" w:firstLineChars="400"/>
      </w:pPr>
      <w:r>
        <w:rPr>
          <w:rFonts w:hint="eastAsia" w:ascii="宋体" w:hAnsi="宋体"/>
          <w:snapToGrid w:val="0"/>
          <w:color w:val="FF0000"/>
          <w:kern w:val="0"/>
        </w:rPr>
        <w:t>（1）本项目预算金额：</w:t>
      </w:r>
      <w:r>
        <w:rPr>
          <w:rFonts w:hint="eastAsia" w:ascii="宋体" w:hAnsi="宋体"/>
          <w:snapToGrid w:val="0"/>
          <w:color w:val="FF0000"/>
          <w:kern w:val="0"/>
          <w:u w:val="single"/>
        </w:rPr>
        <w:t xml:space="preserve"> 64万 </w:t>
      </w:r>
      <w:r>
        <w:rPr>
          <w:rFonts w:hint="eastAsia" w:ascii="宋体" w:hAnsi="宋体"/>
          <w:snapToGrid w:val="0"/>
          <w:color w:val="FF0000"/>
          <w:kern w:val="0"/>
        </w:rPr>
        <w:t>元；</w:t>
      </w:r>
    </w:p>
    <w:p w14:paraId="0A289088">
      <w:pPr>
        <w:pStyle w:val="32"/>
        <w:ind w:left="0" w:leftChars="0" w:firstLine="840" w:firstLineChars="400"/>
      </w:pPr>
      <w:r>
        <w:rPr>
          <w:rFonts w:hint="eastAsia" w:ascii="宋体" w:hAnsi="宋体"/>
          <w:snapToGrid w:val="0"/>
          <w:color w:val="FF0000"/>
          <w:kern w:val="0"/>
        </w:rPr>
        <w:t>（2）★本项目服务期限：</w:t>
      </w:r>
      <w:r>
        <w:rPr>
          <w:rFonts w:hint="eastAsia" w:ascii="宋体" w:hAnsi="宋体"/>
          <w:snapToGrid w:val="0"/>
          <w:color w:val="FF0000"/>
          <w:kern w:val="0"/>
          <w:u w:val="single"/>
        </w:rPr>
        <w:t xml:space="preserve"> 一年 </w:t>
      </w:r>
      <w:r>
        <w:rPr>
          <w:rFonts w:hint="eastAsia" w:ascii="宋体" w:hAnsi="宋体"/>
          <w:snapToGrid w:val="0"/>
          <w:color w:val="FF0000"/>
          <w:kern w:val="0"/>
        </w:rPr>
        <w:t>。</w:t>
      </w:r>
      <w:r>
        <w:rPr>
          <w:rFonts w:ascii="宋体" w:hAnsi="宋体"/>
          <w:snapToGrid w:val="0"/>
          <w:color w:val="FF0000"/>
          <w:kern w:val="0"/>
        </w:rPr>
        <w:t>本项目不是长期服务项目</w:t>
      </w:r>
      <w:r>
        <w:rPr>
          <w:rFonts w:hint="eastAsia" w:ascii="宋体" w:hAnsi="宋体"/>
          <w:snapToGrid w:val="0"/>
          <w:color w:val="FF0000"/>
          <w:kern w:val="0"/>
        </w:rPr>
        <w:t>。</w:t>
      </w:r>
    </w:p>
    <w:p w14:paraId="50279785">
      <w:pPr>
        <w:pStyle w:val="32"/>
        <w:ind w:left="0" w:leftChars="0"/>
        <w:rPr>
          <w:u w:val="single"/>
        </w:rPr>
      </w:pPr>
      <w:r>
        <w:rPr>
          <w:rFonts w:ascii="宋体" w:hAnsi="宋体"/>
          <w:snapToGrid w:val="0"/>
          <w:kern w:val="0"/>
        </w:rPr>
        <w:t>3</w:t>
      </w:r>
      <w:r>
        <w:rPr>
          <w:rFonts w:hint="eastAsia" w:ascii="宋体" w:hAnsi="宋体"/>
          <w:snapToGrid w:val="0"/>
          <w:kern w:val="0"/>
        </w:rPr>
        <w:t>、</w:t>
      </w:r>
      <w:bookmarkStart w:id="13" w:name="OLE_LINK41"/>
      <w:r>
        <w:rPr>
          <w:rFonts w:hint="eastAsia" w:ascii="宋体" w:hAnsi="宋体"/>
          <w:snapToGrid w:val="0"/>
          <w:kern w:val="0"/>
        </w:rPr>
        <w:t>服务需求名称（标的名称）</w:t>
      </w:r>
      <w:bookmarkEnd w:id="13"/>
      <w:r>
        <w:rPr>
          <w:rFonts w:hint="eastAsia" w:ascii="宋体" w:hAnsi="宋体"/>
          <w:snapToGrid w:val="0"/>
          <w:kern w:val="0"/>
        </w:rPr>
        <w:t>：</w:t>
      </w:r>
      <w:r>
        <w:rPr>
          <w:rStyle w:val="39"/>
          <w:rFonts w:hint="eastAsia" w:ascii="宋体" w:hAnsi="宋体" w:cs="宋体"/>
          <w:u w:val="single"/>
        </w:rPr>
        <w:t>2026</w:t>
      </w:r>
      <w:r>
        <w:rPr>
          <w:rStyle w:val="39"/>
          <w:u w:val="single"/>
        </w:rPr>
        <w:t>年黄贝街道机关食堂购买服务</w:t>
      </w:r>
      <w:r>
        <w:rPr>
          <w:u w:val="single"/>
        </w:rPr>
        <w:t xml:space="preserve"> </w:t>
      </w:r>
    </w:p>
    <w:p w14:paraId="39EC557A">
      <w:pPr>
        <w:pStyle w:val="32"/>
        <w:ind w:left="0" w:leftChars="0"/>
        <w:rPr>
          <w:u w:val="single"/>
        </w:rPr>
      </w:pPr>
    </w:p>
    <w:p w14:paraId="5BB21408">
      <w:pPr>
        <w:jc w:val="center"/>
        <w:rPr>
          <w:b/>
        </w:rPr>
      </w:pPr>
      <w:r>
        <w:rPr>
          <w:rFonts w:hint="eastAsia"/>
          <w:b/>
        </w:rPr>
        <w:t>（二）实质性条款</w:t>
      </w:r>
    </w:p>
    <w:p w14:paraId="128C2A8C">
      <w:pPr>
        <w:jc w:val="center"/>
        <w:rPr>
          <w:b/>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14:paraId="066B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5960ADA">
            <w:pPr>
              <w:jc w:val="center"/>
              <w:rPr>
                <w:rFonts w:ascii="宋体" w:hAnsi="宋体"/>
                <w:szCs w:val="21"/>
              </w:rPr>
            </w:pPr>
            <w:r>
              <w:rPr>
                <w:rFonts w:ascii="宋体" w:hAnsi="宋体"/>
                <w:szCs w:val="21"/>
              </w:rPr>
              <w:t>序号</w:t>
            </w:r>
          </w:p>
        </w:tc>
        <w:tc>
          <w:tcPr>
            <w:tcW w:w="7513" w:type="dxa"/>
          </w:tcPr>
          <w:p w14:paraId="14CB4B02">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0BFC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1678430">
            <w:pPr>
              <w:jc w:val="center"/>
              <w:rPr>
                <w:rFonts w:ascii="宋体" w:hAnsi="宋体"/>
                <w:szCs w:val="21"/>
              </w:rPr>
            </w:pPr>
            <w:r>
              <w:rPr>
                <w:rFonts w:hint="eastAsia" w:ascii="宋体" w:hAnsi="宋体"/>
                <w:szCs w:val="21"/>
              </w:rPr>
              <w:t>1</w:t>
            </w:r>
          </w:p>
        </w:tc>
        <w:tc>
          <w:tcPr>
            <w:tcW w:w="7513" w:type="dxa"/>
          </w:tcPr>
          <w:p w14:paraId="14275C50">
            <w:pPr>
              <w:rPr>
                <w:rFonts w:hAnsi="宋体"/>
                <w:kern w:val="0"/>
                <w:szCs w:val="21"/>
              </w:rPr>
            </w:pPr>
            <w:r>
              <w:rPr>
                <w:rFonts w:hint="eastAsia"/>
                <w:color w:val="FF0000"/>
                <w:szCs w:val="21"/>
              </w:rPr>
              <w:t>★</w:t>
            </w:r>
            <w:r>
              <w:rPr>
                <w:rFonts w:hint="eastAsia"/>
                <w:color w:val="FF0000"/>
              </w:rPr>
              <w:t>完全满足本项目服务期限的要求。</w:t>
            </w:r>
          </w:p>
        </w:tc>
      </w:tr>
    </w:tbl>
    <w:p w14:paraId="0C2BF831">
      <w:pPr>
        <w:rPr>
          <w:b/>
        </w:rPr>
      </w:pPr>
      <w:r>
        <w:rPr>
          <w:rFonts w:hint="eastAsia"/>
          <w:b/>
        </w:rPr>
        <w:t>注：上表所列内容为不可负偏离条款，负偏离将视为未实质性满足招标文件要求作投标无效处理。</w:t>
      </w:r>
    </w:p>
    <w:p w14:paraId="3DF9ECB6">
      <w:pPr>
        <w:pStyle w:val="32"/>
        <w:spacing w:line="360" w:lineRule="auto"/>
        <w:ind w:left="0" w:leftChars="0"/>
      </w:pPr>
    </w:p>
    <w:p w14:paraId="30F067A0">
      <w:pPr>
        <w:pStyle w:val="4"/>
        <w:numPr>
          <w:ilvl w:val="0"/>
          <w:numId w:val="2"/>
        </w:numPr>
        <w:jc w:val="center"/>
        <w:rPr>
          <w:rFonts w:ascii="黑体" w:eastAsia="黑体"/>
          <w:b w:val="0"/>
          <w:kern w:val="0"/>
          <w:sz w:val="24"/>
        </w:rPr>
      </w:pPr>
      <w:r>
        <w:rPr>
          <w:rFonts w:hint="eastAsia" w:ascii="黑体" w:eastAsia="黑体"/>
          <w:b w:val="0"/>
          <w:kern w:val="0"/>
          <w:sz w:val="24"/>
        </w:rPr>
        <w:t>项目技术及管理要求</w:t>
      </w:r>
    </w:p>
    <w:p w14:paraId="45D46FA2">
      <w:pPr>
        <w:ind w:firstLine="420" w:firstLineChars="200"/>
      </w:pPr>
      <w:bookmarkStart w:id="14" w:name="bookmark3"/>
      <w:r>
        <w:rPr>
          <w:rFonts w:hint="eastAsia"/>
        </w:rPr>
        <w:t>深圳市罗湖区黄贝街道办事处位于罗湖区罗芳路200号，2026</w:t>
      </w:r>
      <w:r>
        <w:t>年黄贝街道机关食堂购买服务</w:t>
      </w:r>
      <w:r>
        <w:rPr>
          <w:rFonts w:hint="eastAsia"/>
        </w:rPr>
        <w:t>项目</w:t>
      </w:r>
      <w:r>
        <w:rPr>
          <w:lang w:val="en"/>
        </w:rPr>
        <w:t>主要内容</w:t>
      </w:r>
      <w:r>
        <w:rPr>
          <w:rFonts w:hint="eastAsia"/>
        </w:rPr>
        <w:t>为在约定的期限内，</w:t>
      </w:r>
      <w:r>
        <w:rPr>
          <w:lang w:val="en"/>
        </w:rPr>
        <w:t>由</w:t>
      </w:r>
      <w:r>
        <w:rPr>
          <w:rFonts w:hint="eastAsia"/>
        </w:rPr>
        <w:t>招标人提供食材，中标供应商安排人员于约定的餐饮服务时间及地点为招标人的工作人员提供早餐、中餐以及特殊状况下的应急供餐保障服务。以下招标人简称甲方，中标供应商简称乙方。</w:t>
      </w:r>
    </w:p>
    <w:p w14:paraId="268F9917">
      <w:pPr>
        <w:pStyle w:val="32"/>
      </w:pPr>
    </w:p>
    <w:p w14:paraId="418BFFA9">
      <w:pPr>
        <w:pStyle w:val="32"/>
        <w:spacing w:line="360" w:lineRule="exact"/>
        <w:ind w:left="0" w:leftChars="0" w:firstLine="0" w:firstLineChars="0"/>
      </w:pPr>
      <w:r>
        <w:rPr>
          <w:rFonts w:hint="eastAsia"/>
        </w:rPr>
        <w:t>一、总体要求</w:t>
      </w:r>
    </w:p>
    <w:bookmarkEnd w:id="14"/>
    <w:p w14:paraId="73EEC4E4">
      <w:pPr>
        <w:spacing w:line="360" w:lineRule="exact"/>
        <w:ind w:firstLine="420" w:firstLineChars="200"/>
      </w:pPr>
      <w:r>
        <w:rPr>
          <w:rFonts w:hint="eastAsia"/>
        </w:rPr>
        <w:t>1、甲方机关食堂和厨房面积共300㎡，用餐人数约为350人，乙方必须保证甲方工作人员用餐质量、数量，按时出餐。</w:t>
      </w:r>
    </w:p>
    <w:p w14:paraId="33C0342F">
      <w:pPr>
        <w:spacing w:line="360" w:lineRule="exact"/>
        <w:ind w:firstLine="420" w:firstLineChars="200"/>
      </w:pPr>
      <w:r>
        <w:rPr>
          <w:rFonts w:hint="eastAsia"/>
        </w:rPr>
        <w:t>2、乙方委派厨师等7名工作人员为甲方饭堂提供服务。每日使用的食材、农副产品等原材料由甲方采购。乙方每天为甲方饭堂提供早、午餐的餐饮制作及服务，具体的就餐形式根据甲方的实际要求确定。</w:t>
      </w:r>
    </w:p>
    <w:p w14:paraId="1D548DAC">
      <w:pPr>
        <w:spacing w:line="360" w:lineRule="exact"/>
        <w:ind w:firstLine="420" w:firstLineChars="200"/>
      </w:pPr>
      <w:r>
        <w:rPr>
          <w:rFonts w:hint="eastAsia"/>
        </w:rPr>
        <w:t>3、甲乙双方签订合同后，乙方按甲方要求的时间进驻甲方工作场地，向甲方提供餐饮服务。</w:t>
      </w:r>
    </w:p>
    <w:p w14:paraId="31A2563C">
      <w:pPr>
        <w:pStyle w:val="32"/>
        <w:spacing w:line="360" w:lineRule="exact"/>
        <w:ind w:left="0" w:leftChars="0"/>
      </w:pPr>
      <w:r>
        <w:rPr>
          <w:rFonts w:hint="eastAsia"/>
        </w:rPr>
        <w:t>4、饭堂设备及用具由甲方免费提供，饭堂设备非自然损耗（如丢失、人为损坏等）由乙方赔偿。</w:t>
      </w:r>
    </w:p>
    <w:p w14:paraId="4043494F">
      <w:pPr>
        <w:spacing w:line="360" w:lineRule="exact"/>
        <w:ind w:firstLine="420" w:firstLineChars="200"/>
      </w:pPr>
      <w:r>
        <w:rPr>
          <w:rFonts w:hint="eastAsia"/>
        </w:rPr>
        <w:t>5、乙方必须指派一位现场管理人员（报甲方备案）对本项目进行监督服务，同时负责与甲方的联络工作。</w:t>
      </w:r>
    </w:p>
    <w:p w14:paraId="0EC8D0AC">
      <w:pPr>
        <w:pStyle w:val="32"/>
        <w:spacing w:line="360" w:lineRule="exact"/>
        <w:ind w:left="0" w:leftChars="0"/>
      </w:pPr>
      <w:r>
        <w:rPr>
          <w:rFonts w:hint="eastAsia"/>
        </w:rPr>
        <w:t>6、</w:t>
      </w:r>
      <w:r>
        <w:rPr>
          <w:rFonts w:hint="eastAsia"/>
          <w:lang w:val="en"/>
        </w:rPr>
        <w:t>乙方</w:t>
      </w:r>
      <w:r>
        <w:rPr>
          <w:rFonts w:hint="eastAsia"/>
        </w:rPr>
        <w:t>应有充足的后备人员储备，保证食堂供餐的正常运行。有服务员工离职时，能及时补充，做到无缝衔接。</w:t>
      </w:r>
    </w:p>
    <w:p w14:paraId="77402F2A">
      <w:pPr>
        <w:spacing w:line="360" w:lineRule="exact"/>
      </w:pPr>
      <w:r>
        <w:rPr>
          <w:rFonts w:hint="eastAsia"/>
        </w:rPr>
        <w:t>二、用餐要求</w:t>
      </w:r>
    </w:p>
    <w:p w14:paraId="0CD6977B">
      <w:pPr>
        <w:spacing w:line="360" w:lineRule="exact"/>
        <w:ind w:firstLine="420" w:firstLineChars="200"/>
      </w:pPr>
      <w:r>
        <w:rPr>
          <w:rFonts w:hint="eastAsia"/>
        </w:rPr>
        <w:t>1、供餐时间安排：（可以依据甲方要求调整）</w:t>
      </w:r>
    </w:p>
    <w:p w14:paraId="4A851113">
      <w:pPr>
        <w:spacing w:line="360" w:lineRule="exact"/>
        <w:ind w:firstLine="420" w:firstLineChars="200"/>
      </w:pPr>
      <w:r>
        <w:rPr>
          <w:rFonts w:hint="eastAsia"/>
        </w:rPr>
        <w:t>早餐：8:00--9:00</w:t>
      </w:r>
    </w:p>
    <w:p w14:paraId="72CFDC52">
      <w:pPr>
        <w:spacing w:line="360" w:lineRule="exact"/>
        <w:ind w:firstLine="420" w:firstLineChars="200"/>
      </w:pPr>
      <w:r>
        <w:rPr>
          <w:rFonts w:hint="eastAsia"/>
        </w:rPr>
        <w:t>午餐：12:00--13:30</w:t>
      </w:r>
    </w:p>
    <w:p w14:paraId="318EEDF5">
      <w:pPr>
        <w:spacing w:line="360" w:lineRule="exact"/>
        <w:ind w:firstLine="420" w:firstLineChars="200"/>
      </w:pPr>
      <w:r>
        <w:rPr>
          <w:rFonts w:hint="eastAsia"/>
        </w:rPr>
        <w:t>每星期提供至少三次糖水（6-10月），平日的晚餐和非工作日一般不提供，甲方因特殊情况有要求提供的除外。</w:t>
      </w:r>
    </w:p>
    <w:p w14:paraId="70E484D7">
      <w:pPr>
        <w:spacing w:line="360" w:lineRule="exact"/>
        <w:ind w:firstLine="420" w:firstLineChars="200"/>
      </w:pPr>
      <w:r>
        <w:rPr>
          <w:rFonts w:hint="eastAsia"/>
        </w:rPr>
        <w:t>2、（1）早餐供应：</w:t>
      </w:r>
    </w:p>
    <w:p w14:paraId="0D6BD1F3">
      <w:pPr>
        <w:spacing w:line="360" w:lineRule="exact"/>
        <w:ind w:firstLine="420" w:firstLineChars="200"/>
      </w:pPr>
      <w:r>
        <w:rPr>
          <w:rFonts w:hint="eastAsia"/>
        </w:rPr>
        <w:t>品种：早餐提供6种以上品种供员工选择，主要包括：包点、各式炒（汤）粉面类、蛋类、小菜、粥或豆浆、粗粮、青菜、奶类等。</w:t>
      </w:r>
    </w:p>
    <w:p w14:paraId="2B6AD123">
      <w:pPr>
        <w:numPr>
          <w:ilvl w:val="0"/>
          <w:numId w:val="3"/>
        </w:numPr>
        <w:spacing w:line="360" w:lineRule="exact"/>
        <w:ind w:firstLine="420" w:firstLineChars="200"/>
      </w:pPr>
      <w:r>
        <w:rPr>
          <w:rFonts w:hint="eastAsia"/>
        </w:rPr>
        <w:t>午餐供应：</w:t>
      </w:r>
    </w:p>
    <w:p w14:paraId="606A49B2">
      <w:pPr>
        <w:spacing w:line="360" w:lineRule="exact"/>
        <w:ind w:firstLine="420" w:firstLineChars="200"/>
      </w:pPr>
      <w:r>
        <w:rPr>
          <w:rFonts w:hint="eastAsia"/>
        </w:rPr>
        <w:t>品种：午餐提供7种菜品供员工选择，主要包括：荤菜3种、素菜、老火汤和米饭、水果等。</w:t>
      </w:r>
    </w:p>
    <w:p w14:paraId="0DD3D9ED">
      <w:pPr>
        <w:spacing w:line="360" w:lineRule="exact"/>
      </w:pPr>
      <w:r>
        <w:rPr>
          <w:rFonts w:hint="eastAsia"/>
        </w:rPr>
        <w:t>三、服务和投诉</w:t>
      </w:r>
    </w:p>
    <w:p w14:paraId="6292D75C">
      <w:pPr>
        <w:spacing w:line="360" w:lineRule="exact"/>
        <w:ind w:firstLine="210" w:firstLineChars="100"/>
      </w:pPr>
      <w:r>
        <w:rPr>
          <w:rFonts w:hint="eastAsia"/>
        </w:rPr>
        <w:t>1、乙方承诺提供良好的服务，保证甲方干部、职工综合满意度在80%以上，并努力逐步提高满意度。</w:t>
      </w:r>
    </w:p>
    <w:p w14:paraId="5EC464EB">
      <w:pPr>
        <w:spacing w:line="360" w:lineRule="exact"/>
        <w:ind w:firstLine="210" w:firstLineChars="100"/>
      </w:pPr>
      <w:r>
        <w:rPr>
          <w:rFonts w:hint="eastAsia"/>
        </w:rPr>
        <w:t>2、乙方供应的饭菜必须使用保温设施，确保饭、汤、菜的食用温度。</w:t>
      </w:r>
    </w:p>
    <w:p w14:paraId="1C15E9FB">
      <w:pPr>
        <w:spacing w:line="360" w:lineRule="exact"/>
        <w:ind w:firstLine="210" w:firstLineChars="100"/>
      </w:pPr>
      <w:r>
        <w:rPr>
          <w:rFonts w:hint="eastAsia"/>
        </w:rPr>
        <w:t>3、乙方应接受就餐人员的投诉和批评，为甲方提供保质保量、优质快捷的服务；广泛搜集并整理就餐人员的建议和意见，尽量满足大多数就餐者的口味、品种需求。</w:t>
      </w:r>
    </w:p>
    <w:p w14:paraId="19C5549C">
      <w:pPr>
        <w:spacing w:line="360" w:lineRule="exact"/>
      </w:pPr>
      <w:r>
        <w:rPr>
          <w:rFonts w:hint="eastAsia"/>
        </w:rPr>
        <w:t>四、双方的权利与义务</w:t>
      </w:r>
    </w:p>
    <w:p w14:paraId="66EB9F88">
      <w:pPr>
        <w:spacing w:line="360" w:lineRule="exact"/>
      </w:pPr>
      <w:r>
        <w:rPr>
          <w:rFonts w:hint="eastAsia"/>
        </w:rPr>
        <w:t>1、甲方的权利与义务</w:t>
      </w:r>
    </w:p>
    <w:p w14:paraId="47BA377F">
      <w:pPr>
        <w:spacing w:line="360" w:lineRule="exact"/>
      </w:pPr>
      <w:r>
        <w:rPr>
          <w:rFonts w:hint="eastAsia"/>
        </w:rPr>
        <w:t>（1）甲方委托乙方对饭堂进行餐饮管理，甲方负责监督、协调乙方餐饮服务管理，执行合同中甲方权利和义务。</w:t>
      </w:r>
    </w:p>
    <w:p w14:paraId="2CDFAC20">
      <w:pPr>
        <w:spacing w:line="360" w:lineRule="exact"/>
      </w:pPr>
      <w:r>
        <w:rPr>
          <w:rFonts w:hint="eastAsia"/>
        </w:rPr>
        <w:t>（2）按本合同有关规定及国家有关法律、法规、规章的规定和政府规范性文件、行业标准，以及乙方的各项承诺，对乙方食品的质量、卫生、服务质量、安全和现场人员的管理等方面全面监督，并有权根据具体情况对乙方违约行为，要求乙方承担相应的违约责任，有权建议有关部门对其进行行政处罚。</w:t>
      </w:r>
    </w:p>
    <w:p w14:paraId="55A0954D">
      <w:pPr>
        <w:spacing w:line="360" w:lineRule="exact"/>
      </w:pPr>
      <w:r>
        <w:rPr>
          <w:rFonts w:hint="eastAsia"/>
        </w:rPr>
        <w:t>（3）甲方有权要求乙方提供有效的工作人员健康证、卫生知识培训合格证等证件，以及各种经营资质文件，并可随时抽查，经检查没有健康证的员工，有权要求乙方更换。</w:t>
      </w:r>
    </w:p>
    <w:p w14:paraId="761C92CB">
      <w:pPr>
        <w:spacing w:line="360" w:lineRule="exact"/>
      </w:pPr>
      <w:r>
        <w:rPr>
          <w:rFonts w:hint="eastAsia"/>
        </w:rPr>
        <w:t>（4）甲方有权对乙方管理和服务人员进行管理和监督，并对不服从管理的有关人员有权建议乙方处理，并立即更换。</w:t>
      </w:r>
    </w:p>
    <w:p w14:paraId="0547AE58">
      <w:pPr>
        <w:spacing w:line="360" w:lineRule="exact"/>
      </w:pPr>
      <w:r>
        <w:rPr>
          <w:rFonts w:hint="eastAsia"/>
        </w:rPr>
        <w:t>（5）负责饭堂就餐区域及厨房的电器设备、消防设施、与建筑物本体有关的维护、维修。</w:t>
      </w:r>
    </w:p>
    <w:p w14:paraId="5EA59472">
      <w:pPr>
        <w:spacing w:line="360" w:lineRule="exact"/>
      </w:pPr>
      <w:r>
        <w:rPr>
          <w:rFonts w:hint="eastAsia"/>
        </w:rPr>
        <w:t xml:space="preserve">（6）负责提供各餐饮项目装修完毕的就餐厅场地、全套厨房设备、餐桌椅和餐厨用具、厨房、餐厅的低值易耗品（如纸巾、清洁剂等），提供空调，水、电、煤气开通，并支付水电燃料费用。     </w:t>
      </w:r>
    </w:p>
    <w:p w14:paraId="0720D71A">
      <w:pPr>
        <w:spacing w:line="360" w:lineRule="exact"/>
      </w:pPr>
      <w:r>
        <w:rPr>
          <w:rFonts w:hint="eastAsia"/>
        </w:rPr>
        <w:t>（7）负责就餐人员意见的征询和民意调查工作。</w:t>
      </w:r>
    </w:p>
    <w:p w14:paraId="6F064481">
      <w:pPr>
        <w:spacing w:line="360" w:lineRule="exact"/>
      </w:pPr>
      <w:r>
        <w:rPr>
          <w:rFonts w:hint="eastAsia"/>
        </w:rPr>
        <w:t>（8）负责对乙方的服务质量进行监督检查工作。按合同规定，每月按时向乙方给付服务费用。</w:t>
      </w:r>
    </w:p>
    <w:p w14:paraId="4B439C5F">
      <w:pPr>
        <w:spacing w:line="360" w:lineRule="exact"/>
      </w:pPr>
      <w:r>
        <w:rPr>
          <w:rFonts w:hint="eastAsia"/>
        </w:rPr>
        <w:t>2、乙方的权利与义务</w:t>
      </w:r>
    </w:p>
    <w:p w14:paraId="4178A179">
      <w:pPr>
        <w:spacing w:line="360" w:lineRule="exact"/>
      </w:pPr>
      <w:r>
        <w:rPr>
          <w:rFonts w:hint="eastAsia"/>
        </w:rPr>
        <w:t>（1）有权对甲方就餐人员、监管人员及相关协调部门的不合理行为，向甲方提出投诉。</w:t>
      </w:r>
    </w:p>
    <w:p w14:paraId="6E7E18BB">
      <w:pPr>
        <w:spacing w:line="360" w:lineRule="exact"/>
      </w:pPr>
      <w:r>
        <w:rPr>
          <w:rFonts w:hint="eastAsia"/>
        </w:rPr>
        <w:t>（2）承担乙方有关办公用品的配置，承担厨房员工的工资（包括员工加班费、津贴、补助、补偿金、住宿费用、税金、社保及商业保险等）。</w:t>
      </w:r>
    </w:p>
    <w:p w14:paraId="655BC36A">
      <w:pPr>
        <w:spacing w:line="360" w:lineRule="exact"/>
      </w:pPr>
      <w:r>
        <w:rPr>
          <w:rFonts w:hint="eastAsia"/>
        </w:rPr>
        <w:t>（3）合理使用和维护餐厅设备和水电设施等，节约使用水、电、燃料。如乙方员工人为因素造成甲方提供的就餐场地、设备、用具及物品损害，需承担维修和按原价赔偿义务。</w:t>
      </w:r>
    </w:p>
    <w:p w14:paraId="02424645">
      <w:pPr>
        <w:spacing w:line="360" w:lineRule="exact"/>
      </w:pPr>
      <w:r>
        <w:rPr>
          <w:rFonts w:hint="eastAsia"/>
        </w:rPr>
        <w:t xml:space="preserve">（4）乙方工作人员均须持健康证上岗，严格按《中华人民共和国食品安全法》有关要求组织生产，保证餐品质量及食品卫生。发现经核查属实有以下情形之一，乙方应承担相应的违约责任： </w:t>
      </w:r>
    </w:p>
    <w:p w14:paraId="7A3E6286">
      <w:pPr>
        <w:spacing w:line="360" w:lineRule="exact"/>
      </w:pPr>
      <w:r>
        <w:rPr>
          <w:rFonts w:hint="eastAsia"/>
        </w:rPr>
        <w:t>a、食物中有蟑螂、苍蝇、老鼠屎等，经核实每次向甲方支付违约金500元人民币，甲方有权责令其限期整改，若整改后再出现上述情况的，甲方有权要求乙方每次加倍支付违约金，并予以通报批评。</w:t>
      </w:r>
    </w:p>
    <w:p w14:paraId="633268F8">
      <w:pPr>
        <w:spacing w:line="360" w:lineRule="exact"/>
      </w:pPr>
      <w:r>
        <w:rPr>
          <w:rFonts w:hint="eastAsia"/>
        </w:rPr>
        <w:t>b、食物中有不可食用异物如：石子、钢丝、头发等，乙方每次向甲方支付违约金100元人民币，若整改后再出现上述情况的，甲方有权要求乙方每次加倍支付违约金，并予以通报批评。</w:t>
      </w:r>
    </w:p>
    <w:p w14:paraId="00A0613A">
      <w:pPr>
        <w:spacing w:line="360" w:lineRule="exact"/>
      </w:pPr>
      <w:r>
        <w:rPr>
          <w:rFonts w:hint="eastAsia"/>
        </w:rPr>
        <w:t>c、甲方定期与不定期对乙方的食品操作现场（厨房）进行卫生检查，每月进行1次四害消杀工作。对卫生不合格或未达标，有权责令其限期整改，对整改后仍不合格，甲方有权要求乙方支付违约金1000元人民币，并视未达标情况对乙方进行通报批评。</w:t>
      </w:r>
    </w:p>
    <w:p w14:paraId="3334A634">
      <w:pPr>
        <w:spacing w:line="360" w:lineRule="exact"/>
      </w:pPr>
      <w:r>
        <w:rPr>
          <w:rFonts w:hint="eastAsia"/>
        </w:rPr>
        <w:t>d、餐后乙方应将餐具用品、剩饭、剩菜等及时运离供餐现场并将现场清理干净。剩饭、剩菜放在甲方指定的地方，由甲方处理。如甲方发现乙方未履行该项义务或经甲方检查不合格，甲方有权责令乙方立即整改，若乙方不改正或改后仍不合格的，应向甲方支付违约金500元人民币。</w:t>
      </w:r>
    </w:p>
    <w:p w14:paraId="33A280BD">
      <w:pPr>
        <w:spacing w:line="360" w:lineRule="exact"/>
      </w:pPr>
      <w:r>
        <w:rPr>
          <w:rFonts w:hint="eastAsia"/>
        </w:rPr>
        <w:t>e、</w:t>
      </w:r>
      <w:r>
        <w:rPr>
          <w:rFonts w:hint="eastAsia"/>
          <w:lang w:val="en"/>
        </w:rPr>
        <w:t>乙方应督促并教育员工树立良</w:t>
      </w:r>
      <w:r>
        <w:rPr>
          <w:rFonts w:hint="eastAsia"/>
        </w:rPr>
        <w:t>好的职业道德，</w:t>
      </w:r>
      <w:r>
        <w:rPr>
          <w:rFonts w:hint="eastAsia"/>
          <w:lang w:val="en"/>
        </w:rPr>
        <w:t>合理约束员工行为和规范项目管理，</w:t>
      </w:r>
      <w:r>
        <w:rPr>
          <w:rFonts w:hint="eastAsia"/>
        </w:rPr>
        <w:t>不得与用餐人员发生争吵或冲突，否则每发现一次，乙方向甲方支付违约金500元人民币。</w:t>
      </w:r>
    </w:p>
    <w:p w14:paraId="10BE6D71">
      <w:pPr>
        <w:spacing w:line="360" w:lineRule="exact"/>
      </w:pPr>
      <w:r>
        <w:rPr>
          <w:rFonts w:hint="eastAsia"/>
        </w:rPr>
        <w:t>（5）服从甲方治安、消防安全、环保等方面的管理；未经许可，乙方所有工作人员不得随意进入甲方其他场所，不得干扰所入驻单位的工作。如发现甲方有权制止，并建议乙方对该员工进行处罚。</w:t>
      </w:r>
    </w:p>
    <w:p w14:paraId="7CAA04E9">
      <w:pPr>
        <w:spacing w:line="360" w:lineRule="exact"/>
      </w:pPr>
      <w:r>
        <w:rPr>
          <w:rFonts w:hint="eastAsia"/>
        </w:rPr>
        <w:t>（6）甲方应加强对乙方财产物资的监护，确保资产不流失、不损坏。食堂内的固定财产（厨房灶台、炉具、抽油烟机、水池、供水供电设备、含电线、开关、灯具）、餐桌餐椅、电器等设施所有权归甲方，乙方有使用权，如有意损坏应照价赔偿。消耗品按仓储规定管理，耐用品双方交接时办好书面移交手续，每个月协助甲方盘点一次。耐用品因合理原因损耗的，乙方应在损坏时立即报甲方仓管验明并记录。</w:t>
      </w:r>
    </w:p>
    <w:p w14:paraId="57DD4F84">
      <w:pPr>
        <w:spacing w:line="360" w:lineRule="exact"/>
      </w:pPr>
      <w:r>
        <w:rPr>
          <w:rFonts w:hint="eastAsia"/>
        </w:rPr>
        <w:t>（7）乙方因食物加工、制作过程出现问题而导致的食物中毒，乙方应向甲方支付违约金人民币1万元/次，同时甲方有权单方解除合同，涉及到有关赔偿等责任应由乙方自行负责。</w:t>
      </w:r>
    </w:p>
    <w:p w14:paraId="740FE189">
      <w:pPr>
        <w:spacing w:line="360" w:lineRule="exact"/>
      </w:pPr>
      <w:r>
        <w:rPr>
          <w:rFonts w:hint="eastAsia"/>
        </w:rPr>
        <w:t>（8）乙方应为员工购买社会保险，乙方不得擅自拖欠其员工工资或收取员工任何形式的保证金、押金等，如因乙方的劳动纠纷降低了服务标准或影响了甲方形象的，每发现一次，乙方向甲方支付违约金1000元人民币，并限期改正。</w:t>
      </w:r>
    </w:p>
    <w:p w14:paraId="06673A8D">
      <w:pPr>
        <w:spacing w:line="360" w:lineRule="exact"/>
      </w:pPr>
      <w:r>
        <w:rPr>
          <w:rFonts w:hint="eastAsia"/>
        </w:rPr>
        <w:t>（9）按核定岗位配足配齐人员，制定完善的岗位职责分工及考勤管理制度；厨师须达到“三证”要求，即上岗证、健康证、厨师等级证书，其他人员必须持有上岗证和健康证；严格执行《中华人民共和国食品安全法》，遵守卫生法规；乙方保证各岗位稳定性，未经甲方许可，不得擅自调换；</w:t>
      </w:r>
    </w:p>
    <w:p w14:paraId="2993402D">
      <w:pPr>
        <w:spacing w:line="360" w:lineRule="exact"/>
      </w:pPr>
      <w:r>
        <w:rPr>
          <w:rFonts w:hint="eastAsia"/>
        </w:rPr>
        <w:t>（10）乙方员工工作期间必须注重个人仪表，穿工作服上班，统一装束，并保持清洁、整</w:t>
      </w:r>
      <w:bookmarkStart w:id="199" w:name="_GoBack"/>
      <w:bookmarkEnd w:id="199"/>
      <w:r>
        <w:rPr>
          <w:rFonts w:hint="eastAsia"/>
        </w:rPr>
        <w:t>齐、无污渍。</w:t>
      </w:r>
    </w:p>
    <w:p w14:paraId="3217DC03">
      <w:pPr>
        <w:spacing w:line="360" w:lineRule="exact"/>
      </w:pPr>
      <w:r>
        <w:rPr>
          <w:rFonts w:hint="eastAsia"/>
        </w:rPr>
        <w:t>（11）平日的晚餐及非工作日（如法定节假日、公休日），若甲方有要求的，乙方须安排人员按甲方要求无条件供餐。</w:t>
      </w:r>
    </w:p>
    <w:p w14:paraId="054D4645">
      <w:pPr>
        <w:spacing w:line="360" w:lineRule="exact"/>
      </w:pPr>
      <w:r>
        <w:rPr>
          <w:rFonts w:hint="eastAsia"/>
        </w:rPr>
        <w:t>（12）未经甲方同意，乙方工作人员不得带亲朋至甲方餐厅就餐。不准带甲方餐厅的任何设备、餐具、原料、食材、食品、饮料等离开饭堂，如经发现按物品原价的2-10倍赔偿，赔偿款由甲方在乙方每月服务费中扣除。</w:t>
      </w:r>
    </w:p>
    <w:p w14:paraId="11514DF8">
      <w:pPr>
        <w:spacing w:line="360" w:lineRule="exact"/>
      </w:pPr>
      <w:r>
        <w:rPr>
          <w:rFonts w:hint="eastAsia"/>
        </w:rPr>
        <w:t>（13）服务期间乙方员工发生任何事故其责任均由乙方自负，与甲方无关。</w:t>
      </w:r>
    </w:p>
    <w:p w14:paraId="0CF694C1">
      <w:pPr>
        <w:spacing w:line="360" w:lineRule="exact"/>
      </w:pPr>
      <w:r>
        <w:rPr>
          <w:rFonts w:hint="eastAsia"/>
        </w:rPr>
        <w:t>五、质量要求</w:t>
      </w:r>
    </w:p>
    <w:p w14:paraId="3445FBDE">
      <w:pPr>
        <w:spacing w:line="360" w:lineRule="exact"/>
      </w:pPr>
      <w:r>
        <w:rPr>
          <w:rFonts w:hint="eastAsia"/>
        </w:rPr>
        <w:t>1、饭堂食品用器具配备</w:t>
      </w:r>
    </w:p>
    <w:p w14:paraId="1CF03A45">
      <w:pPr>
        <w:spacing w:line="360" w:lineRule="exact"/>
      </w:pPr>
      <w:r>
        <w:rPr>
          <w:rFonts w:hint="eastAsia"/>
        </w:rPr>
        <w:t>项目所需盛食品用具及碗碟、厨房用具、清洁用品、低耗用品由甲方负责配置。乙方对已破损餐具碗碟要及时上报甲方采购更换。如果属于自然损耗的由甲方负责添置。</w:t>
      </w:r>
    </w:p>
    <w:p w14:paraId="40298B11">
      <w:pPr>
        <w:spacing w:line="360" w:lineRule="exact"/>
      </w:pPr>
      <w:r>
        <w:rPr>
          <w:rFonts w:hint="eastAsia"/>
        </w:rPr>
        <w:t>2、食品安全管理规范</w:t>
      </w:r>
    </w:p>
    <w:p w14:paraId="175BC9EE">
      <w:pPr>
        <w:spacing w:line="360" w:lineRule="exact"/>
      </w:pPr>
      <w:r>
        <w:rPr>
          <w:rFonts w:hint="eastAsia"/>
        </w:rPr>
        <w:t>（1）物品原料的储存须按照冷藏与冷冻分开，生熟隔离，食品与杂物、药物隔离，食品与天然冰隔离的四隔离原则。</w:t>
      </w:r>
    </w:p>
    <w:p w14:paraId="4A92554D">
      <w:pPr>
        <w:spacing w:line="360" w:lineRule="exact"/>
      </w:pPr>
      <w:r>
        <w:rPr>
          <w:rFonts w:hint="eastAsia"/>
        </w:rPr>
        <w:t>（2）食品原料的粗加工须要一浸泡、二清洗、三漂洗、四保存，保持原料的营养价值。</w:t>
      </w:r>
    </w:p>
    <w:p w14:paraId="6C8E2BA0">
      <w:pPr>
        <w:spacing w:line="360" w:lineRule="exact"/>
      </w:pPr>
      <w:r>
        <w:rPr>
          <w:rFonts w:hint="eastAsia"/>
        </w:rPr>
        <w:t>（3）原料验收、贮藏要认真核查该批产品的商标、包装情况，按原料类别分类分架、离墙离地存放，做到先进先出。</w:t>
      </w:r>
    </w:p>
    <w:p w14:paraId="1202F4A2">
      <w:pPr>
        <w:spacing w:line="360" w:lineRule="exact"/>
      </w:pPr>
      <w:r>
        <w:rPr>
          <w:rFonts w:hint="eastAsia"/>
        </w:rPr>
        <w:t>（4）加工蔬菜要反复漂洗，叶菜要用清水（适当加入食用盐）浸泡20分钟，避免蔬菜污染的农药引起食物中毒。</w:t>
      </w:r>
    </w:p>
    <w:p w14:paraId="3D2E3AD5">
      <w:pPr>
        <w:spacing w:line="360" w:lineRule="exact"/>
      </w:pPr>
      <w:r>
        <w:rPr>
          <w:rFonts w:hint="eastAsia"/>
        </w:rPr>
        <w:t>（5）需要熟制加工食品应当烧熟煮透，加工时食品中心温度应不低于70℃。</w:t>
      </w:r>
    </w:p>
    <w:p w14:paraId="0C5A971C">
      <w:pPr>
        <w:spacing w:line="360" w:lineRule="exact"/>
      </w:pPr>
      <w:r>
        <w:rPr>
          <w:rFonts w:hint="eastAsia"/>
        </w:rPr>
        <w:t>（6）需要冷藏的熟制品，应尽快冷却后再冷藏。</w:t>
      </w:r>
    </w:p>
    <w:p w14:paraId="076AAE0D">
      <w:pPr>
        <w:spacing w:line="360" w:lineRule="exact"/>
      </w:pPr>
      <w:r>
        <w:rPr>
          <w:rFonts w:hint="eastAsia"/>
        </w:rPr>
        <w:t>3、餐用具卫生管理规范</w:t>
      </w:r>
    </w:p>
    <w:p w14:paraId="5923E289">
      <w:pPr>
        <w:spacing w:line="360" w:lineRule="exact"/>
      </w:pPr>
      <w:r>
        <w:rPr>
          <w:rFonts w:hint="eastAsia"/>
        </w:rPr>
        <w:t>（1）所有餐具的清洗和消毒必须专人负责。</w:t>
      </w:r>
    </w:p>
    <w:p w14:paraId="3AE3FA51">
      <w:pPr>
        <w:spacing w:line="360" w:lineRule="exact"/>
      </w:pPr>
      <w:r>
        <w:rPr>
          <w:rFonts w:hint="eastAsia"/>
        </w:rPr>
        <w:t>（2）食具清洗必须做到一洗、二刷、三冲、四消毒、五保洁。</w:t>
      </w:r>
    </w:p>
    <w:p w14:paraId="39760C1F">
      <w:pPr>
        <w:spacing w:line="360" w:lineRule="exact"/>
      </w:pPr>
      <w:r>
        <w:rPr>
          <w:rFonts w:hint="eastAsia"/>
        </w:rPr>
        <w:t>（3）清洗完的食具必须无污垢、无油渍、无残渣。</w:t>
      </w:r>
    </w:p>
    <w:p w14:paraId="3374FFAB">
      <w:pPr>
        <w:spacing w:line="360" w:lineRule="exact"/>
      </w:pPr>
      <w:r>
        <w:rPr>
          <w:rFonts w:hint="eastAsia"/>
        </w:rPr>
        <w:t>（4）消毒后食具应该无水、干爽、无油迹、无污迹、无异味。</w:t>
      </w:r>
    </w:p>
    <w:p w14:paraId="3DD3293A">
      <w:pPr>
        <w:spacing w:line="360" w:lineRule="exact"/>
      </w:pPr>
      <w:r>
        <w:rPr>
          <w:rFonts w:hint="eastAsia"/>
        </w:rPr>
        <w:t>（5）应定期检查消毒设备、设施是否处于良好状态。采用化学消毒的应定时测量有效消毒浓度。</w:t>
      </w:r>
    </w:p>
    <w:p w14:paraId="10C39D13">
      <w:pPr>
        <w:spacing w:line="360" w:lineRule="exact"/>
      </w:pPr>
      <w:r>
        <w:rPr>
          <w:rFonts w:hint="eastAsia"/>
        </w:rPr>
        <w:t>（6）已消毒和未消毒的餐用具应分开存放，保洁柜内不得存放其他物品。</w:t>
      </w:r>
    </w:p>
    <w:p w14:paraId="3B8928BF">
      <w:pPr>
        <w:spacing w:line="360" w:lineRule="exact"/>
      </w:pPr>
      <w:r>
        <w:rPr>
          <w:rFonts w:hint="eastAsia"/>
        </w:rPr>
        <w:t>以上各点，甲方将随时抽查，如不合格，乙方应向甲方支付违约金人民币 100元，若再次抽查仍不合格的，乙方应向甲方加倍支付违约金，直到彻底改善为止。若因餐用具清洗或餐用具本身原因而引起的食物中毒事件，乙方应自行承担全部责任（包括赔偿责任），并向甲方支付违约金人民币1万元，同时甲方有权解除合同。</w:t>
      </w:r>
    </w:p>
    <w:p w14:paraId="534BC5E8"/>
    <w:p w14:paraId="7CE28E83"/>
    <w:p w14:paraId="1C4FD629"/>
    <w:p w14:paraId="5F3813A9"/>
    <w:bookmarkEnd w:id="12"/>
    <w:p w14:paraId="1F4834E8">
      <w:pPr>
        <w:pStyle w:val="4"/>
        <w:jc w:val="center"/>
        <w:rPr>
          <w:rFonts w:ascii="黑体" w:eastAsia="黑体"/>
          <w:b w:val="0"/>
          <w:kern w:val="0"/>
          <w:sz w:val="24"/>
        </w:rPr>
      </w:pPr>
      <w:bookmarkStart w:id="15" w:name="_Toc128884465"/>
      <w:r>
        <w:rPr>
          <w:rFonts w:hint="eastAsia" w:ascii="黑体" w:eastAsia="黑体"/>
          <w:b w:val="0"/>
          <w:kern w:val="0"/>
          <w:sz w:val="24"/>
        </w:rPr>
        <w:t>三、</w:t>
      </w:r>
      <w:bookmarkEnd w:id="15"/>
      <w:r>
        <w:rPr>
          <w:rFonts w:hint="eastAsia" w:ascii="黑体" w:eastAsia="黑体"/>
          <w:b w:val="0"/>
          <w:kern w:val="0"/>
          <w:sz w:val="24"/>
        </w:rPr>
        <w:t>项目商务要求</w:t>
      </w:r>
    </w:p>
    <w:p w14:paraId="27E3725E">
      <w:pPr>
        <w:pStyle w:val="5"/>
        <w:jc w:val="center"/>
        <w:rPr>
          <w:b w:val="0"/>
          <w:bCs w:val="0"/>
          <w:sz w:val="24"/>
          <w:szCs w:val="24"/>
        </w:rPr>
      </w:pPr>
      <w:r>
        <w:rPr>
          <w:rFonts w:hint="eastAsia"/>
          <w:b w:val="0"/>
          <w:bCs w:val="0"/>
          <w:sz w:val="24"/>
          <w:szCs w:val="24"/>
        </w:rPr>
        <w:t>（一）履约保证金</w:t>
      </w:r>
    </w:p>
    <w:p w14:paraId="7CF482A4">
      <w:pPr>
        <w:pStyle w:val="8"/>
        <w:spacing w:before="60" w:beforeLines="25" w:after="60" w:afterLines="25" w:line="360" w:lineRule="exact"/>
        <w:ind w:firstLine="392" w:firstLineChars="187"/>
        <w:rPr>
          <w:rFonts w:ascii="宋体" w:hAnsi="宋体"/>
          <w:color w:val="000000"/>
          <w:szCs w:val="21"/>
        </w:rPr>
      </w:pPr>
      <w:r>
        <w:rPr>
          <w:rFonts w:hint="eastAsia"/>
          <w:kern w:val="0"/>
          <w:szCs w:val="21"/>
        </w:rPr>
        <w:sym w:font="Wingdings" w:char="00FE"/>
      </w:r>
      <w:r>
        <w:rPr>
          <w:rFonts w:hint="eastAsia" w:ascii="宋体" w:hAnsi="宋体"/>
          <w:color w:val="000000"/>
          <w:szCs w:val="21"/>
        </w:rPr>
        <w:t>本项目无需提供履约保证金。</w:t>
      </w:r>
    </w:p>
    <w:p w14:paraId="65D8926C">
      <w:pPr>
        <w:pStyle w:val="5"/>
        <w:spacing w:line="400" w:lineRule="exact"/>
        <w:jc w:val="center"/>
        <w:rPr>
          <w:b w:val="0"/>
          <w:bCs w:val="0"/>
          <w:sz w:val="24"/>
          <w:szCs w:val="24"/>
        </w:rPr>
      </w:pPr>
      <w:bookmarkStart w:id="16" w:name="OLE_LINK9"/>
      <w:r>
        <w:rPr>
          <w:rFonts w:hint="eastAsia"/>
          <w:b w:val="0"/>
          <w:bCs w:val="0"/>
          <w:sz w:val="24"/>
          <w:szCs w:val="24"/>
        </w:rPr>
        <w:t>（二）投标报价构成</w:t>
      </w:r>
    </w:p>
    <w:bookmarkEnd w:id="16"/>
    <w:p w14:paraId="7DB4AF59">
      <w:pPr>
        <w:widowControl/>
        <w:spacing w:line="360" w:lineRule="exact"/>
        <w:ind w:firstLine="420" w:firstLineChars="200"/>
        <w:jc w:val="left"/>
        <w:rPr>
          <w:rFonts w:ascii="宋体" w:hAnsi="宋体"/>
          <w:color w:val="000000"/>
          <w:szCs w:val="21"/>
        </w:rPr>
      </w:pPr>
      <w:r>
        <w:rPr>
          <w:rFonts w:hint="eastAsia" w:ascii="宋体" w:hAnsi="宋体"/>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F0594AC">
      <w:pPr>
        <w:widowControl/>
        <w:spacing w:line="360" w:lineRule="exact"/>
        <w:ind w:firstLine="420" w:firstLineChars="200"/>
        <w:jc w:val="left"/>
        <w:rPr>
          <w:rFonts w:ascii="宋体" w:hAnsi="宋体"/>
          <w:color w:val="000000"/>
          <w:szCs w:val="21"/>
        </w:rPr>
      </w:pPr>
      <w:r>
        <w:rPr>
          <w:rFonts w:hint="eastAsia" w:ascii="宋体" w:hAnsi="宋体"/>
          <w:color w:val="000000"/>
          <w:szCs w:val="21"/>
        </w:rPr>
        <w:t>2、投标人应充分了解项目的位置、情况、道路及任何其它足以影响投标报价的情况，任何因忽视或误解项目情况而导致的索赔或服务期限延长申请将不获批准。</w:t>
      </w:r>
    </w:p>
    <w:p w14:paraId="3A815F94">
      <w:pPr>
        <w:widowControl/>
        <w:spacing w:line="360" w:lineRule="exact"/>
        <w:ind w:firstLine="420" w:firstLineChars="200"/>
        <w:jc w:val="left"/>
        <w:rPr>
          <w:rFonts w:ascii="宋体" w:hAnsi="宋体"/>
          <w:color w:val="000000"/>
          <w:szCs w:val="21"/>
        </w:rPr>
      </w:pPr>
      <w:r>
        <w:rPr>
          <w:rFonts w:hint="eastAsia" w:ascii="宋体" w:hAnsi="宋体"/>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0F137DFB">
      <w:pPr>
        <w:widowControl/>
        <w:spacing w:line="360" w:lineRule="exact"/>
        <w:ind w:firstLine="420" w:firstLineChars="200"/>
        <w:jc w:val="left"/>
        <w:rPr>
          <w:rFonts w:ascii="宋体" w:hAnsi="宋体"/>
          <w:color w:val="000000"/>
          <w:szCs w:val="21"/>
        </w:rPr>
      </w:pPr>
      <w:r>
        <w:rPr>
          <w:rFonts w:hint="eastAsia" w:ascii="宋体" w:hAnsi="宋体"/>
          <w:color w:val="000000"/>
          <w:szCs w:val="21"/>
        </w:rPr>
        <w:t>4、除政府采购合同继续履行将损害国家利益和社会公共利益外，双方当事人不得擅自变更、中止或者终止合同。</w:t>
      </w:r>
    </w:p>
    <w:p w14:paraId="1A32193B">
      <w:pPr>
        <w:pStyle w:val="5"/>
        <w:spacing w:line="400" w:lineRule="exact"/>
        <w:jc w:val="center"/>
        <w:rPr>
          <w:b w:val="0"/>
          <w:bCs w:val="0"/>
          <w:sz w:val="24"/>
          <w:szCs w:val="24"/>
        </w:rPr>
      </w:pPr>
      <w:bookmarkStart w:id="17" w:name="OLE_LINK37"/>
      <w:r>
        <w:rPr>
          <w:rFonts w:hint="eastAsia"/>
          <w:b w:val="0"/>
          <w:bCs w:val="0"/>
          <w:sz w:val="24"/>
          <w:szCs w:val="24"/>
        </w:rPr>
        <w:t>（三）其他重要条款</w:t>
      </w:r>
    </w:p>
    <w:p w14:paraId="475DE7F6">
      <w:pPr>
        <w:widowControl/>
        <w:spacing w:line="360" w:lineRule="exact"/>
        <w:ind w:firstLine="420" w:firstLineChars="200"/>
        <w:jc w:val="left"/>
        <w:rPr>
          <w:rFonts w:ascii="宋体" w:hAnsi="宋体"/>
          <w:color w:val="000000"/>
          <w:szCs w:val="21"/>
        </w:rPr>
      </w:pPr>
      <w:r>
        <w:rPr>
          <w:rFonts w:hint="eastAsia" w:ascii="宋体" w:hAnsi="宋体"/>
          <w:color w:val="000000"/>
          <w:szCs w:val="21"/>
        </w:rPr>
        <w:t>1、“信用中国”中“信用服务”栏的“重大税收违法失信主体”“失信被执行人”，“中国政府采购网”中的“政府采购严重违法失信行为记录名单”，“深圳市政府采购监管网”以及财政部门认可的“供应商诚信档案库”为供应商信用信息的查询渠道，相关信息以开标当日的查询结果为准</w:t>
      </w:r>
      <w:r>
        <w:rPr>
          <w:rFonts w:hint="eastAsia" w:ascii="宋体" w:hAnsi="宋体"/>
        </w:rPr>
        <w:t>；</w:t>
      </w:r>
      <w:r>
        <w:rPr>
          <w:rFonts w:hint="eastAsia" w:ascii="宋体" w:hAnsi="宋体"/>
          <w:color w:val="000000"/>
          <w:szCs w:val="21"/>
        </w:rPr>
        <w:t>如开标当日网站出现网站无法打开的特殊情况，相关信息则以中标通知书发出前的查询结果为准。</w:t>
      </w:r>
    </w:p>
    <w:p w14:paraId="007AC9E6">
      <w:pPr>
        <w:widowControl/>
        <w:spacing w:line="360" w:lineRule="exact"/>
        <w:ind w:firstLine="420" w:firstLineChars="200"/>
        <w:jc w:val="left"/>
        <w:rPr>
          <w:rFonts w:ascii="宋体" w:hAnsi="宋体"/>
          <w:color w:val="000000"/>
          <w:szCs w:val="21"/>
        </w:rPr>
      </w:pPr>
      <w:r>
        <w:rPr>
          <w:rFonts w:hint="eastAsia" w:ascii="宋体" w:hAnsi="宋体"/>
          <w:color w:val="000000"/>
          <w:szCs w:val="21"/>
        </w:rPr>
        <w:t>2、供应商提供报价合理性、澄清、说明、补正或者错误的修正的方式，包括但不限于现场提交（地址：深圳市罗湖区深南东路1076号党群服务中心4楼）、电邮提交（邮箱：szexlhfgs@szexgrp.com）等便捷方式。</w:t>
      </w:r>
    </w:p>
    <w:bookmarkEnd w:id="17"/>
    <w:p w14:paraId="31E14B22">
      <w:pPr>
        <w:widowControl/>
        <w:spacing w:line="360" w:lineRule="exact"/>
        <w:ind w:firstLine="482" w:firstLineChars="200"/>
        <w:jc w:val="left"/>
        <w:rPr>
          <w:rFonts w:ascii="黑体" w:hAnsi="宋体" w:eastAsia="黑体" w:cs="宋体"/>
          <w:kern w:val="0"/>
          <w:sz w:val="24"/>
          <w:szCs w:val="32"/>
        </w:rPr>
      </w:pPr>
      <w:r>
        <w:rPr>
          <w:rFonts w:ascii="黑体" w:eastAsia="黑体"/>
          <w:b/>
          <w:kern w:val="0"/>
          <w:sz w:val="24"/>
        </w:rPr>
        <w:br w:type="page"/>
      </w:r>
    </w:p>
    <w:p w14:paraId="7C9D724E">
      <w:pPr>
        <w:pStyle w:val="4"/>
        <w:jc w:val="center"/>
        <w:rPr>
          <w:rFonts w:ascii="黑体" w:eastAsia="黑体"/>
          <w:b w:val="0"/>
          <w:kern w:val="0"/>
          <w:sz w:val="24"/>
        </w:rPr>
      </w:pPr>
      <w:r>
        <w:rPr>
          <w:rFonts w:hint="eastAsia" w:ascii="黑体" w:eastAsia="黑体"/>
          <w:b w:val="0"/>
          <w:kern w:val="0"/>
          <w:sz w:val="24"/>
        </w:rPr>
        <w:t>四、投标文件组成</w:t>
      </w:r>
    </w:p>
    <w:p w14:paraId="57F8CF75">
      <w:pPr>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14:paraId="2F64DDCB">
      <w:pPr>
        <w:ind w:firstLine="422" w:firstLineChars="200"/>
        <w:rPr>
          <w:b/>
          <w:color w:val="FF0000"/>
          <w:highlight w:val="yellow"/>
        </w:rPr>
      </w:pPr>
    </w:p>
    <w:p w14:paraId="0EF7671E">
      <w:pPr>
        <w:ind w:firstLine="422" w:firstLineChars="200"/>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14:paraId="209CB10A">
      <w:pPr>
        <w:spacing w:line="320" w:lineRule="exact"/>
        <w:ind w:firstLine="422" w:firstLineChars="200"/>
        <w:rPr>
          <w:rFonts w:ascii="宋体" w:hAnsi="宋体"/>
          <w:b/>
          <w:snapToGrid w:val="0"/>
          <w:color w:val="FF0000"/>
          <w:kern w:val="0"/>
          <w:highlight w:val="yellow"/>
        </w:rPr>
      </w:pPr>
    </w:p>
    <w:p w14:paraId="67D7C5E3">
      <w:pPr>
        <w:spacing w:line="400" w:lineRule="exact"/>
        <w:ind w:firstLine="420" w:firstLineChars="200"/>
        <w:rPr>
          <w:rFonts w:ascii="宋体" w:hAnsi="宋体"/>
          <w:color w:val="000000"/>
          <w:szCs w:val="21"/>
        </w:rPr>
      </w:pPr>
      <w:r>
        <w:rPr>
          <w:rFonts w:hint="eastAsia" w:ascii="宋体" w:hAnsi="宋体"/>
          <w:color w:val="000000"/>
          <w:szCs w:val="21"/>
        </w:rPr>
        <w:t>投标供应商编写的投标文件应包括下列部分：</w:t>
      </w:r>
    </w:p>
    <w:p w14:paraId="12F745C2">
      <w:pPr>
        <w:spacing w:line="400" w:lineRule="exact"/>
        <w:ind w:firstLine="843" w:firstLineChars="400"/>
        <w:rPr>
          <w:rFonts w:ascii="宋体" w:hAnsi="宋体"/>
          <w:b/>
          <w:color w:val="000000"/>
          <w:szCs w:val="21"/>
        </w:rPr>
      </w:pPr>
      <w:r>
        <w:rPr>
          <w:rFonts w:hint="eastAsia" w:ascii="宋体" w:hAnsi="宋体"/>
          <w:b/>
          <w:color w:val="000000"/>
          <w:szCs w:val="21"/>
        </w:rPr>
        <w:t>一、关键信息</w:t>
      </w:r>
    </w:p>
    <w:p w14:paraId="2CF875BF">
      <w:pPr>
        <w:spacing w:line="400" w:lineRule="exact"/>
        <w:ind w:firstLine="840" w:firstLineChars="400"/>
        <w:rPr>
          <w:rFonts w:ascii="宋体" w:hAnsi="宋体"/>
          <w:color w:val="000000"/>
          <w:szCs w:val="21"/>
        </w:rPr>
      </w:pPr>
      <w:r>
        <w:rPr>
          <w:rFonts w:hint="eastAsia" w:ascii="宋体" w:hAnsi="宋体"/>
          <w:color w:val="000000"/>
          <w:szCs w:val="21"/>
        </w:rPr>
        <w:t>（1）开标一览表</w:t>
      </w:r>
    </w:p>
    <w:p w14:paraId="008B90E0">
      <w:pPr>
        <w:spacing w:line="400" w:lineRule="exact"/>
        <w:ind w:firstLine="840" w:firstLineChars="400"/>
        <w:rPr>
          <w:rFonts w:ascii="宋体" w:hAnsi="宋体"/>
          <w:color w:val="000000"/>
          <w:szCs w:val="21"/>
        </w:rPr>
      </w:pPr>
      <w:r>
        <w:rPr>
          <w:rFonts w:hint="eastAsia" w:ascii="宋体" w:hAnsi="宋体"/>
          <w:color w:val="000000"/>
          <w:szCs w:val="21"/>
        </w:rPr>
        <w:t>（2）政府采购投标及履约承诺函</w:t>
      </w:r>
    </w:p>
    <w:p w14:paraId="6FE07047">
      <w:pPr>
        <w:spacing w:line="400" w:lineRule="exact"/>
        <w:ind w:firstLine="840" w:firstLineChars="400"/>
        <w:rPr>
          <w:rFonts w:ascii="宋体" w:hAnsi="宋体"/>
          <w:color w:val="000000"/>
          <w:szCs w:val="21"/>
        </w:rPr>
      </w:pPr>
      <w:r>
        <w:rPr>
          <w:rFonts w:hint="eastAsia" w:ascii="宋体" w:hAnsi="宋体"/>
          <w:color w:val="000000"/>
          <w:szCs w:val="21"/>
        </w:rPr>
        <w:t>（3）供应商资格证明文件</w:t>
      </w:r>
    </w:p>
    <w:p w14:paraId="76F09F08">
      <w:pPr>
        <w:spacing w:line="400" w:lineRule="exact"/>
        <w:ind w:firstLine="840" w:firstLineChars="400"/>
        <w:rPr>
          <w:rFonts w:ascii="宋体" w:hAnsi="宋体"/>
          <w:color w:val="000000"/>
          <w:szCs w:val="21"/>
        </w:rPr>
      </w:pPr>
      <w:r>
        <w:rPr>
          <w:rFonts w:hint="eastAsia" w:ascii="宋体" w:hAnsi="宋体"/>
          <w:color w:val="000000"/>
          <w:szCs w:val="21"/>
        </w:rPr>
        <w:t>（4）实质性服务条款（以★号标注）证明文件</w:t>
      </w:r>
    </w:p>
    <w:p w14:paraId="1C9290D9">
      <w:pPr>
        <w:spacing w:line="400" w:lineRule="exact"/>
        <w:ind w:firstLine="840" w:firstLineChars="400"/>
        <w:rPr>
          <w:rFonts w:ascii="宋体" w:hAnsi="宋体"/>
          <w:color w:val="000000"/>
          <w:szCs w:val="21"/>
        </w:rPr>
      </w:pPr>
      <w:r>
        <w:rPr>
          <w:rFonts w:hint="eastAsia" w:ascii="宋体" w:hAnsi="宋体"/>
          <w:color w:val="000000"/>
          <w:szCs w:val="21"/>
        </w:rPr>
        <w:t>（5）法定代表人（负责人）资格证明书</w:t>
      </w:r>
    </w:p>
    <w:p w14:paraId="20680DA1">
      <w:pPr>
        <w:spacing w:line="400" w:lineRule="exact"/>
        <w:ind w:firstLine="840" w:firstLineChars="400"/>
        <w:rPr>
          <w:rFonts w:ascii="宋体" w:hAnsi="宋体"/>
          <w:color w:val="000000"/>
          <w:szCs w:val="21"/>
        </w:rPr>
      </w:pPr>
      <w:r>
        <w:rPr>
          <w:rFonts w:hint="eastAsia" w:ascii="宋体" w:hAnsi="宋体"/>
          <w:color w:val="000000"/>
          <w:szCs w:val="21"/>
        </w:rPr>
        <w:t>（6）投标文件签署授权委托书</w:t>
      </w:r>
    </w:p>
    <w:p w14:paraId="42237365">
      <w:pPr>
        <w:spacing w:line="400" w:lineRule="exact"/>
        <w:ind w:firstLine="840" w:firstLineChars="400"/>
        <w:rPr>
          <w:rFonts w:ascii="宋体" w:hAnsi="宋体"/>
          <w:color w:val="000000"/>
          <w:szCs w:val="21"/>
        </w:rPr>
      </w:pPr>
      <w:r>
        <w:rPr>
          <w:rFonts w:hint="eastAsia" w:ascii="宋体" w:hAnsi="宋体"/>
          <w:color w:val="000000"/>
          <w:szCs w:val="21"/>
        </w:rPr>
        <w:t>（7）分项报价清单</w:t>
      </w:r>
    </w:p>
    <w:p w14:paraId="115B9DB0">
      <w:pPr>
        <w:spacing w:line="400" w:lineRule="exact"/>
        <w:ind w:firstLine="840" w:firstLineChars="400"/>
        <w:rPr>
          <w:rFonts w:ascii="宋体" w:hAnsi="宋体"/>
          <w:color w:val="000000"/>
          <w:szCs w:val="21"/>
        </w:rPr>
      </w:pPr>
      <w:r>
        <w:rPr>
          <w:rFonts w:hint="eastAsia" w:ascii="宋体" w:hAnsi="宋体"/>
          <w:color w:val="000000"/>
          <w:szCs w:val="21"/>
        </w:rPr>
        <w:t>（8）</w:t>
      </w:r>
      <w:r>
        <w:rPr>
          <w:rFonts w:hint="eastAsia"/>
        </w:rPr>
        <w:t>政府采购优惠政策证明文件</w:t>
      </w:r>
    </w:p>
    <w:p w14:paraId="6535FC90">
      <w:pPr>
        <w:spacing w:line="400" w:lineRule="exact"/>
        <w:ind w:firstLine="843" w:firstLineChars="400"/>
        <w:rPr>
          <w:rFonts w:ascii="宋体" w:hAnsi="宋体"/>
          <w:b/>
          <w:color w:val="000000"/>
          <w:szCs w:val="21"/>
        </w:rPr>
      </w:pPr>
      <w:r>
        <w:rPr>
          <w:rFonts w:hint="eastAsia" w:ascii="宋体" w:hAnsi="宋体"/>
          <w:b/>
          <w:color w:val="000000"/>
          <w:szCs w:val="21"/>
        </w:rPr>
        <w:t>二、技术服务部分</w:t>
      </w:r>
    </w:p>
    <w:p w14:paraId="28ECF3B4">
      <w:pPr>
        <w:spacing w:line="400" w:lineRule="exact"/>
        <w:ind w:firstLine="840" w:firstLineChars="400"/>
        <w:rPr>
          <w:rFonts w:ascii="宋体" w:hAnsi="宋体"/>
          <w:color w:val="000000"/>
          <w:szCs w:val="21"/>
        </w:rPr>
      </w:pPr>
      <w:r>
        <w:rPr>
          <w:rFonts w:hint="eastAsia" w:ascii="宋体" w:hAnsi="宋体"/>
          <w:color w:val="000000"/>
          <w:szCs w:val="21"/>
        </w:rPr>
        <w:t>（1）项目实施方案</w:t>
      </w:r>
    </w:p>
    <w:p w14:paraId="039763C2">
      <w:pPr>
        <w:spacing w:line="400" w:lineRule="exact"/>
        <w:ind w:firstLine="840" w:firstLineChars="400"/>
        <w:rPr>
          <w:rFonts w:ascii="宋体" w:hAnsi="宋体"/>
          <w:color w:val="000000"/>
          <w:szCs w:val="21"/>
        </w:rPr>
      </w:pPr>
      <w:r>
        <w:rPr>
          <w:rFonts w:hint="eastAsia" w:ascii="宋体" w:hAnsi="宋体"/>
          <w:color w:val="000000"/>
          <w:szCs w:val="21"/>
        </w:rPr>
        <w:t>（2）项目重点难点分析、应对措施及相关的合理化建议</w:t>
      </w:r>
    </w:p>
    <w:p w14:paraId="7B644B9E">
      <w:pPr>
        <w:spacing w:line="400" w:lineRule="exact"/>
        <w:ind w:firstLine="840" w:firstLineChars="400"/>
        <w:rPr>
          <w:rFonts w:ascii="宋体" w:hAnsi="宋体"/>
          <w:color w:val="000000"/>
          <w:szCs w:val="21"/>
        </w:rPr>
      </w:pPr>
      <w:r>
        <w:rPr>
          <w:rFonts w:hint="eastAsia" w:ascii="宋体" w:hAnsi="宋体"/>
          <w:color w:val="000000"/>
          <w:szCs w:val="21"/>
        </w:rPr>
        <w:t>（3）</w:t>
      </w:r>
      <w:r>
        <w:rPr>
          <w:rFonts w:ascii="宋体" w:hAnsi="宋体"/>
          <w:color w:val="000000"/>
          <w:szCs w:val="21"/>
        </w:rPr>
        <w:t>质量保障措施及方案</w:t>
      </w:r>
    </w:p>
    <w:p w14:paraId="39AA6520">
      <w:pPr>
        <w:spacing w:line="400" w:lineRule="exact"/>
        <w:ind w:firstLine="840" w:firstLineChars="400"/>
        <w:rPr>
          <w:rFonts w:ascii="宋体" w:hAnsi="宋体"/>
          <w:color w:val="000000"/>
          <w:szCs w:val="21"/>
        </w:rPr>
      </w:pPr>
      <w:r>
        <w:rPr>
          <w:rFonts w:hint="eastAsia" w:ascii="宋体" w:hAnsi="宋体"/>
          <w:color w:val="000000"/>
          <w:szCs w:val="21"/>
        </w:rPr>
        <w:t>（4）</w:t>
      </w:r>
      <w:r>
        <w:rPr>
          <w:rFonts w:ascii="宋体" w:hAnsi="宋体"/>
          <w:color w:val="000000"/>
          <w:szCs w:val="21"/>
        </w:rPr>
        <w:t>项目完成（服务期满）后的服务承诺</w:t>
      </w:r>
    </w:p>
    <w:p w14:paraId="30A77126">
      <w:pPr>
        <w:spacing w:line="400" w:lineRule="exact"/>
        <w:ind w:firstLine="840" w:firstLineChars="400"/>
        <w:rPr>
          <w:rFonts w:ascii="宋体" w:hAnsi="宋体"/>
          <w:color w:val="000000"/>
          <w:szCs w:val="21"/>
        </w:rPr>
      </w:pPr>
      <w:r>
        <w:rPr>
          <w:rFonts w:hint="eastAsia" w:ascii="宋体" w:hAnsi="宋体"/>
          <w:color w:val="000000"/>
          <w:szCs w:val="21"/>
        </w:rPr>
        <w:t>（5）拟安排的项目团队成员</w:t>
      </w:r>
    </w:p>
    <w:p w14:paraId="78B0AF29">
      <w:pPr>
        <w:spacing w:line="400" w:lineRule="exact"/>
        <w:ind w:firstLine="840" w:firstLineChars="400"/>
        <w:rPr>
          <w:rFonts w:ascii="宋体" w:hAnsi="宋体"/>
          <w:color w:val="000000"/>
          <w:szCs w:val="21"/>
        </w:rPr>
      </w:pPr>
      <w:r>
        <w:rPr>
          <w:rFonts w:hint="eastAsia" w:ascii="宋体" w:hAnsi="宋体"/>
          <w:color w:val="000000"/>
          <w:szCs w:val="21"/>
        </w:rPr>
        <w:t>（6）违约承诺</w:t>
      </w:r>
    </w:p>
    <w:p w14:paraId="686D5507">
      <w:pPr>
        <w:spacing w:line="400" w:lineRule="exact"/>
        <w:ind w:firstLine="843" w:firstLineChars="400"/>
        <w:rPr>
          <w:rFonts w:ascii="宋体" w:hAnsi="宋体"/>
          <w:b/>
          <w:color w:val="000000"/>
          <w:szCs w:val="21"/>
        </w:rPr>
      </w:pPr>
      <w:r>
        <w:rPr>
          <w:rFonts w:hint="eastAsia" w:ascii="宋体" w:hAnsi="宋体"/>
          <w:b/>
          <w:color w:val="000000"/>
          <w:szCs w:val="21"/>
        </w:rPr>
        <w:t>三、综合实力部分</w:t>
      </w:r>
    </w:p>
    <w:p w14:paraId="04CCF11D">
      <w:pPr>
        <w:spacing w:line="400" w:lineRule="exact"/>
        <w:ind w:firstLine="840" w:firstLineChars="400"/>
        <w:rPr>
          <w:rFonts w:ascii="宋体" w:hAnsi="宋体"/>
          <w:color w:val="000000"/>
          <w:szCs w:val="21"/>
        </w:rPr>
      </w:pPr>
      <w:r>
        <w:rPr>
          <w:rFonts w:hint="eastAsia" w:ascii="宋体" w:hAnsi="宋体"/>
          <w:color w:val="000000"/>
          <w:szCs w:val="21"/>
        </w:rPr>
        <w:t>（1）</w:t>
      </w:r>
      <w:r>
        <w:rPr>
          <w:rFonts w:hint="eastAsia" w:ascii="宋体" w:hAnsi="宋体"/>
          <w:szCs w:val="21"/>
        </w:rPr>
        <w:t>同类项目业绩情况</w:t>
      </w:r>
    </w:p>
    <w:p w14:paraId="41BFF218">
      <w:pPr>
        <w:spacing w:line="400" w:lineRule="exact"/>
        <w:ind w:firstLine="840" w:firstLineChars="400"/>
        <w:rPr>
          <w:rFonts w:ascii="宋体" w:hAnsi="宋体"/>
          <w:szCs w:val="21"/>
        </w:rPr>
      </w:pPr>
      <w:r>
        <w:rPr>
          <w:rFonts w:hint="eastAsia" w:ascii="宋体" w:hAnsi="宋体"/>
          <w:color w:val="000000"/>
          <w:szCs w:val="21"/>
        </w:rPr>
        <w:t>（2）</w:t>
      </w:r>
      <w:r>
        <w:rPr>
          <w:rFonts w:ascii="宋体" w:hAnsi="宋体"/>
          <w:szCs w:val="21"/>
        </w:rPr>
        <w:t>同类项目业绩履约情况</w:t>
      </w:r>
    </w:p>
    <w:p w14:paraId="23E30A5A">
      <w:pPr>
        <w:spacing w:line="400" w:lineRule="exact"/>
        <w:ind w:firstLine="840" w:firstLineChars="400"/>
        <w:rPr>
          <w:rFonts w:ascii="宋体" w:hAnsi="宋体"/>
          <w:szCs w:val="21"/>
        </w:rPr>
      </w:pPr>
      <w:r>
        <w:rPr>
          <w:rFonts w:hint="eastAsia" w:ascii="宋体" w:hAnsi="宋体"/>
          <w:color w:val="000000"/>
          <w:szCs w:val="21"/>
        </w:rPr>
        <w:t>（3）</w:t>
      </w:r>
      <w:r>
        <w:rPr>
          <w:rFonts w:hint="eastAsia" w:ascii="宋体" w:hAnsi="宋体"/>
          <w:szCs w:val="21"/>
        </w:rPr>
        <w:t>体系认证</w:t>
      </w:r>
    </w:p>
    <w:p w14:paraId="34A57E31">
      <w:pPr>
        <w:spacing w:line="400" w:lineRule="exact"/>
        <w:ind w:firstLine="840" w:firstLineChars="400"/>
        <w:rPr>
          <w:rFonts w:ascii="新宋体" w:hAnsi="新宋体" w:eastAsia="新宋体"/>
          <w:szCs w:val="21"/>
        </w:rPr>
      </w:pPr>
      <w:r>
        <w:rPr>
          <w:rFonts w:hint="eastAsia" w:ascii="宋体" w:hAnsi="宋体"/>
          <w:color w:val="000000"/>
          <w:szCs w:val="21"/>
        </w:rPr>
        <w:t>（4）</w:t>
      </w:r>
      <w:r>
        <w:rPr>
          <w:rFonts w:hint="eastAsia" w:ascii="新宋体" w:hAnsi="新宋体" w:eastAsia="新宋体"/>
          <w:szCs w:val="21"/>
        </w:rPr>
        <w:t>企业荣誉情况</w:t>
      </w:r>
    </w:p>
    <w:p w14:paraId="0BBDF386">
      <w:pPr>
        <w:spacing w:line="400" w:lineRule="exact"/>
        <w:ind w:firstLine="840" w:firstLineChars="400"/>
        <w:rPr>
          <w:rFonts w:ascii="新宋体" w:hAnsi="新宋体" w:eastAsia="新宋体" w:cs="宋体"/>
          <w:szCs w:val="21"/>
        </w:rPr>
      </w:pPr>
      <w:r>
        <w:rPr>
          <w:rFonts w:hint="eastAsia" w:ascii="宋体" w:hAnsi="宋体"/>
          <w:color w:val="000000"/>
          <w:szCs w:val="21"/>
        </w:rPr>
        <w:t>（5）</w:t>
      </w:r>
      <w:bookmarkStart w:id="18" w:name="_Hlk166847280"/>
      <w:r>
        <w:rPr>
          <w:rFonts w:hint="eastAsia" w:ascii="新宋体" w:hAnsi="新宋体" w:eastAsia="新宋体" w:cs="宋体"/>
          <w:szCs w:val="21"/>
        </w:rPr>
        <w:t>公共（众）责任险</w:t>
      </w:r>
      <w:bookmarkEnd w:id="18"/>
    </w:p>
    <w:p w14:paraId="2EE689E3">
      <w:pPr>
        <w:spacing w:line="400" w:lineRule="exact"/>
        <w:ind w:firstLine="840" w:firstLineChars="400"/>
        <w:rPr>
          <w:szCs w:val="21"/>
        </w:rPr>
      </w:pPr>
      <w:r>
        <w:rPr>
          <w:rFonts w:hint="eastAsia" w:ascii="宋体" w:hAnsi="宋体"/>
          <w:color w:val="000000"/>
          <w:szCs w:val="21"/>
        </w:rPr>
        <w:t>（6）</w:t>
      </w:r>
      <w:bookmarkStart w:id="19" w:name="_Hlk166847286"/>
      <w:r>
        <w:rPr>
          <w:rFonts w:hint="eastAsia"/>
          <w:szCs w:val="21"/>
        </w:rPr>
        <w:t>人员信息化管理能力</w:t>
      </w:r>
      <w:bookmarkEnd w:id="19"/>
    </w:p>
    <w:p w14:paraId="46538188">
      <w:pPr>
        <w:spacing w:line="400" w:lineRule="exact"/>
        <w:ind w:firstLine="843" w:firstLineChars="400"/>
        <w:rPr>
          <w:rFonts w:ascii="宋体" w:hAnsi="宋体"/>
          <w:b/>
          <w:color w:val="000000"/>
          <w:szCs w:val="21"/>
        </w:rPr>
      </w:pPr>
      <w:r>
        <w:rPr>
          <w:rFonts w:hint="eastAsia" w:ascii="宋体" w:hAnsi="宋体"/>
          <w:b/>
          <w:color w:val="000000"/>
          <w:szCs w:val="21"/>
        </w:rPr>
        <w:t>四、招标</w:t>
      </w:r>
      <w:r>
        <w:rPr>
          <w:rFonts w:ascii="宋体" w:hAnsi="宋体"/>
          <w:b/>
          <w:color w:val="000000"/>
          <w:szCs w:val="21"/>
        </w:rPr>
        <w:t>文件要求的其它内容及投标</w:t>
      </w:r>
      <w:r>
        <w:rPr>
          <w:rFonts w:hint="eastAsia" w:ascii="宋体" w:hAnsi="宋体"/>
          <w:b/>
          <w:color w:val="000000"/>
          <w:szCs w:val="21"/>
        </w:rPr>
        <w:t>供应商</w:t>
      </w:r>
      <w:r>
        <w:rPr>
          <w:rFonts w:ascii="宋体" w:hAnsi="宋体"/>
          <w:b/>
          <w:color w:val="000000"/>
          <w:szCs w:val="21"/>
        </w:rPr>
        <w:t>认为需要补充的内容</w:t>
      </w:r>
    </w:p>
    <w:p w14:paraId="4C215250">
      <w:pPr>
        <w:spacing w:line="400" w:lineRule="exact"/>
        <w:ind w:firstLine="840" w:firstLineChars="400"/>
        <w:rPr>
          <w:rFonts w:ascii="宋体" w:hAnsi="宋体"/>
          <w:color w:val="000000"/>
          <w:szCs w:val="21"/>
        </w:rPr>
      </w:pPr>
      <w:r>
        <w:rPr>
          <w:rFonts w:hint="eastAsia" w:ascii="宋体" w:hAnsi="宋体"/>
          <w:color w:val="000000"/>
          <w:szCs w:val="21"/>
        </w:rPr>
        <w:t>（1）政府采购违法行为风险知悉确认书</w:t>
      </w:r>
    </w:p>
    <w:p w14:paraId="3EA0A523">
      <w:pPr>
        <w:rPr>
          <w:rFonts w:ascii="宋体" w:hAnsi="宋体"/>
          <w:color w:val="000000"/>
          <w:szCs w:val="21"/>
        </w:rPr>
      </w:pPr>
    </w:p>
    <w:p w14:paraId="68731393"/>
    <w:p w14:paraId="1B8B6A04">
      <w:pPr>
        <w:pStyle w:val="3"/>
        <w:rPr>
          <w:sz w:val="24"/>
        </w:rPr>
      </w:pPr>
      <w:r>
        <w:rPr>
          <w:rFonts w:hint="eastAsia"/>
        </w:rPr>
        <w:t xml:space="preserve">第二册  </w:t>
      </w:r>
      <w:r>
        <w:rPr>
          <w:rFonts w:hint="eastAsia"/>
          <w:kern w:val="2"/>
        </w:rPr>
        <w:t>投标文件的格式及合同</w:t>
      </w:r>
    </w:p>
    <w:p w14:paraId="677BEE58">
      <w:pPr>
        <w:pStyle w:val="6"/>
        <w:rPr>
          <w:b w:val="0"/>
          <w:color w:val="000000"/>
        </w:rPr>
      </w:pPr>
      <w:bookmarkStart w:id="20" w:name="bt附件"/>
      <w:bookmarkEnd w:id="20"/>
      <w:bookmarkStart w:id="21" w:name="bt投标书"/>
      <w:bookmarkEnd w:id="21"/>
      <w:bookmarkStart w:id="22" w:name="_Toc194467285"/>
      <w:r>
        <w:rPr>
          <w:rFonts w:hint="eastAsia"/>
          <w:kern w:val="2"/>
        </w:rPr>
        <w:t>第一章  投标文件的格式</w:t>
      </w:r>
      <w:bookmarkEnd w:id="22"/>
    </w:p>
    <w:p w14:paraId="24E4C249">
      <w:pPr>
        <w:spacing w:line="360" w:lineRule="exact"/>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14:paraId="5131045B">
      <w:pPr>
        <w:spacing w:line="360" w:lineRule="exact"/>
        <w:rPr>
          <w:rFonts w:ascii="仿宋_GB2312" w:eastAsia="仿宋_GB2312"/>
          <w:color w:val="FF0000"/>
          <w:sz w:val="24"/>
        </w:rPr>
      </w:pPr>
    </w:p>
    <w:p w14:paraId="2E1B7015">
      <w:pPr>
        <w:spacing w:line="360" w:lineRule="exact"/>
        <w:ind w:firstLine="422" w:firstLineChars="200"/>
        <w:rPr>
          <w:b/>
          <w:color w:val="FF0000"/>
          <w:szCs w:val="21"/>
        </w:rPr>
      </w:pPr>
      <w:r>
        <w:rPr>
          <w:rFonts w:hint="eastAsia"/>
          <w:b/>
          <w:color w:val="FF0000"/>
          <w:szCs w:val="21"/>
        </w:rPr>
        <w:t>温馨提示：</w:t>
      </w:r>
    </w:p>
    <w:p w14:paraId="52E01730">
      <w:pPr>
        <w:spacing w:line="360" w:lineRule="exact"/>
        <w:ind w:firstLine="422" w:firstLineChars="200"/>
        <w:rPr>
          <w:rFonts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14:paraId="3AD13E48">
      <w:pPr>
        <w:spacing w:line="360" w:lineRule="exact"/>
        <w:ind w:firstLine="480"/>
        <w:rPr>
          <w:rFonts w:ascii="宋体" w:hAnsi="宋体"/>
          <w:color w:val="000000"/>
          <w:szCs w:val="21"/>
        </w:rPr>
      </w:pPr>
      <w:r>
        <w:rPr>
          <w:rFonts w:hint="eastAsia" w:ascii="宋体" w:hAnsi="宋体"/>
          <w:color w:val="000000"/>
          <w:szCs w:val="21"/>
        </w:rPr>
        <w:t>1.《</w:t>
      </w:r>
      <w:bookmarkStart w:id="23" w:name="OLE_LINK28"/>
      <w:r>
        <w:rPr>
          <w:rFonts w:hint="eastAsia" w:ascii="宋体" w:hAnsi="宋体"/>
          <w:color w:val="000000"/>
          <w:szCs w:val="21"/>
        </w:rPr>
        <w:t>政府采购投标及履约承诺函</w:t>
      </w:r>
      <w:bookmarkEnd w:id="23"/>
      <w:r>
        <w:rPr>
          <w:rFonts w:hint="eastAsia" w:ascii="宋体" w:hAnsi="宋体"/>
          <w:color w:val="000000"/>
          <w:szCs w:val="21"/>
        </w:rPr>
        <w:t>》、《法定代表人（负责人）资格证明书》、《投标文件签署授权委托书》、《分项报价清单》未按照招标文件规定的样式及要求填写；</w:t>
      </w:r>
    </w:p>
    <w:p w14:paraId="7A516661">
      <w:pPr>
        <w:spacing w:line="360" w:lineRule="exact"/>
        <w:ind w:firstLine="480"/>
        <w:rPr>
          <w:rFonts w:ascii="宋体" w:hAnsi="宋体"/>
          <w:color w:val="000000"/>
          <w:szCs w:val="21"/>
        </w:rPr>
      </w:pPr>
      <w:r>
        <w:rPr>
          <w:rFonts w:hint="eastAsia" w:ascii="宋体" w:hAnsi="宋体"/>
          <w:color w:val="000000"/>
          <w:szCs w:val="21"/>
        </w:rPr>
        <w:t>2.《政府采购投标及履约承诺函》中的抬头、项目编号、项目名称、投标供应商名称、法定代表人或其委托代理人的名称、日期填写错误；</w:t>
      </w:r>
    </w:p>
    <w:p w14:paraId="2B6AF52C">
      <w:pPr>
        <w:spacing w:line="360" w:lineRule="exact"/>
        <w:rPr>
          <w:rFonts w:ascii="宋体" w:hAnsi="宋体"/>
          <w:color w:val="000000"/>
          <w:szCs w:val="21"/>
        </w:rPr>
      </w:pPr>
      <w:r>
        <w:rPr>
          <w:rFonts w:hint="eastAsia" w:ascii="宋体" w:hAnsi="宋体"/>
          <w:color w:val="000000"/>
          <w:szCs w:val="21"/>
        </w:rPr>
        <w:t>　　3.《法定代表人（负责人）资格证明书》中的姓名、身份证号填写错误，未附法定代表人（负责人）的身份证扫描件（正反两面）；</w:t>
      </w:r>
    </w:p>
    <w:p w14:paraId="763FF4D8">
      <w:pPr>
        <w:spacing w:line="360" w:lineRule="exact"/>
        <w:rPr>
          <w:rFonts w:ascii="宋体" w:hAnsi="宋体"/>
          <w:color w:val="000000"/>
          <w:szCs w:val="21"/>
        </w:rPr>
      </w:pPr>
      <w:r>
        <w:rPr>
          <w:rFonts w:hint="eastAsia" w:ascii="宋体" w:hAnsi="宋体"/>
          <w:color w:val="000000"/>
          <w:szCs w:val="21"/>
        </w:rPr>
        <w:t>　　4.《投标文件签署授权委托书》中的委托人的姓名、身份证号填写错误，受托人（代理人）的姓名、身份证号填写错误，授权委托日期填写错误，未附受托人（代理人）的身份证扫描件（正反两面）。</w:t>
      </w:r>
    </w:p>
    <w:p w14:paraId="2E21B6CE">
      <w:pPr>
        <w:rPr>
          <w:rFonts w:ascii="仿宋_GB2312" w:eastAsia="仿宋_GB2312"/>
          <w:sz w:val="24"/>
          <w:lang w:val="en"/>
        </w:rPr>
      </w:pPr>
    </w:p>
    <w:p w14:paraId="0B640B20">
      <w:pPr>
        <w:widowControl/>
        <w:jc w:val="left"/>
        <w:rPr>
          <w:rFonts w:ascii="宋体" w:hAnsi="宋体" w:cs="宋体"/>
          <w:b/>
          <w:sz w:val="28"/>
          <w:szCs w:val="32"/>
        </w:rPr>
      </w:pPr>
      <w:bookmarkStart w:id="24" w:name="_Toc194467288"/>
      <w:r>
        <w:br w:type="page"/>
      </w:r>
    </w:p>
    <w:p w14:paraId="1319CA24">
      <w:pPr>
        <w:pStyle w:val="4"/>
        <w:jc w:val="center"/>
      </w:pPr>
      <w:r>
        <w:rPr>
          <w:rFonts w:hint="eastAsia"/>
        </w:rPr>
        <w:t>一、关键信息</w:t>
      </w:r>
    </w:p>
    <w:p w14:paraId="5A14E237">
      <w:pPr>
        <w:pStyle w:val="4"/>
        <w:jc w:val="center"/>
      </w:pPr>
      <w:r>
        <w:rPr>
          <w:rFonts w:hint="eastAsia"/>
        </w:rPr>
        <w:t>（一）开标一览表</w:t>
      </w:r>
    </w:p>
    <w:tbl>
      <w:tblPr>
        <w:tblStyle w:val="33"/>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410"/>
        <w:gridCol w:w="1680"/>
        <w:gridCol w:w="1849"/>
      </w:tblGrid>
      <w:tr w14:paraId="0792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shd w:val="clear" w:color="auto" w:fill="DBEEF3"/>
            <w:vAlign w:val="center"/>
          </w:tcPr>
          <w:p w14:paraId="2CF733E6">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25" w:name="OLE_LINK24" w:colFirst="0" w:colLast="3"/>
            <w:r>
              <w:t>项目名称</w:t>
            </w:r>
          </w:p>
        </w:tc>
        <w:tc>
          <w:tcPr>
            <w:tcW w:w="2410" w:type="dxa"/>
            <w:tcBorders>
              <w:top w:val="single" w:color="auto" w:sz="4" w:space="0"/>
              <w:left w:val="single" w:color="auto" w:sz="4" w:space="0"/>
              <w:bottom w:val="single" w:color="auto" w:sz="4" w:space="0"/>
              <w:right w:val="single" w:color="auto" w:sz="4" w:space="0"/>
            </w:tcBorders>
            <w:shd w:val="clear" w:color="auto" w:fill="DBEEF3"/>
            <w:vAlign w:val="center"/>
          </w:tcPr>
          <w:p w14:paraId="3CF7A1F4">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color="auto" w:sz="4" w:space="0"/>
              <w:left w:val="single" w:color="auto" w:sz="4" w:space="0"/>
              <w:bottom w:val="single" w:color="auto" w:sz="4" w:space="0"/>
              <w:right w:val="single" w:color="auto" w:sz="4" w:space="0"/>
            </w:tcBorders>
            <w:shd w:val="clear" w:color="auto" w:fill="DBEEF3"/>
            <w:vAlign w:val="center"/>
          </w:tcPr>
          <w:p w14:paraId="613163A7">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color="auto" w:sz="4" w:space="0"/>
              <w:left w:val="single" w:color="auto" w:sz="4" w:space="0"/>
              <w:bottom w:val="single" w:color="auto" w:sz="4" w:space="0"/>
              <w:right w:val="single" w:color="auto" w:sz="4" w:space="0"/>
            </w:tcBorders>
            <w:shd w:val="clear" w:color="auto" w:fill="DBEEF3"/>
            <w:vAlign w:val="center"/>
          </w:tcPr>
          <w:p w14:paraId="63A24590">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hint="eastAsia" w:ascii="宋体" w:hAnsi="宋体"/>
                <w:szCs w:val="21"/>
              </w:rPr>
              <w:t>可选填</w:t>
            </w:r>
            <w:r>
              <w:rPr>
                <w:rFonts w:hint="eastAsia"/>
              </w:rPr>
              <w:t>）</w:t>
            </w:r>
          </w:p>
        </w:tc>
      </w:tr>
      <w:tr w14:paraId="16AC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tcPr>
          <w:p w14:paraId="3FC171D1">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color="auto" w:sz="4" w:space="0"/>
              <w:left w:val="single" w:color="auto" w:sz="4" w:space="0"/>
              <w:bottom w:val="single" w:color="auto" w:sz="4" w:space="0"/>
              <w:right w:val="single" w:color="auto" w:sz="4" w:space="0"/>
            </w:tcBorders>
          </w:tcPr>
          <w:p w14:paraId="169A3330">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14:paraId="04C7C074">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color="auto" w:sz="4" w:space="0"/>
              <w:left w:val="single" w:color="auto" w:sz="4" w:space="0"/>
              <w:bottom w:val="single" w:color="auto" w:sz="4" w:space="0"/>
              <w:right w:val="single" w:color="auto" w:sz="4" w:space="0"/>
            </w:tcBorders>
          </w:tcPr>
          <w:p w14:paraId="44F9B893">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color="auto" w:sz="4" w:space="0"/>
              <w:left w:val="single" w:color="auto" w:sz="4" w:space="0"/>
              <w:bottom w:val="single" w:color="auto" w:sz="4" w:space="0"/>
              <w:right w:val="single" w:color="auto" w:sz="4" w:space="0"/>
            </w:tcBorders>
          </w:tcPr>
          <w:p w14:paraId="3A79D159">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25"/>
    </w:tbl>
    <w:p w14:paraId="54539E6B"/>
    <w:p w14:paraId="6083F8ED">
      <w:pPr>
        <w:widowControl/>
        <w:jc w:val="left"/>
        <w:rPr>
          <w:rFonts w:ascii="Arial" w:hAnsi="Arial" w:eastAsia="黑体"/>
          <w:bCs/>
          <w:sz w:val="24"/>
        </w:rPr>
      </w:pPr>
      <w:r>
        <w:rPr>
          <w:b/>
          <w:sz w:val="24"/>
        </w:rPr>
        <w:br w:type="page"/>
      </w:r>
    </w:p>
    <w:p w14:paraId="04BF8EE9">
      <w:pPr>
        <w:pStyle w:val="4"/>
        <w:jc w:val="center"/>
      </w:pPr>
      <w:r>
        <w:rPr>
          <w:rFonts w:hint="eastAsia"/>
        </w:rPr>
        <w:t>（二）</w:t>
      </w:r>
      <w:bookmarkEnd w:id="24"/>
      <w:r>
        <w:rPr>
          <w:rFonts w:hint="eastAsia"/>
        </w:rPr>
        <w:t>政府采购投标及履约承诺函</w:t>
      </w:r>
    </w:p>
    <w:p w14:paraId="654379CB">
      <w:pPr>
        <w:spacing w:line="360" w:lineRule="exact"/>
        <w:rPr>
          <w:rFonts w:ascii="宋体" w:hAnsi="宋体" w:cs="宋体"/>
          <w:b/>
          <w:bCs/>
          <w:color w:val="FF0000"/>
          <w:szCs w:val="21"/>
          <w:u w:val="single"/>
        </w:rPr>
      </w:pPr>
      <w:r>
        <w:rPr>
          <w:rFonts w:hint="eastAsia" w:ascii="宋体" w:hAnsi="宋体" w:cs="宋体"/>
          <w:color w:val="FF0000"/>
          <w:szCs w:val="21"/>
        </w:rPr>
        <w:t>致：</w:t>
      </w:r>
      <w:r>
        <w:rPr>
          <w:rFonts w:hint="eastAsia" w:ascii="宋体" w:hAnsi="宋体" w:cs="宋体"/>
          <w:b/>
          <w:bCs/>
          <w:color w:val="FF0000"/>
          <w:szCs w:val="21"/>
          <w:u w:val="single"/>
        </w:rPr>
        <w:t xml:space="preserve">（采购人）            </w:t>
      </w:r>
    </w:p>
    <w:p w14:paraId="198E1CD0">
      <w:pPr>
        <w:spacing w:line="360" w:lineRule="exact"/>
        <w:ind w:firstLine="420" w:firstLineChars="200"/>
        <w:rPr>
          <w:rFonts w:ascii="宋体" w:hAnsi="宋体" w:cs="宋体"/>
          <w:szCs w:val="21"/>
        </w:rPr>
      </w:pPr>
      <w:r>
        <w:rPr>
          <w:rFonts w:hint="eastAsia" w:ascii="宋体" w:hAnsi="宋体" w:cs="宋体"/>
          <w:szCs w:val="21"/>
        </w:rPr>
        <w:t>我单位承诺：</w:t>
      </w:r>
    </w:p>
    <w:p w14:paraId="424AE705">
      <w:pPr>
        <w:spacing w:line="360" w:lineRule="exact"/>
        <w:ind w:firstLine="420" w:firstLineChars="200"/>
        <w:rPr>
          <w:rFonts w:ascii="宋体" w:hAnsi="宋体" w:cs="宋体"/>
          <w:szCs w:val="21"/>
        </w:rPr>
      </w:pPr>
      <w:r>
        <w:rPr>
          <w:rFonts w:hint="eastAsia" w:ascii="宋体" w:hAnsi="宋体" w:cs="宋体"/>
          <w:szCs w:val="21"/>
        </w:rPr>
        <w:t>1.我单位参与本项目符合资格条件关于联合体、进口产品的要求。</w:t>
      </w:r>
    </w:p>
    <w:p w14:paraId="6766D51F">
      <w:pPr>
        <w:spacing w:line="360" w:lineRule="exact"/>
        <w:ind w:firstLine="420" w:firstLineChars="200"/>
        <w:rPr>
          <w:rFonts w:ascii="宋体" w:hAnsi="宋体" w:cs="宋体"/>
          <w:szCs w:val="21"/>
        </w:rPr>
      </w:pPr>
      <w:r>
        <w:rPr>
          <w:rFonts w:hint="eastAsia" w:ascii="宋体" w:hAnsi="宋体" w:cs="宋体"/>
          <w:szCs w:val="21"/>
        </w:rPr>
        <w:t>2.我单位参与本项目所投标（响应）的货物、工程或服务，不存在侵犯知识产权的情况。</w:t>
      </w:r>
    </w:p>
    <w:p w14:paraId="26354090">
      <w:pPr>
        <w:spacing w:line="360" w:lineRule="exact"/>
        <w:ind w:firstLine="420" w:firstLineChars="200"/>
        <w:rPr>
          <w:rFonts w:ascii="宋体" w:hAnsi="宋体" w:cs="宋体"/>
          <w:szCs w:val="21"/>
        </w:rPr>
      </w:pPr>
      <w:r>
        <w:rPr>
          <w:rFonts w:hint="eastAsia" w:ascii="宋体" w:hAnsi="宋体" w:cs="宋体"/>
          <w:szCs w:val="21"/>
        </w:rPr>
        <w:t>3.我单位参与本项目政府采购活动时不存在被有关部门禁止参与政府采购活动且在有效期内的情况。</w:t>
      </w:r>
    </w:p>
    <w:p w14:paraId="4E23CAFB">
      <w:pPr>
        <w:spacing w:line="360" w:lineRule="exact"/>
        <w:ind w:firstLine="420" w:firstLineChars="200"/>
        <w:rPr>
          <w:rFonts w:ascii="宋体" w:hAnsi="宋体" w:cs="宋体"/>
          <w:szCs w:val="21"/>
        </w:rPr>
      </w:pPr>
      <w:r>
        <w:rPr>
          <w:rFonts w:hint="eastAsia" w:ascii="宋体" w:hAnsi="宋体" w:cs="宋体"/>
          <w:szCs w:val="21"/>
        </w:rPr>
        <w:t>4.我单位具备《中华人民共和国政府采购法》第二十二条第一款规定的六项条件。</w:t>
      </w:r>
    </w:p>
    <w:p w14:paraId="74218EAA">
      <w:pPr>
        <w:spacing w:line="360" w:lineRule="exact"/>
        <w:ind w:firstLine="420" w:firstLineChars="200"/>
        <w:rPr>
          <w:rFonts w:ascii="宋体" w:hAnsi="宋体" w:cs="宋体"/>
          <w:szCs w:val="21"/>
        </w:rPr>
      </w:pPr>
      <w:r>
        <w:rPr>
          <w:rFonts w:hint="eastAsia" w:ascii="宋体" w:hAnsi="宋体" w:cs="宋体"/>
          <w:szCs w:val="21"/>
        </w:rPr>
        <w:t>5.我单位未被列入失信被执行人、重大税收违法案件当事人名单、政府采购严重违法失信行为记录名单。</w:t>
      </w:r>
    </w:p>
    <w:p w14:paraId="44520FD5">
      <w:pPr>
        <w:spacing w:line="360" w:lineRule="exact"/>
        <w:ind w:firstLine="420" w:firstLineChars="200"/>
        <w:rPr>
          <w:rFonts w:ascii="宋体" w:hAnsi="宋体" w:cs="宋体"/>
          <w:szCs w:val="21"/>
        </w:rPr>
      </w:pPr>
      <w:r>
        <w:rPr>
          <w:rFonts w:hint="eastAsia" w:ascii="宋体" w:hAnsi="宋体" w:cs="宋体"/>
          <w:szCs w:val="21"/>
        </w:rPr>
        <w:t>6.我单位不存在《深圳市财政局政府采购供应商信用信息管理办法》（深财规〔2023〕3号）列明的严重违法失信行为。</w:t>
      </w:r>
    </w:p>
    <w:p w14:paraId="45D720D4">
      <w:pPr>
        <w:spacing w:line="360" w:lineRule="exact"/>
        <w:ind w:firstLine="420" w:firstLineChars="200"/>
        <w:rPr>
          <w:rFonts w:ascii="宋体" w:hAnsi="宋体" w:cs="宋体"/>
          <w:szCs w:val="21"/>
        </w:rPr>
      </w:pPr>
      <w:r>
        <w:rPr>
          <w:rFonts w:hint="eastAsia" w:ascii="宋体" w:hAnsi="宋体" w:cs="宋体"/>
          <w:szCs w:val="21"/>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434CDD9">
      <w:pPr>
        <w:spacing w:line="360" w:lineRule="exact"/>
        <w:ind w:firstLine="420" w:firstLineChars="200"/>
        <w:rPr>
          <w:rFonts w:ascii="宋体" w:hAnsi="宋体" w:cs="宋体"/>
          <w:szCs w:val="21"/>
        </w:rPr>
      </w:pPr>
      <w:r>
        <w:rPr>
          <w:rFonts w:hint="eastAsia" w:ascii="宋体" w:hAnsi="宋体" w:cs="宋体"/>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CCC528F">
      <w:pPr>
        <w:spacing w:line="360" w:lineRule="exact"/>
        <w:ind w:firstLine="420" w:firstLineChars="200"/>
        <w:rPr>
          <w:rFonts w:ascii="宋体" w:hAnsi="宋体" w:cs="宋体"/>
          <w:szCs w:val="21"/>
        </w:rPr>
      </w:pPr>
      <w:r>
        <w:rPr>
          <w:rFonts w:hint="eastAsia" w:ascii="宋体" w:hAnsi="宋体" w:cs="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667753E">
      <w:pPr>
        <w:spacing w:line="360" w:lineRule="exact"/>
        <w:ind w:firstLine="420" w:firstLineChars="200"/>
        <w:rPr>
          <w:rFonts w:ascii="宋体" w:hAnsi="宋体" w:cs="宋体"/>
          <w:szCs w:val="21"/>
        </w:rPr>
      </w:pPr>
      <w:r>
        <w:rPr>
          <w:rFonts w:hint="eastAsia" w:ascii="宋体" w:hAnsi="宋体" w:cs="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BAADCC0">
      <w:pPr>
        <w:spacing w:line="360" w:lineRule="exact"/>
        <w:ind w:firstLine="420" w:firstLineChars="200"/>
        <w:rPr>
          <w:rFonts w:ascii="宋体" w:hAnsi="宋体" w:cs="宋体"/>
          <w:szCs w:val="21"/>
        </w:rPr>
      </w:pPr>
      <w:r>
        <w:rPr>
          <w:rFonts w:hint="eastAsia" w:ascii="宋体" w:hAnsi="宋体" w:cs="宋体"/>
          <w:szCs w:val="21"/>
        </w:rPr>
        <w:t>10.我单位承诺中标后项目不转包，未经采购人同意不进行分包，否则采购人有权单方解除合同，并追究其违约责任。</w:t>
      </w:r>
    </w:p>
    <w:p w14:paraId="3C01DB6E">
      <w:pPr>
        <w:spacing w:line="360" w:lineRule="exact"/>
        <w:ind w:firstLine="420" w:firstLineChars="200"/>
        <w:rPr>
          <w:rFonts w:ascii="宋体" w:hAnsi="宋体" w:cs="宋体"/>
          <w:szCs w:val="21"/>
        </w:rPr>
      </w:pPr>
      <w:r>
        <w:rPr>
          <w:rFonts w:hint="eastAsia" w:ascii="宋体" w:hAnsi="宋体" w:cs="宋体"/>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D11DFFB">
      <w:pPr>
        <w:spacing w:line="360" w:lineRule="exact"/>
        <w:ind w:firstLine="420" w:firstLineChars="200"/>
        <w:rPr>
          <w:rFonts w:ascii="宋体" w:hAnsi="宋体" w:cs="宋体"/>
          <w:szCs w:val="21"/>
        </w:rPr>
      </w:pPr>
      <w:r>
        <w:rPr>
          <w:rFonts w:hint="eastAsia" w:ascii="宋体" w:hAnsi="宋体" w:cs="宋体"/>
          <w:szCs w:val="21"/>
        </w:rPr>
        <w:t>12.我单位保证，若所投货物涉及《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14:paraId="47FB8C4F">
      <w:pPr>
        <w:spacing w:line="360" w:lineRule="exact"/>
        <w:ind w:firstLine="420" w:firstLineChars="200"/>
        <w:rPr>
          <w:rFonts w:ascii="宋体" w:hAnsi="宋体" w:cs="宋体"/>
          <w:szCs w:val="21"/>
        </w:rPr>
      </w:pPr>
      <w:r>
        <w:rPr>
          <w:rFonts w:hint="eastAsia" w:ascii="宋体" w:hAnsi="宋体" w:cs="宋体"/>
          <w:szCs w:val="21"/>
        </w:rPr>
        <w:t>13.我单位已知悉并同意中标（成交）结果信息公示（公开）的内容。</w:t>
      </w:r>
    </w:p>
    <w:p w14:paraId="5BBC4240">
      <w:pPr>
        <w:spacing w:line="360" w:lineRule="exact"/>
        <w:ind w:firstLine="420" w:firstLineChars="200"/>
        <w:rPr>
          <w:rFonts w:ascii="宋体" w:hAnsi="宋体" w:cs="宋体"/>
          <w:szCs w:val="21"/>
        </w:rPr>
      </w:pPr>
      <w:r>
        <w:rPr>
          <w:rFonts w:hint="eastAsia" w:ascii="宋体" w:hAnsi="宋体" w:cs="宋体"/>
          <w:szCs w:val="21"/>
        </w:rPr>
        <w:t>14.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9D60803">
      <w:pPr>
        <w:spacing w:line="360" w:lineRule="exact"/>
        <w:ind w:firstLine="422" w:firstLineChars="200"/>
        <w:rPr>
          <w:rFonts w:ascii="宋体" w:hAnsi="宋体" w:cs="宋体"/>
          <w:b/>
          <w:bCs/>
          <w:szCs w:val="21"/>
        </w:rPr>
      </w:pPr>
      <w:r>
        <w:rPr>
          <w:rFonts w:hint="eastAsia" w:ascii="宋体" w:hAnsi="宋体" w:cs="宋体"/>
          <w:b/>
          <w:bCs/>
          <w:szCs w:val="21"/>
        </w:rPr>
        <w:t>15.我单位清楚，如存在违反投标承诺行为情节严重的，将根据《深圳市财政局关于印发&lt;深圳市财政局政府采购供应商信用信息管理办法&gt;的通知》，依法被列入失信信息。</w:t>
      </w:r>
    </w:p>
    <w:p w14:paraId="76F67881">
      <w:pPr>
        <w:spacing w:line="360" w:lineRule="exact"/>
        <w:ind w:firstLine="420" w:firstLineChars="200"/>
        <w:rPr>
          <w:rFonts w:ascii="宋体" w:hAnsi="宋体" w:cs="宋体"/>
          <w:szCs w:val="21"/>
        </w:rPr>
      </w:pPr>
    </w:p>
    <w:p w14:paraId="0558FBDF">
      <w:pPr>
        <w:spacing w:line="360" w:lineRule="exact"/>
        <w:ind w:firstLine="420" w:firstLineChars="200"/>
        <w:rPr>
          <w:rFonts w:ascii="宋体" w:hAnsi="宋体" w:cs="宋体"/>
          <w:szCs w:val="21"/>
        </w:rPr>
      </w:pPr>
      <w:r>
        <w:rPr>
          <w:rFonts w:hint="eastAsia" w:ascii="宋体" w:hAnsi="宋体" w:cs="宋体"/>
          <w:szCs w:val="21"/>
        </w:rPr>
        <w:t>以上承诺，如有违反，愿依照国家相关法律法规处理，并承担由此给采购人带来的损失。</w:t>
      </w:r>
    </w:p>
    <w:p w14:paraId="75207E7E">
      <w:pPr>
        <w:spacing w:line="360" w:lineRule="exact"/>
        <w:ind w:firstLine="420" w:firstLineChars="200"/>
        <w:rPr>
          <w:rFonts w:ascii="宋体" w:hAnsi="宋体" w:cs="宋体"/>
          <w:szCs w:val="21"/>
        </w:rPr>
      </w:pPr>
    </w:p>
    <w:p w14:paraId="0E1E2E54">
      <w:pPr>
        <w:spacing w:line="360" w:lineRule="exact"/>
        <w:ind w:firstLine="420" w:firstLineChars="200"/>
        <w:jc w:val="center"/>
        <w:rPr>
          <w:rFonts w:ascii="宋体" w:hAnsi="宋体" w:cs="宋体"/>
          <w:color w:val="FF0000"/>
          <w:szCs w:val="21"/>
          <w:u w:val="single"/>
        </w:rPr>
      </w:pPr>
      <w:r>
        <w:rPr>
          <w:rFonts w:hint="eastAsia" w:ascii="宋体" w:hAnsi="宋体" w:cs="宋体"/>
          <w:szCs w:val="21"/>
        </w:rPr>
        <w:t xml:space="preserve">                          </w:t>
      </w:r>
      <w:r>
        <w:rPr>
          <w:rFonts w:hint="eastAsia" w:ascii="宋体" w:hAnsi="宋体" w:cs="宋体"/>
          <w:color w:val="FF0000"/>
          <w:szCs w:val="21"/>
        </w:rPr>
        <w:t xml:space="preserve"> 投标供应商名称：</w:t>
      </w:r>
      <w:r>
        <w:rPr>
          <w:rFonts w:hint="eastAsia" w:ascii="宋体" w:hAnsi="宋体" w:cs="宋体"/>
          <w:color w:val="FF0000"/>
          <w:szCs w:val="21"/>
          <w:u w:val="single"/>
        </w:rPr>
        <w:t xml:space="preserve">                 </w:t>
      </w:r>
    </w:p>
    <w:p w14:paraId="307BA4CF">
      <w:pPr>
        <w:widowControl/>
        <w:spacing w:line="360" w:lineRule="exact"/>
        <w:ind w:firstLine="420" w:firstLineChars="200"/>
        <w:jc w:val="right"/>
        <w:rPr>
          <w:rFonts w:ascii="宋体" w:hAnsi="宋体" w:cs="宋体"/>
          <w:spacing w:val="-6"/>
          <w:szCs w:val="21"/>
        </w:rPr>
      </w:pPr>
      <w:r>
        <w:rPr>
          <w:rFonts w:hint="eastAsia" w:ascii="宋体" w:hAnsi="宋体" w:cs="宋体"/>
          <w:color w:val="FF0000"/>
          <w:szCs w:val="21"/>
        </w:rPr>
        <w:t>日期：    年   月   日</w:t>
      </w:r>
    </w:p>
    <w:p w14:paraId="6365AEE2">
      <w:pPr>
        <w:spacing w:line="320" w:lineRule="exact"/>
        <w:rPr>
          <w:color w:val="FF0000"/>
          <w:szCs w:val="21"/>
        </w:rPr>
      </w:pPr>
    </w:p>
    <w:p w14:paraId="0B99AB28">
      <w:pPr>
        <w:ind w:left="257"/>
        <w:jc w:val="right"/>
        <w:rPr>
          <w:rFonts w:ascii="宋体" w:hAnsi="宋体"/>
          <w:szCs w:val="21"/>
        </w:rPr>
      </w:pPr>
    </w:p>
    <w:p w14:paraId="2A56DF4D">
      <w:pPr>
        <w:widowControl/>
        <w:jc w:val="left"/>
        <w:rPr>
          <w:rFonts w:ascii="Arial" w:hAnsi="Arial" w:eastAsia="黑体"/>
          <w:bCs/>
          <w:sz w:val="24"/>
        </w:rPr>
      </w:pPr>
      <w:r>
        <w:rPr>
          <w:b/>
          <w:sz w:val="24"/>
        </w:rPr>
        <w:br w:type="page"/>
      </w:r>
    </w:p>
    <w:p w14:paraId="5D5DB011">
      <w:pPr>
        <w:pStyle w:val="4"/>
        <w:jc w:val="center"/>
      </w:pPr>
      <w:r>
        <w:rPr>
          <w:rFonts w:hint="eastAsia"/>
          <w:szCs w:val="24"/>
        </w:rPr>
        <w:t>（三）</w:t>
      </w:r>
      <w:r>
        <w:rPr>
          <w:rFonts w:hint="eastAsia"/>
        </w:rPr>
        <w:t>供应商资格证明文件</w:t>
      </w:r>
    </w:p>
    <w:p w14:paraId="01CC3866">
      <w:pPr>
        <w:spacing w:before="120" w:beforeLines="50"/>
        <w:ind w:firstLine="422" w:firstLineChars="200"/>
        <w:rPr>
          <w:b/>
          <w:bCs/>
          <w:color w:val="FF0000"/>
        </w:rPr>
      </w:pPr>
      <w:bookmarkStart w:id="26" w:name="OLE_LINK38"/>
      <w:r>
        <w:rPr>
          <w:rFonts w:hint="eastAsia"/>
          <w:b/>
          <w:bCs/>
          <w:color w:val="FF0000"/>
        </w:rPr>
        <w:t>（特别提示：投标人须按本招标文件第一册第一章招标公告 “投标供应商资格要求”提供相关的资格证明资料，未提供或提供不完整、不符合要求的，将作投标无效处理，其中要求提供《政府采购投标及履约承诺函》《供应商基本情况表》且已在规定章节中提供的，此处不重复提供。）</w:t>
      </w:r>
    </w:p>
    <w:bookmarkEnd w:id="26"/>
    <w:p w14:paraId="40E99D59">
      <w:pPr>
        <w:spacing w:before="120" w:beforeLines="50"/>
        <w:ind w:firstLine="422" w:firstLineChars="200"/>
        <w:rPr>
          <w:bCs/>
        </w:rPr>
      </w:pPr>
      <w:r>
        <w:rPr>
          <w:rFonts w:hint="eastAsia"/>
          <w:b/>
          <w:bCs/>
          <w:color w:val="FF0000"/>
        </w:rPr>
        <w:t>1、资格证明材料：</w:t>
      </w:r>
      <w:r>
        <w:rPr>
          <w:bCs/>
        </w:rPr>
        <w:t xml:space="preserve"> </w:t>
      </w:r>
    </w:p>
    <w:p w14:paraId="078FCD33">
      <w:pPr>
        <w:pStyle w:val="5"/>
        <w:jc w:val="center"/>
        <w:rPr>
          <w:b w:val="0"/>
        </w:rPr>
      </w:pPr>
      <w:r>
        <w:rPr>
          <w:rFonts w:hint="eastAsia"/>
          <w:b w:val="0"/>
        </w:rPr>
        <w:t>（1）供应商基本情况表</w:t>
      </w:r>
    </w:p>
    <w:tbl>
      <w:tblPr>
        <w:tblStyle w:val="34"/>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14:paraId="6E2C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14:paraId="24F0B49F">
            <w:pPr>
              <w:jc w:val="center"/>
              <w:rPr>
                <w:rFonts w:ascii="宋体" w:hAnsi="宋体" w:cs="宋体"/>
                <w:szCs w:val="21"/>
              </w:rPr>
            </w:pPr>
            <w:bookmarkStart w:id="27" w:name="OLE_LINK25"/>
            <w:r>
              <w:rPr>
                <w:rFonts w:hint="eastAsia" w:ascii="宋体" w:hAnsi="宋体" w:cs="宋体"/>
                <w:b/>
                <w:bCs/>
                <w:szCs w:val="21"/>
              </w:rPr>
              <w:t>投标（响应）供应商</w:t>
            </w:r>
          </w:p>
        </w:tc>
        <w:tc>
          <w:tcPr>
            <w:tcW w:w="2193" w:type="dxa"/>
            <w:gridSpan w:val="2"/>
            <w:tcBorders>
              <w:top w:val="single" w:color="auto" w:sz="4" w:space="0"/>
              <w:left w:val="nil"/>
              <w:bottom w:val="single" w:color="auto" w:sz="4" w:space="0"/>
              <w:right w:val="single" w:color="auto" w:sz="4" w:space="0"/>
            </w:tcBorders>
            <w:vAlign w:val="center"/>
          </w:tcPr>
          <w:p w14:paraId="0C2F67DC">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581BC73B">
            <w:pPr>
              <w:jc w:val="center"/>
              <w:rPr>
                <w:rFonts w:ascii="宋体" w:hAnsi="宋体" w:cs="宋体"/>
                <w:szCs w:val="21"/>
              </w:rPr>
            </w:pPr>
            <w:r>
              <w:rPr>
                <w:rFonts w:hint="eastAsia" w:ascii="宋体" w:hAnsi="宋体" w:cs="宋体"/>
                <w:b/>
                <w:bCs/>
                <w:szCs w:val="21"/>
              </w:rPr>
              <w:t>采购项目名称及编号</w:t>
            </w:r>
          </w:p>
        </w:tc>
        <w:tc>
          <w:tcPr>
            <w:tcW w:w="3677" w:type="dxa"/>
            <w:gridSpan w:val="2"/>
            <w:tcBorders>
              <w:top w:val="single" w:color="auto" w:sz="4" w:space="0"/>
              <w:left w:val="nil"/>
              <w:bottom w:val="single" w:color="auto" w:sz="4" w:space="0"/>
              <w:right w:val="single" w:color="auto" w:sz="4" w:space="0"/>
            </w:tcBorders>
            <w:vAlign w:val="center"/>
          </w:tcPr>
          <w:p w14:paraId="53B1C4C6">
            <w:pPr>
              <w:jc w:val="center"/>
              <w:rPr>
                <w:rFonts w:ascii="宋体" w:hAnsi="宋体" w:cs="宋体"/>
                <w:szCs w:val="21"/>
              </w:rPr>
            </w:pPr>
          </w:p>
        </w:tc>
      </w:tr>
      <w:tr w14:paraId="553F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14:paraId="32F0EC05">
            <w:pPr>
              <w:jc w:val="center"/>
              <w:rPr>
                <w:rFonts w:ascii="宋体" w:hAnsi="宋体" w:cs="宋体"/>
                <w:szCs w:val="21"/>
              </w:rPr>
            </w:pPr>
            <w:r>
              <w:rPr>
                <w:rFonts w:hint="eastAsia" w:ascii="宋体" w:hAnsi="宋体" w:cs="宋体"/>
                <w:b/>
                <w:bCs/>
                <w:szCs w:val="21"/>
              </w:rPr>
              <w:t>投标（响应）供应商相关人员情况</w:t>
            </w:r>
          </w:p>
        </w:tc>
      </w:tr>
      <w:tr w14:paraId="2074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vAlign w:val="center"/>
          </w:tcPr>
          <w:p w14:paraId="0D1A4CDE">
            <w:pPr>
              <w:snapToGrid w:val="0"/>
              <w:jc w:val="center"/>
              <w:rPr>
                <w:rFonts w:ascii="宋体" w:hAnsi="宋体" w:cs="宋体"/>
                <w:b/>
                <w:bCs/>
                <w:szCs w:val="21"/>
              </w:rPr>
            </w:pPr>
            <w:r>
              <w:rPr>
                <w:rFonts w:hint="eastAsia" w:ascii="宋体" w:hAnsi="宋体" w:cs="宋体"/>
                <w:b/>
                <w:bCs/>
                <w:szCs w:val="21"/>
              </w:rPr>
              <w:t>序号</w:t>
            </w:r>
          </w:p>
        </w:tc>
        <w:tc>
          <w:tcPr>
            <w:tcW w:w="1845" w:type="dxa"/>
            <w:gridSpan w:val="2"/>
            <w:tcBorders>
              <w:top w:val="single" w:color="auto" w:sz="4" w:space="0"/>
              <w:left w:val="nil"/>
              <w:bottom w:val="single" w:color="auto" w:sz="4" w:space="0"/>
              <w:right w:val="single" w:color="auto" w:sz="4" w:space="0"/>
            </w:tcBorders>
            <w:vAlign w:val="center"/>
          </w:tcPr>
          <w:p w14:paraId="20CCF593">
            <w:pPr>
              <w:jc w:val="center"/>
              <w:rPr>
                <w:rFonts w:ascii="宋体" w:hAnsi="宋体" w:cs="宋体"/>
                <w:b/>
                <w:bCs/>
                <w:szCs w:val="21"/>
              </w:rPr>
            </w:pPr>
            <w:r>
              <w:rPr>
                <w:rFonts w:hint="eastAsia" w:ascii="宋体" w:hAnsi="宋体" w:cs="宋体"/>
                <w:b/>
                <w:bCs/>
                <w:szCs w:val="21"/>
              </w:rPr>
              <w:t>职务</w:t>
            </w:r>
          </w:p>
        </w:tc>
        <w:tc>
          <w:tcPr>
            <w:tcW w:w="1420" w:type="dxa"/>
            <w:tcBorders>
              <w:top w:val="single" w:color="auto" w:sz="4" w:space="0"/>
              <w:left w:val="nil"/>
              <w:bottom w:val="single" w:color="auto" w:sz="4" w:space="0"/>
              <w:right w:val="single" w:color="auto" w:sz="4" w:space="0"/>
            </w:tcBorders>
            <w:vAlign w:val="center"/>
          </w:tcPr>
          <w:p w14:paraId="5322CE04">
            <w:pPr>
              <w:jc w:val="center"/>
              <w:rPr>
                <w:rFonts w:ascii="宋体" w:hAnsi="宋体" w:cs="宋体"/>
                <w:b/>
                <w:bCs/>
                <w:szCs w:val="21"/>
              </w:rPr>
            </w:pPr>
            <w:r>
              <w:rPr>
                <w:rFonts w:hint="eastAsia" w:ascii="宋体" w:hAnsi="宋体" w:cs="宋体"/>
                <w:b/>
                <w:bCs/>
                <w:szCs w:val="21"/>
              </w:rPr>
              <w:t>姓名</w:t>
            </w:r>
          </w:p>
        </w:tc>
        <w:tc>
          <w:tcPr>
            <w:tcW w:w="1792" w:type="dxa"/>
            <w:tcBorders>
              <w:top w:val="single" w:color="auto" w:sz="4" w:space="0"/>
              <w:left w:val="nil"/>
              <w:bottom w:val="single" w:color="auto" w:sz="4" w:space="0"/>
              <w:right w:val="single" w:color="auto" w:sz="4" w:space="0"/>
            </w:tcBorders>
            <w:vAlign w:val="center"/>
          </w:tcPr>
          <w:p w14:paraId="2DF44FEC">
            <w:pPr>
              <w:jc w:val="center"/>
              <w:rPr>
                <w:rFonts w:ascii="宋体" w:hAnsi="宋体" w:cs="宋体"/>
                <w:b/>
                <w:bCs/>
                <w:szCs w:val="21"/>
              </w:rPr>
            </w:pPr>
            <w:r>
              <w:rPr>
                <w:rFonts w:hint="eastAsia" w:ascii="宋体" w:hAnsi="宋体" w:cs="宋体"/>
                <w:b/>
                <w:bCs/>
                <w:szCs w:val="21"/>
              </w:rPr>
              <w:t>身份证号码</w:t>
            </w:r>
          </w:p>
        </w:tc>
        <w:tc>
          <w:tcPr>
            <w:tcW w:w="1898" w:type="dxa"/>
            <w:tcBorders>
              <w:top w:val="single" w:color="auto" w:sz="4" w:space="0"/>
              <w:left w:val="nil"/>
              <w:bottom w:val="single" w:color="auto" w:sz="4" w:space="0"/>
              <w:right w:val="single" w:color="auto" w:sz="4" w:space="0"/>
            </w:tcBorders>
            <w:vAlign w:val="center"/>
          </w:tcPr>
          <w:p w14:paraId="7C0DE3BF">
            <w:pPr>
              <w:snapToGrid w:val="0"/>
              <w:jc w:val="center"/>
              <w:rPr>
                <w:rFonts w:ascii="宋体" w:hAnsi="宋体" w:cs="宋体"/>
                <w:b/>
                <w:bCs/>
                <w:szCs w:val="21"/>
              </w:rPr>
            </w:pPr>
            <w:r>
              <w:rPr>
                <w:rFonts w:hint="eastAsia" w:ascii="宋体" w:hAnsi="宋体" w:cs="宋体"/>
                <w:b/>
                <w:bCs/>
                <w:szCs w:val="21"/>
              </w:rPr>
              <w:t>劳动合同</w:t>
            </w:r>
          </w:p>
          <w:p w14:paraId="181A47B4">
            <w:pPr>
              <w:snapToGrid w:val="0"/>
              <w:jc w:val="center"/>
              <w:rPr>
                <w:rFonts w:ascii="宋体" w:hAnsi="宋体" w:cs="宋体"/>
                <w:b/>
                <w:bCs/>
                <w:szCs w:val="21"/>
              </w:rPr>
            </w:pPr>
            <w:r>
              <w:rPr>
                <w:rFonts w:hint="eastAsia" w:ascii="宋体" w:hAnsi="宋体" w:cs="宋体"/>
                <w:b/>
                <w:bCs/>
                <w:szCs w:val="21"/>
              </w:rPr>
              <w:t>关系单位</w:t>
            </w:r>
          </w:p>
        </w:tc>
        <w:tc>
          <w:tcPr>
            <w:tcW w:w="1779" w:type="dxa"/>
            <w:tcBorders>
              <w:top w:val="single" w:color="auto" w:sz="4" w:space="0"/>
              <w:left w:val="nil"/>
              <w:bottom w:val="single" w:color="auto" w:sz="4" w:space="0"/>
              <w:right w:val="single" w:color="auto" w:sz="4" w:space="0"/>
            </w:tcBorders>
            <w:vAlign w:val="center"/>
          </w:tcPr>
          <w:p w14:paraId="36678053">
            <w:pPr>
              <w:snapToGrid w:val="0"/>
              <w:jc w:val="center"/>
              <w:rPr>
                <w:rFonts w:ascii="宋体" w:hAnsi="宋体" w:cs="宋体"/>
                <w:b/>
                <w:bCs/>
                <w:szCs w:val="21"/>
              </w:rPr>
            </w:pPr>
            <w:r>
              <w:rPr>
                <w:rFonts w:hint="eastAsia" w:ascii="宋体" w:hAnsi="宋体" w:cs="宋体"/>
                <w:b/>
                <w:bCs/>
                <w:szCs w:val="21"/>
              </w:rPr>
              <w:t>缴纳社会</w:t>
            </w:r>
          </w:p>
          <w:p w14:paraId="5B2144C8">
            <w:pPr>
              <w:snapToGrid w:val="0"/>
              <w:jc w:val="center"/>
              <w:rPr>
                <w:rFonts w:ascii="宋体" w:hAnsi="宋体" w:cs="宋体"/>
                <w:b/>
                <w:bCs/>
                <w:szCs w:val="21"/>
              </w:rPr>
            </w:pPr>
            <w:r>
              <w:rPr>
                <w:rFonts w:hint="eastAsia" w:ascii="宋体" w:hAnsi="宋体" w:cs="宋体"/>
                <w:b/>
                <w:bCs/>
                <w:szCs w:val="21"/>
              </w:rPr>
              <w:t>保险单位</w:t>
            </w:r>
          </w:p>
        </w:tc>
      </w:tr>
      <w:tr w14:paraId="5237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vAlign w:val="center"/>
          </w:tcPr>
          <w:p w14:paraId="16E8EC10">
            <w:pPr>
              <w:jc w:val="center"/>
              <w:rPr>
                <w:rFonts w:ascii="宋体" w:hAnsi="宋体" w:cs="宋体"/>
                <w:szCs w:val="21"/>
              </w:rPr>
            </w:pPr>
            <w:r>
              <w:rPr>
                <w:rFonts w:hint="eastAsia" w:ascii="宋体" w:hAnsi="宋体" w:cs="宋体"/>
                <w:szCs w:val="21"/>
              </w:rPr>
              <w:t>1</w:t>
            </w:r>
          </w:p>
        </w:tc>
        <w:tc>
          <w:tcPr>
            <w:tcW w:w="1845" w:type="dxa"/>
            <w:gridSpan w:val="2"/>
            <w:tcBorders>
              <w:top w:val="single" w:color="auto" w:sz="4" w:space="0"/>
              <w:left w:val="nil"/>
              <w:bottom w:val="single" w:color="auto" w:sz="4" w:space="0"/>
              <w:right w:val="single" w:color="auto" w:sz="4" w:space="0"/>
            </w:tcBorders>
            <w:vAlign w:val="center"/>
          </w:tcPr>
          <w:p w14:paraId="77046072">
            <w:pPr>
              <w:rPr>
                <w:rFonts w:ascii="宋体" w:hAnsi="宋体" w:cs="宋体"/>
                <w:szCs w:val="21"/>
              </w:rPr>
            </w:pPr>
            <w:r>
              <w:rPr>
                <w:rFonts w:hint="eastAsia" w:ascii="宋体" w:hAnsi="宋体" w:cs="宋体"/>
                <w:szCs w:val="21"/>
              </w:rPr>
              <w:t>法定代表人/单位负责人/主要经营负责人</w:t>
            </w:r>
          </w:p>
        </w:tc>
        <w:tc>
          <w:tcPr>
            <w:tcW w:w="1420" w:type="dxa"/>
            <w:tcBorders>
              <w:top w:val="single" w:color="auto" w:sz="4" w:space="0"/>
              <w:left w:val="nil"/>
              <w:bottom w:val="single" w:color="auto" w:sz="4" w:space="0"/>
              <w:right w:val="single" w:color="auto" w:sz="4" w:space="0"/>
            </w:tcBorders>
            <w:vAlign w:val="center"/>
          </w:tcPr>
          <w:p w14:paraId="3C051C6D">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695D0659">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382C78F0">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4A794CEA">
            <w:pPr>
              <w:jc w:val="center"/>
              <w:rPr>
                <w:rFonts w:ascii="宋体" w:hAnsi="宋体" w:cs="宋体"/>
                <w:szCs w:val="21"/>
              </w:rPr>
            </w:pPr>
          </w:p>
        </w:tc>
      </w:tr>
      <w:tr w14:paraId="02D9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14:paraId="5635439F">
            <w:pPr>
              <w:jc w:val="center"/>
              <w:rPr>
                <w:rFonts w:ascii="宋体" w:hAnsi="宋体" w:cs="宋体"/>
                <w:szCs w:val="21"/>
              </w:rPr>
            </w:pPr>
            <w:r>
              <w:rPr>
                <w:rFonts w:hint="eastAsia" w:ascii="宋体" w:hAnsi="宋体" w:cs="宋体"/>
                <w:szCs w:val="21"/>
              </w:rPr>
              <w:t>2</w:t>
            </w:r>
          </w:p>
        </w:tc>
        <w:tc>
          <w:tcPr>
            <w:tcW w:w="1845" w:type="dxa"/>
            <w:gridSpan w:val="2"/>
            <w:tcBorders>
              <w:top w:val="single" w:color="auto" w:sz="4" w:space="0"/>
              <w:left w:val="nil"/>
              <w:bottom w:val="single" w:color="auto" w:sz="4" w:space="0"/>
              <w:right w:val="single" w:color="auto" w:sz="4" w:space="0"/>
            </w:tcBorders>
            <w:vAlign w:val="center"/>
          </w:tcPr>
          <w:p w14:paraId="0B809D74">
            <w:pPr>
              <w:rPr>
                <w:rFonts w:ascii="宋体" w:hAnsi="宋体" w:cs="宋体"/>
                <w:szCs w:val="21"/>
              </w:rPr>
            </w:pPr>
            <w:r>
              <w:rPr>
                <w:rFonts w:hint="eastAsia" w:ascii="宋体" w:hAnsi="宋体" w:cs="宋体"/>
                <w:szCs w:val="21"/>
              </w:rPr>
              <w:t>项目投标授权代表人</w:t>
            </w:r>
          </w:p>
        </w:tc>
        <w:tc>
          <w:tcPr>
            <w:tcW w:w="1420" w:type="dxa"/>
            <w:tcBorders>
              <w:top w:val="single" w:color="auto" w:sz="4" w:space="0"/>
              <w:left w:val="nil"/>
              <w:bottom w:val="single" w:color="auto" w:sz="4" w:space="0"/>
              <w:right w:val="single" w:color="auto" w:sz="4" w:space="0"/>
            </w:tcBorders>
            <w:vAlign w:val="center"/>
          </w:tcPr>
          <w:p w14:paraId="36691442">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6D7B192D">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2055F5D3">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49F5840A">
            <w:pPr>
              <w:jc w:val="center"/>
              <w:rPr>
                <w:rFonts w:ascii="宋体" w:hAnsi="宋体" w:cs="宋体"/>
                <w:szCs w:val="21"/>
              </w:rPr>
            </w:pPr>
          </w:p>
        </w:tc>
      </w:tr>
      <w:tr w14:paraId="331E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14:paraId="40FDFA30">
            <w:pPr>
              <w:jc w:val="center"/>
              <w:rPr>
                <w:rFonts w:ascii="宋体" w:hAnsi="宋体" w:cs="宋体"/>
                <w:szCs w:val="21"/>
              </w:rPr>
            </w:pPr>
            <w:r>
              <w:rPr>
                <w:rFonts w:hint="eastAsia" w:ascii="宋体" w:hAnsi="宋体" w:cs="宋体"/>
                <w:szCs w:val="21"/>
              </w:rPr>
              <w:t>3</w:t>
            </w:r>
          </w:p>
        </w:tc>
        <w:tc>
          <w:tcPr>
            <w:tcW w:w="1845" w:type="dxa"/>
            <w:gridSpan w:val="2"/>
            <w:tcBorders>
              <w:top w:val="single" w:color="auto" w:sz="4" w:space="0"/>
              <w:left w:val="nil"/>
              <w:bottom w:val="single" w:color="auto" w:sz="4" w:space="0"/>
              <w:right w:val="single" w:color="auto" w:sz="4" w:space="0"/>
            </w:tcBorders>
            <w:vAlign w:val="center"/>
          </w:tcPr>
          <w:p w14:paraId="6DF988E4">
            <w:pPr>
              <w:rPr>
                <w:rFonts w:ascii="宋体" w:hAnsi="宋体" w:cs="宋体"/>
                <w:szCs w:val="21"/>
              </w:rPr>
            </w:pPr>
            <w:r>
              <w:rPr>
                <w:rFonts w:hint="eastAsia" w:ascii="宋体" w:hAnsi="宋体" w:cs="宋体"/>
                <w:szCs w:val="21"/>
              </w:rPr>
              <w:t>项目负责人</w:t>
            </w:r>
          </w:p>
        </w:tc>
        <w:tc>
          <w:tcPr>
            <w:tcW w:w="1420" w:type="dxa"/>
            <w:tcBorders>
              <w:top w:val="single" w:color="auto" w:sz="4" w:space="0"/>
              <w:left w:val="nil"/>
              <w:bottom w:val="single" w:color="auto" w:sz="4" w:space="0"/>
              <w:right w:val="single" w:color="auto" w:sz="4" w:space="0"/>
            </w:tcBorders>
            <w:vAlign w:val="center"/>
          </w:tcPr>
          <w:p w14:paraId="156A0B31">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16965BEE">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2864CF0E">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5F210917">
            <w:pPr>
              <w:jc w:val="center"/>
              <w:rPr>
                <w:rFonts w:ascii="宋体" w:hAnsi="宋体" w:cs="宋体"/>
                <w:szCs w:val="21"/>
              </w:rPr>
            </w:pPr>
          </w:p>
        </w:tc>
      </w:tr>
      <w:tr w14:paraId="1089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14:paraId="5ED4363B">
            <w:pPr>
              <w:jc w:val="center"/>
              <w:rPr>
                <w:rFonts w:ascii="宋体" w:hAnsi="宋体" w:cs="宋体"/>
                <w:szCs w:val="21"/>
              </w:rPr>
            </w:pPr>
            <w:r>
              <w:rPr>
                <w:rFonts w:hint="eastAsia" w:ascii="宋体" w:hAnsi="宋体" w:cs="宋体"/>
                <w:szCs w:val="21"/>
              </w:rPr>
              <w:t>4</w:t>
            </w:r>
          </w:p>
        </w:tc>
        <w:tc>
          <w:tcPr>
            <w:tcW w:w="1845" w:type="dxa"/>
            <w:gridSpan w:val="2"/>
            <w:tcBorders>
              <w:top w:val="single" w:color="auto" w:sz="4" w:space="0"/>
              <w:left w:val="nil"/>
              <w:bottom w:val="single" w:color="auto" w:sz="4" w:space="0"/>
              <w:right w:val="single" w:color="auto" w:sz="4" w:space="0"/>
            </w:tcBorders>
            <w:vAlign w:val="center"/>
          </w:tcPr>
          <w:p w14:paraId="183FD808">
            <w:pPr>
              <w:rPr>
                <w:rFonts w:ascii="宋体" w:hAnsi="宋体" w:cs="宋体"/>
                <w:szCs w:val="21"/>
              </w:rPr>
            </w:pPr>
            <w:r>
              <w:rPr>
                <w:rFonts w:hint="eastAsia" w:ascii="宋体" w:hAnsi="宋体" w:cs="宋体"/>
                <w:szCs w:val="21"/>
              </w:rPr>
              <w:t>主要技术人员</w:t>
            </w:r>
          </w:p>
        </w:tc>
        <w:tc>
          <w:tcPr>
            <w:tcW w:w="1420" w:type="dxa"/>
            <w:tcBorders>
              <w:top w:val="single" w:color="auto" w:sz="4" w:space="0"/>
              <w:left w:val="nil"/>
              <w:bottom w:val="single" w:color="auto" w:sz="4" w:space="0"/>
              <w:right w:val="single" w:color="auto" w:sz="4" w:space="0"/>
            </w:tcBorders>
            <w:vAlign w:val="center"/>
          </w:tcPr>
          <w:p w14:paraId="60ACAC3B">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44279902">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0FC3D18A">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5ACEC5E0">
            <w:pPr>
              <w:jc w:val="center"/>
              <w:rPr>
                <w:rFonts w:ascii="宋体" w:hAnsi="宋体" w:cs="宋体"/>
                <w:szCs w:val="21"/>
              </w:rPr>
            </w:pPr>
          </w:p>
        </w:tc>
      </w:tr>
      <w:tr w14:paraId="465C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vAlign w:val="center"/>
          </w:tcPr>
          <w:p w14:paraId="0EB27C00">
            <w:pPr>
              <w:jc w:val="center"/>
              <w:rPr>
                <w:rFonts w:ascii="宋体" w:hAnsi="宋体" w:cs="宋体"/>
                <w:szCs w:val="21"/>
              </w:rPr>
            </w:pPr>
            <w:r>
              <w:rPr>
                <w:rFonts w:hint="eastAsia" w:ascii="宋体" w:hAnsi="宋体" w:cs="宋体"/>
                <w:szCs w:val="21"/>
              </w:rPr>
              <w:t>5</w:t>
            </w:r>
          </w:p>
        </w:tc>
        <w:tc>
          <w:tcPr>
            <w:tcW w:w="1845" w:type="dxa"/>
            <w:gridSpan w:val="2"/>
            <w:tcBorders>
              <w:top w:val="single" w:color="auto" w:sz="4" w:space="0"/>
              <w:left w:val="nil"/>
              <w:bottom w:val="single" w:color="auto" w:sz="4" w:space="0"/>
              <w:right w:val="single" w:color="auto" w:sz="4" w:space="0"/>
            </w:tcBorders>
            <w:vAlign w:val="center"/>
          </w:tcPr>
          <w:p w14:paraId="32269C16">
            <w:pPr>
              <w:rPr>
                <w:rFonts w:ascii="宋体" w:hAnsi="宋体" w:cs="宋体"/>
                <w:szCs w:val="21"/>
              </w:rPr>
            </w:pPr>
            <w:r>
              <w:rPr>
                <w:rFonts w:hint="eastAsia" w:ascii="宋体" w:hAnsi="宋体" w:cs="宋体"/>
                <w:szCs w:val="21"/>
              </w:rPr>
              <w:t>投标文件编制人员</w:t>
            </w:r>
          </w:p>
        </w:tc>
        <w:tc>
          <w:tcPr>
            <w:tcW w:w="1420" w:type="dxa"/>
            <w:tcBorders>
              <w:top w:val="single" w:color="auto" w:sz="4" w:space="0"/>
              <w:left w:val="nil"/>
              <w:bottom w:val="single" w:color="auto" w:sz="4" w:space="0"/>
              <w:right w:val="single" w:color="auto" w:sz="4" w:space="0"/>
            </w:tcBorders>
            <w:vAlign w:val="center"/>
          </w:tcPr>
          <w:p w14:paraId="35014EC9">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55F39D62">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34B5369F">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6B0CDD06">
            <w:pPr>
              <w:jc w:val="center"/>
              <w:rPr>
                <w:rFonts w:ascii="宋体" w:hAnsi="宋体" w:cs="宋体"/>
                <w:szCs w:val="21"/>
              </w:rPr>
            </w:pPr>
          </w:p>
        </w:tc>
      </w:tr>
      <w:tr w14:paraId="7CF2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14:paraId="0884D111">
            <w:pPr>
              <w:rPr>
                <w:rFonts w:ascii="宋体" w:hAnsi="宋体" w:cs="宋体"/>
                <w:b/>
                <w:bCs/>
                <w:szCs w:val="21"/>
              </w:rPr>
            </w:pPr>
            <w:r>
              <w:rPr>
                <w:rFonts w:hint="eastAsia" w:ascii="宋体" w:hAnsi="宋体" w:cs="宋体"/>
                <w:b/>
                <w:bCs/>
                <w:szCs w:val="21"/>
              </w:rPr>
              <w:t>说明：1.同一职务有多人担任（如主要技术人员），应分行填写。</w:t>
            </w:r>
          </w:p>
          <w:p w14:paraId="2BA5384E">
            <w:pPr>
              <w:rPr>
                <w:rFonts w:ascii="宋体" w:hAnsi="宋体" w:cs="宋体"/>
                <w:szCs w:val="21"/>
              </w:rPr>
            </w:pPr>
            <w:r>
              <w:rPr>
                <w:rFonts w:hint="eastAsia" w:ascii="宋体" w:hAnsi="宋体" w:cs="宋体"/>
                <w:b/>
                <w:bCs/>
                <w:szCs w:val="21"/>
              </w:rPr>
              <w:t>2.投标供应商成立不满一个月或上述人员社保缴纳不满一个月的，应提供承诺函，格式自拟。</w:t>
            </w:r>
          </w:p>
        </w:tc>
      </w:tr>
      <w:tr w14:paraId="717B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14:paraId="17D4A84D">
            <w:pPr>
              <w:jc w:val="center"/>
              <w:rPr>
                <w:rFonts w:ascii="宋体" w:hAnsi="宋体" w:cs="宋体"/>
                <w:b/>
                <w:bCs/>
                <w:szCs w:val="21"/>
              </w:rPr>
            </w:pPr>
            <w:r>
              <w:rPr>
                <w:rFonts w:hint="eastAsia" w:ascii="宋体" w:hAnsi="宋体" w:cs="宋体"/>
                <w:b/>
                <w:bCs/>
                <w:szCs w:val="21"/>
              </w:rPr>
              <w:t>投标（响应）供应商关联关系情况</w:t>
            </w:r>
          </w:p>
        </w:tc>
      </w:tr>
      <w:tr w14:paraId="6EEF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14:paraId="55001D58">
            <w:pPr>
              <w:jc w:val="center"/>
              <w:rPr>
                <w:rFonts w:ascii="宋体" w:hAnsi="宋体" w:cs="宋体"/>
                <w:b/>
                <w:bCs/>
                <w:szCs w:val="21"/>
              </w:rPr>
            </w:pPr>
            <w:r>
              <w:rPr>
                <w:rFonts w:hint="eastAsia" w:ascii="宋体" w:hAnsi="宋体" w:cs="宋体"/>
                <w:b/>
                <w:bCs/>
                <w:szCs w:val="21"/>
              </w:rPr>
              <w:t>序号</w:t>
            </w:r>
          </w:p>
        </w:tc>
        <w:tc>
          <w:tcPr>
            <w:tcW w:w="1845" w:type="dxa"/>
            <w:gridSpan w:val="2"/>
            <w:tcBorders>
              <w:top w:val="single" w:color="auto" w:sz="4" w:space="0"/>
              <w:left w:val="nil"/>
              <w:bottom w:val="single" w:color="auto" w:sz="4" w:space="0"/>
              <w:right w:val="single" w:color="auto" w:sz="4" w:space="0"/>
            </w:tcBorders>
            <w:vAlign w:val="center"/>
          </w:tcPr>
          <w:p w14:paraId="3120BC3F">
            <w:pPr>
              <w:jc w:val="center"/>
              <w:rPr>
                <w:rFonts w:ascii="宋体" w:hAnsi="宋体" w:cs="宋体"/>
                <w:b/>
                <w:bCs/>
                <w:szCs w:val="21"/>
              </w:rPr>
            </w:pPr>
            <w:r>
              <w:rPr>
                <w:rFonts w:hint="eastAsia" w:ascii="宋体" w:hAnsi="宋体" w:cs="宋体"/>
                <w:b/>
                <w:bCs/>
                <w:szCs w:val="21"/>
              </w:rPr>
              <w:t>关联关系类型</w:t>
            </w:r>
          </w:p>
        </w:tc>
        <w:tc>
          <w:tcPr>
            <w:tcW w:w="3212" w:type="dxa"/>
            <w:gridSpan w:val="2"/>
            <w:tcBorders>
              <w:top w:val="single" w:color="auto" w:sz="4" w:space="0"/>
              <w:left w:val="nil"/>
              <w:bottom w:val="single" w:color="auto" w:sz="4" w:space="0"/>
              <w:right w:val="single" w:color="auto" w:sz="4" w:space="0"/>
            </w:tcBorders>
            <w:vAlign w:val="center"/>
          </w:tcPr>
          <w:p w14:paraId="7832B290">
            <w:pPr>
              <w:jc w:val="center"/>
              <w:rPr>
                <w:rFonts w:ascii="宋体" w:hAnsi="宋体" w:cs="宋体"/>
                <w:b/>
                <w:bCs/>
                <w:szCs w:val="21"/>
              </w:rPr>
            </w:pPr>
            <w:r>
              <w:rPr>
                <w:rFonts w:hint="eastAsia" w:ascii="宋体" w:hAnsi="宋体" w:cs="宋体"/>
                <w:b/>
                <w:bCs/>
                <w:szCs w:val="21"/>
              </w:rPr>
              <w:t>关联主体名称</w:t>
            </w:r>
          </w:p>
        </w:tc>
        <w:tc>
          <w:tcPr>
            <w:tcW w:w="3677" w:type="dxa"/>
            <w:gridSpan w:val="2"/>
            <w:tcBorders>
              <w:top w:val="single" w:color="auto" w:sz="4" w:space="0"/>
              <w:left w:val="nil"/>
              <w:bottom w:val="single" w:color="auto" w:sz="4" w:space="0"/>
              <w:right w:val="single" w:color="auto" w:sz="4" w:space="0"/>
            </w:tcBorders>
            <w:vAlign w:val="center"/>
          </w:tcPr>
          <w:p w14:paraId="4449DCA7">
            <w:pPr>
              <w:jc w:val="center"/>
              <w:rPr>
                <w:rFonts w:ascii="宋体" w:hAnsi="宋体" w:cs="宋体"/>
                <w:b/>
                <w:bCs/>
                <w:szCs w:val="21"/>
              </w:rPr>
            </w:pPr>
            <w:r>
              <w:rPr>
                <w:rFonts w:hint="eastAsia" w:ascii="宋体" w:hAnsi="宋体" w:cs="宋体"/>
                <w:b/>
                <w:bCs/>
                <w:szCs w:val="21"/>
              </w:rPr>
              <w:t>备注</w:t>
            </w:r>
          </w:p>
        </w:tc>
      </w:tr>
      <w:tr w14:paraId="5952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vAlign w:val="center"/>
          </w:tcPr>
          <w:p w14:paraId="297D5A22">
            <w:pPr>
              <w:jc w:val="center"/>
              <w:rPr>
                <w:rFonts w:ascii="宋体" w:hAnsi="宋体" w:cs="宋体"/>
                <w:szCs w:val="21"/>
              </w:rPr>
            </w:pPr>
            <w:r>
              <w:rPr>
                <w:rFonts w:hint="eastAsia" w:ascii="宋体" w:hAnsi="宋体" w:cs="宋体"/>
                <w:szCs w:val="21"/>
              </w:rPr>
              <w:t>1</w:t>
            </w:r>
          </w:p>
        </w:tc>
        <w:tc>
          <w:tcPr>
            <w:tcW w:w="1845" w:type="dxa"/>
            <w:gridSpan w:val="2"/>
            <w:tcBorders>
              <w:top w:val="single" w:color="auto" w:sz="4" w:space="0"/>
              <w:left w:val="nil"/>
              <w:bottom w:val="single" w:color="auto" w:sz="4" w:space="0"/>
              <w:right w:val="single" w:color="auto" w:sz="4" w:space="0"/>
            </w:tcBorders>
            <w:vAlign w:val="center"/>
          </w:tcPr>
          <w:p w14:paraId="6463B7AE">
            <w:pPr>
              <w:jc w:val="center"/>
              <w:rPr>
                <w:rFonts w:ascii="宋体" w:hAnsi="宋体" w:cs="宋体"/>
                <w:szCs w:val="21"/>
              </w:rPr>
            </w:pPr>
            <w:r>
              <w:rPr>
                <w:rFonts w:hint="eastAsia" w:ascii="宋体" w:hAnsi="宋体" w:cs="宋体"/>
                <w:szCs w:val="21"/>
              </w:rPr>
              <w:t>控股股东</w:t>
            </w:r>
          </w:p>
        </w:tc>
        <w:tc>
          <w:tcPr>
            <w:tcW w:w="3212" w:type="dxa"/>
            <w:gridSpan w:val="2"/>
            <w:tcBorders>
              <w:top w:val="single" w:color="auto" w:sz="4" w:space="0"/>
              <w:left w:val="nil"/>
              <w:bottom w:val="single" w:color="auto" w:sz="4" w:space="0"/>
              <w:right w:val="single" w:color="auto" w:sz="4" w:space="0"/>
            </w:tcBorders>
            <w:vAlign w:val="center"/>
          </w:tcPr>
          <w:p w14:paraId="3EC5CFB6">
            <w:pPr>
              <w:jc w:val="center"/>
              <w:rPr>
                <w:rFonts w:ascii="宋体" w:hAnsi="宋体" w:cs="宋体"/>
                <w:szCs w:val="21"/>
              </w:rPr>
            </w:pPr>
          </w:p>
        </w:tc>
        <w:tc>
          <w:tcPr>
            <w:tcW w:w="3677" w:type="dxa"/>
            <w:gridSpan w:val="2"/>
            <w:tcBorders>
              <w:top w:val="single" w:color="auto" w:sz="4" w:space="0"/>
              <w:left w:val="nil"/>
              <w:bottom w:val="single" w:color="auto" w:sz="4" w:space="0"/>
              <w:right w:val="single" w:color="auto" w:sz="4" w:space="0"/>
            </w:tcBorders>
            <w:vAlign w:val="center"/>
          </w:tcPr>
          <w:p w14:paraId="77DF1E2F">
            <w:pPr>
              <w:snapToGrid w:val="0"/>
              <w:jc w:val="left"/>
              <w:rPr>
                <w:rFonts w:ascii="宋体" w:hAnsi="宋体" w:cs="宋体"/>
                <w:szCs w:val="21"/>
              </w:rPr>
            </w:pPr>
            <w:r>
              <w:rPr>
                <w:rFonts w:hint="eastAsia" w:ascii="宋体" w:hAnsi="宋体" w:cs="宋体"/>
                <w:szCs w:val="21"/>
              </w:rPr>
              <w:t>是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EAF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vAlign w:val="center"/>
          </w:tcPr>
          <w:p w14:paraId="35B1D06F">
            <w:pPr>
              <w:jc w:val="center"/>
              <w:rPr>
                <w:rFonts w:ascii="宋体" w:hAnsi="宋体" w:cs="宋体"/>
                <w:szCs w:val="21"/>
              </w:rPr>
            </w:pPr>
            <w:r>
              <w:rPr>
                <w:rFonts w:hint="eastAsia" w:ascii="宋体" w:hAnsi="宋体" w:cs="宋体"/>
                <w:szCs w:val="21"/>
              </w:rPr>
              <w:t>2</w:t>
            </w:r>
          </w:p>
        </w:tc>
        <w:tc>
          <w:tcPr>
            <w:tcW w:w="1845" w:type="dxa"/>
            <w:gridSpan w:val="2"/>
            <w:tcBorders>
              <w:top w:val="single" w:color="auto" w:sz="4" w:space="0"/>
              <w:left w:val="nil"/>
              <w:bottom w:val="single" w:color="auto" w:sz="4" w:space="0"/>
              <w:right w:val="single" w:color="auto" w:sz="4" w:space="0"/>
            </w:tcBorders>
            <w:vAlign w:val="center"/>
          </w:tcPr>
          <w:p w14:paraId="2685D179">
            <w:pPr>
              <w:jc w:val="center"/>
              <w:rPr>
                <w:rFonts w:ascii="宋体" w:hAnsi="宋体" w:cs="宋体"/>
                <w:szCs w:val="21"/>
              </w:rPr>
            </w:pPr>
            <w:r>
              <w:rPr>
                <w:rFonts w:hint="eastAsia" w:ascii="宋体" w:hAnsi="宋体" w:cs="宋体"/>
                <w:szCs w:val="21"/>
              </w:rPr>
              <w:t>管理关系</w:t>
            </w:r>
          </w:p>
        </w:tc>
        <w:tc>
          <w:tcPr>
            <w:tcW w:w="3212" w:type="dxa"/>
            <w:gridSpan w:val="2"/>
            <w:tcBorders>
              <w:top w:val="single" w:color="auto" w:sz="4" w:space="0"/>
              <w:left w:val="nil"/>
              <w:bottom w:val="single" w:color="auto" w:sz="4" w:space="0"/>
              <w:right w:val="single" w:color="auto" w:sz="4" w:space="0"/>
            </w:tcBorders>
            <w:vAlign w:val="center"/>
          </w:tcPr>
          <w:p w14:paraId="3D25592E">
            <w:pPr>
              <w:jc w:val="center"/>
              <w:rPr>
                <w:rFonts w:ascii="宋体" w:hAnsi="宋体" w:cs="宋体"/>
                <w:szCs w:val="21"/>
              </w:rPr>
            </w:pPr>
          </w:p>
        </w:tc>
        <w:tc>
          <w:tcPr>
            <w:tcW w:w="3677" w:type="dxa"/>
            <w:gridSpan w:val="2"/>
            <w:tcBorders>
              <w:top w:val="single" w:color="auto" w:sz="4" w:space="0"/>
              <w:left w:val="nil"/>
              <w:bottom w:val="single" w:color="auto" w:sz="4" w:space="0"/>
              <w:right w:val="single" w:color="auto" w:sz="4" w:space="0"/>
            </w:tcBorders>
            <w:vAlign w:val="center"/>
          </w:tcPr>
          <w:p w14:paraId="06A4BF6E">
            <w:pPr>
              <w:snapToGrid w:val="0"/>
              <w:jc w:val="left"/>
              <w:rPr>
                <w:rFonts w:ascii="宋体" w:hAnsi="宋体" w:cs="宋体"/>
                <w:szCs w:val="21"/>
              </w:rPr>
            </w:pPr>
            <w:r>
              <w:rPr>
                <w:rFonts w:hint="eastAsia" w:ascii="宋体" w:hAnsi="宋体" w:cs="宋体"/>
                <w:szCs w:val="21"/>
              </w:rPr>
              <w:t>是指对投标（响应）供应商不具有出资持股关系，但对其存在管理关系的主体。</w:t>
            </w:r>
          </w:p>
        </w:tc>
      </w:tr>
      <w:tr w14:paraId="51DA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14:paraId="01690A85">
            <w:pPr>
              <w:snapToGrid w:val="0"/>
              <w:jc w:val="left"/>
              <w:rPr>
                <w:rFonts w:ascii="宋体" w:hAnsi="宋体" w:cs="宋体"/>
                <w:szCs w:val="21"/>
              </w:rPr>
            </w:pPr>
            <w:r>
              <w:rPr>
                <w:rFonts w:hint="eastAsia" w:ascii="宋体" w:hAnsi="宋体" w:cs="宋体"/>
                <w:b/>
                <w:bCs/>
                <w:szCs w:val="21"/>
              </w:rPr>
              <w:t>说明：同一关联关系类型有多个主体的，应分行填写。</w:t>
            </w:r>
          </w:p>
        </w:tc>
      </w:tr>
      <w:bookmarkEnd w:id="27"/>
    </w:tbl>
    <w:p w14:paraId="4788F82D"/>
    <w:p w14:paraId="13CF77CA">
      <w:pPr>
        <w:jc w:val="center"/>
      </w:pPr>
    </w:p>
    <w:p w14:paraId="2C4CBE78">
      <w:pPr>
        <w:jc w:val="center"/>
      </w:pPr>
    </w:p>
    <w:p w14:paraId="203A7B25">
      <w:pPr>
        <w:pStyle w:val="4"/>
        <w:jc w:val="center"/>
      </w:pPr>
      <w:r>
        <w:rPr>
          <w:rFonts w:hint="eastAsia"/>
          <w:szCs w:val="24"/>
        </w:rPr>
        <w:t>（四）</w:t>
      </w:r>
      <w:r>
        <w:rPr>
          <w:rFonts w:hint="eastAsia"/>
        </w:rPr>
        <w:t>实质性服务条款（以★号标注）证明文件（如有）</w:t>
      </w:r>
    </w:p>
    <w:p w14:paraId="2435C337">
      <w:pPr>
        <w:ind w:firstLine="420" w:firstLineChars="200"/>
        <w:rPr>
          <w:color w:val="FF0000"/>
        </w:rPr>
      </w:pPr>
      <w:r>
        <w:rPr>
          <w:rFonts w:hint="eastAsia"/>
          <w:color w:val="FF0000"/>
        </w:rPr>
        <w:t>备注：</w:t>
      </w:r>
    </w:p>
    <w:p w14:paraId="362DBF36">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1、如本项目没有设置实质性服务条款（以★号标注），该部分无需填写。</w:t>
      </w:r>
    </w:p>
    <w:p w14:paraId="22388C26">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2、如本项目设置了实质性服务条款（以★号标注），投标供应商须按要求提供相关证明文件，如未提供或出现负偏离的，投标文件作投标无效处理。</w:t>
      </w:r>
    </w:p>
    <w:tbl>
      <w:tblPr>
        <w:tblStyle w:val="3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111F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2711EAE">
            <w:pPr>
              <w:adjustRightInd w:val="0"/>
              <w:snapToGrid w:val="0"/>
              <w:spacing w:line="360" w:lineRule="auto"/>
              <w:jc w:val="center"/>
              <w:rPr>
                <w:rFonts w:ascii="宋体" w:hAnsi="宋体"/>
                <w:kern w:val="0"/>
                <w:szCs w:val="21"/>
              </w:rPr>
            </w:pPr>
            <w:bookmarkStart w:id="28" w:name="_Hlk72092651"/>
            <w:r>
              <w:rPr>
                <w:rFonts w:hint="eastAsia" w:ascii="宋体" w:hAnsi="宋体"/>
                <w:kern w:val="0"/>
                <w:szCs w:val="21"/>
              </w:rPr>
              <w:t>序号</w:t>
            </w:r>
          </w:p>
        </w:tc>
        <w:tc>
          <w:tcPr>
            <w:tcW w:w="3774" w:type="dxa"/>
            <w:vAlign w:val="center"/>
          </w:tcPr>
          <w:p w14:paraId="6F7DCCAE">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33582FAF">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2C47C541">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7EF3407E">
            <w:pPr>
              <w:adjustRightInd w:val="0"/>
              <w:snapToGrid w:val="0"/>
              <w:spacing w:line="360" w:lineRule="auto"/>
              <w:jc w:val="center"/>
              <w:rPr>
                <w:rFonts w:ascii="宋体" w:hAnsi="宋体"/>
                <w:kern w:val="0"/>
                <w:szCs w:val="21"/>
              </w:rPr>
            </w:pPr>
            <w:r>
              <w:rPr>
                <w:rFonts w:hint="eastAsia"/>
              </w:rPr>
              <w:t>说明</w:t>
            </w:r>
          </w:p>
        </w:tc>
      </w:tr>
      <w:bookmarkEnd w:id="28"/>
      <w:tr w14:paraId="1384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8550184">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0BDA9B09">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627D3CAB">
            <w:pPr>
              <w:adjustRightInd w:val="0"/>
              <w:snapToGrid w:val="0"/>
              <w:spacing w:line="360" w:lineRule="auto"/>
              <w:rPr>
                <w:rFonts w:ascii="宋体" w:hAnsi="宋体"/>
                <w:kern w:val="0"/>
                <w:szCs w:val="21"/>
              </w:rPr>
            </w:pPr>
          </w:p>
        </w:tc>
        <w:tc>
          <w:tcPr>
            <w:tcW w:w="1275" w:type="dxa"/>
          </w:tcPr>
          <w:p w14:paraId="50987BE1">
            <w:pPr>
              <w:adjustRightInd w:val="0"/>
              <w:snapToGrid w:val="0"/>
              <w:spacing w:line="360" w:lineRule="auto"/>
              <w:rPr>
                <w:rFonts w:ascii="宋体" w:hAnsi="宋体"/>
                <w:kern w:val="0"/>
                <w:szCs w:val="21"/>
              </w:rPr>
            </w:pPr>
          </w:p>
        </w:tc>
        <w:tc>
          <w:tcPr>
            <w:tcW w:w="933" w:type="dxa"/>
          </w:tcPr>
          <w:p w14:paraId="79BB6E04">
            <w:pPr>
              <w:adjustRightInd w:val="0"/>
              <w:snapToGrid w:val="0"/>
              <w:spacing w:line="360" w:lineRule="auto"/>
              <w:rPr>
                <w:rFonts w:ascii="宋体" w:hAnsi="宋体"/>
                <w:kern w:val="0"/>
                <w:szCs w:val="21"/>
              </w:rPr>
            </w:pPr>
          </w:p>
        </w:tc>
      </w:tr>
    </w:tbl>
    <w:p w14:paraId="2C1A7AD3">
      <w:pPr>
        <w:ind w:firstLine="420" w:firstLineChars="200"/>
      </w:pPr>
      <w:r>
        <w:rPr>
          <w:rFonts w:hint="eastAsia"/>
        </w:rPr>
        <w:t>注：</w:t>
      </w:r>
    </w:p>
    <w:p w14:paraId="5F1A8E1C">
      <w:pPr>
        <w:ind w:firstLine="420" w:firstLineChars="200"/>
      </w:pPr>
      <w:r>
        <w:rPr>
          <w:rFonts w:hint="eastAsia"/>
        </w:rPr>
        <w:t>1.上表所列各项均为不可负偏离条款。</w:t>
      </w:r>
    </w:p>
    <w:p w14:paraId="2192D4B4">
      <w:pPr>
        <w:ind w:firstLine="420" w:firstLineChars="200"/>
      </w:pPr>
      <w:r>
        <w:rPr>
          <w:rFonts w:hint="eastAsia"/>
        </w:rPr>
        <w:t>2.“投标响应”一栏应当详细填写投标人自身响应情况，而不能不合理照搬照抄招实质性条款具体内容。</w:t>
      </w:r>
    </w:p>
    <w:p w14:paraId="2DB92298">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30B20351">
      <w:pPr>
        <w:ind w:firstLine="420" w:firstLineChars="200"/>
      </w:pPr>
      <w:r>
        <w:t>4.</w:t>
      </w:r>
      <w:r>
        <w:rPr>
          <w:rFonts w:hint="eastAsia"/>
        </w:rPr>
        <w:t>评审委员会有权对投标响应情况作出判断（作出评审结论）。</w:t>
      </w:r>
    </w:p>
    <w:p w14:paraId="61298F1D">
      <w:pPr>
        <w:ind w:firstLine="420" w:firstLineChars="200"/>
      </w:pPr>
      <w:r>
        <w:t>5</w:t>
      </w:r>
      <w:r>
        <w:rPr>
          <w:rFonts w:hint="eastAsia"/>
        </w:rPr>
        <w:t>.实质性响应条款“投标响应情况”与投标文件其它内容冲突的，以实质性响应条款“投标响应情况”为准。</w:t>
      </w:r>
    </w:p>
    <w:p w14:paraId="190CB075">
      <w:pPr>
        <w:ind w:firstLine="420" w:firstLineChars="200"/>
      </w:pPr>
      <w:r>
        <w:rPr>
          <w:rFonts w:hint="eastAsia"/>
        </w:rPr>
        <w:t>6.要求提供证明资料，在“说明”一栏中列明证明资料的位置,以便评审；未要求提供证明材料的，投标人可以不提供。</w:t>
      </w:r>
    </w:p>
    <w:p w14:paraId="1CF45688">
      <w:pPr>
        <w:ind w:firstLine="420" w:firstLineChars="200"/>
      </w:pPr>
    </w:p>
    <w:p w14:paraId="6D8034FD">
      <w:pPr>
        <w:ind w:firstLine="420" w:firstLineChars="200"/>
        <w:rPr>
          <w:rFonts w:ascii="黑体" w:hAnsi="宋体" w:eastAsia="黑体"/>
          <w:bCs/>
          <w:color w:val="FF0000"/>
          <w:kern w:val="0"/>
          <w:szCs w:val="21"/>
        </w:rPr>
      </w:pPr>
    </w:p>
    <w:p w14:paraId="3B01A9A8">
      <w:pPr>
        <w:ind w:firstLine="420" w:firstLineChars="200"/>
        <w:rPr>
          <w:rFonts w:ascii="黑体" w:hAnsi="宋体" w:eastAsia="黑体"/>
          <w:bCs/>
          <w:color w:val="FF0000"/>
          <w:kern w:val="0"/>
          <w:szCs w:val="21"/>
        </w:rPr>
      </w:pPr>
    </w:p>
    <w:p w14:paraId="3145A99B">
      <w:pPr>
        <w:pStyle w:val="4"/>
        <w:jc w:val="center"/>
      </w:pPr>
      <w:r>
        <w:rPr>
          <w:rFonts w:hint="eastAsia"/>
          <w:szCs w:val="24"/>
        </w:rPr>
        <w:t>（五）</w:t>
      </w:r>
      <w:r>
        <w:rPr>
          <w:rFonts w:hint="eastAsia"/>
        </w:rPr>
        <w:t>法定代表人（负责人）资格证明书</w:t>
      </w:r>
    </w:p>
    <w:p w14:paraId="7EFC5785">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74C09ED1">
      <w:pPr>
        <w:spacing w:line="360" w:lineRule="auto"/>
        <w:ind w:firstLine="420" w:firstLineChars="200"/>
        <w:rPr>
          <w:szCs w:val="21"/>
        </w:rPr>
      </w:pPr>
      <w:r>
        <w:rPr>
          <w:rFonts w:hint="eastAsia"/>
          <w:szCs w:val="21"/>
        </w:rPr>
        <w:t>特此证明。</w:t>
      </w:r>
    </w:p>
    <w:p w14:paraId="4886B4FB">
      <w:pPr>
        <w:spacing w:line="360" w:lineRule="auto"/>
        <w:ind w:firstLine="420" w:firstLineChars="200"/>
        <w:rPr>
          <w:szCs w:val="21"/>
        </w:rPr>
      </w:pPr>
      <w:r>
        <w:rPr>
          <w:rFonts w:hint="eastAsia"/>
          <w:szCs w:val="21"/>
        </w:rPr>
        <w:t>说明：1、法定代表人为投标人（企业事业单位、国家机关、社会团体）的主要行政负责人。</w:t>
      </w:r>
    </w:p>
    <w:p w14:paraId="03A8EFC5">
      <w:pPr>
        <w:numPr>
          <w:ilvl w:val="0"/>
          <w:numId w:val="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33DCA4C">
      <w:pPr>
        <w:numPr>
          <w:ilvl w:val="0"/>
          <w:numId w:val="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799A5E9A">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848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5AABEA3E">
            <w:pPr>
              <w:jc w:val="center"/>
            </w:pPr>
            <w:r>
              <w:rPr>
                <w:rFonts w:hint="eastAsia"/>
              </w:rPr>
              <w:t>证件扫描件正面</w:t>
            </w:r>
          </w:p>
          <w:p w14:paraId="597ED491">
            <w:pPr>
              <w:spacing w:line="360" w:lineRule="auto"/>
              <w:jc w:val="center"/>
              <w:rPr>
                <w:b/>
                <w:bCs/>
                <w:sz w:val="24"/>
              </w:rPr>
            </w:pPr>
          </w:p>
          <w:p w14:paraId="2FD4FAC4">
            <w:pPr>
              <w:spacing w:line="360" w:lineRule="auto"/>
              <w:jc w:val="center"/>
              <w:rPr>
                <w:sz w:val="24"/>
              </w:rPr>
            </w:pPr>
          </w:p>
        </w:tc>
        <w:tc>
          <w:tcPr>
            <w:tcW w:w="4265" w:type="dxa"/>
          </w:tcPr>
          <w:p w14:paraId="097C38BD">
            <w:pPr>
              <w:jc w:val="center"/>
            </w:pPr>
            <w:r>
              <w:rPr>
                <w:rFonts w:hint="eastAsia"/>
              </w:rPr>
              <w:t>证件扫描件反面</w:t>
            </w:r>
          </w:p>
          <w:p w14:paraId="19145D91">
            <w:pPr>
              <w:spacing w:line="360" w:lineRule="auto"/>
              <w:jc w:val="center"/>
              <w:rPr>
                <w:b/>
                <w:bCs/>
                <w:sz w:val="24"/>
              </w:rPr>
            </w:pPr>
          </w:p>
          <w:p w14:paraId="4E910664">
            <w:pPr>
              <w:spacing w:line="360" w:lineRule="auto"/>
              <w:jc w:val="center"/>
              <w:rPr>
                <w:sz w:val="24"/>
              </w:rPr>
            </w:pPr>
          </w:p>
        </w:tc>
      </w:tr>
    </w:tbl>
    <w:p w14:paraId="2E087455">
      <w:pPr>
        <w:spacing w:after="120"/>
        <w:ind w:firstLine="422" w:firstLineChars="200"/>
        <w:rPr>
          <w:rFonts w:ascii="Calibri" w:hAnsi="Calibri"/>
          <w:b/>
          <w:color w:val="FF0000"/>
        </w:rPr>
      </w:pPr>
    </w:p>
    <w:p w14:paraId="6F2A6094">
      <w:pPr>
        <w:spacing w:after="120"/>
        <w:ind w:firstLine="422" w:firstLineChars="200"/>
        <w:rPr>
          <w:rFonts w:ascii="Calibri" w:hAnsi="Calibri"/>
          <w:b/>
          <w:color w:val="FF0000"/>
        </w:rPr>
      </w:pPr>
      <w:r>
        <w:rPr>
          <w:rFonts w:hint="eastAsia" w:ascii="Calibri" w:hAnsi="Calibr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DDDCBA6">
      <w:pPr>
        <w:rPr>
          <w:sz w:val="24"/>
        </w:rPr>
      </w:pPr>
    </w:p>
    <w:p w14:paraId="5FD8FFB4">
      <w:pPr>
        <w:widowControl/>
        <w:jc w:val="left"/>
        <w:rPr>
          <w:rFonts w:ascii="黑体" w:hAnsi="宋体" w:eastAsia="黑体"/>
          <w:bCs/>
          <w:sz w:val="24"/>
          <w:szCs w:val="32"/>
        </w:rPr>
      </w:pPr>
      <w:r>
        <w:rPr>
          <w:rFonts w:ascii="黑体" w:eastAsia="黑体"/>
          <w:b/>
          <w:sz w:val="24"/>
        </w:rPr>
        <w:br w:type="page"/>
      </w:r>
    </w:p>
    <w:p w14:paraId="48C39401">
      <w:pPr>
        <w:pStyle w:val="4"/>
        <w:jc w:val="center"/>
      </w:pPr>
      <w:r>
        <w:rPr>
          <w:rFonts w:hint="eastAsia"/>
          <w:szCs w:val="24"/>
        </w:rPr>
        <w:t>（六）</w:t>
      </w:r>
      <w:r>
        <w:rPr>
          <w:rFonts w:hint="eastAsia"/>
        </w:rPr>
        <w:t>投标文件签署授权委托书</w:t>
      </w:r>
    </w:p>
    <w:p w14:paraId="1766732A">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41C834EB">
      <w:pPr>
        <w:spacing w:line="360" w:lineRule="auto"/>
        <w:ind w:firstLine="420" w:firstLineChars="200"/>
        <w:rPr>
          <w:szCs w:val="21"/>
        </w:rPr>
      </w:pPr>
      <w:r>
        <w:rPr>
          <w:rFonts w:hint="eastAsia"/>
          <w:szCs w:val="21"/>
        </w:rPr>
        <w:t>代理人无转委托权，特此委托。</w:t>
      </w:r>
    </w:p>
    <w:p w14:paraId="519D75D8">
      <w:pPr>
        <w:spacing w:line="360" w:lineRule="auto"/>
        <w:ind w:firstLine="420" w:firstLineChars="200"/>
        <w:rPr>
          <w:szCs w:val="21"/>
        </w:rPr>
      </w:pPr>
    </w:p>
    <w:p w14:paraId="5FDF726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4C29F00C">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97B6CD5">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DEFCBDD">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418E230C">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001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7BA8DD92">
            <w:pPr>
              <w:jc w:val="center"/>
            </w:pPr>
            <w:r>
              <w:rPr>
                <w:rFonts w:hint="eastAsia"/>
              </w:rPr>
              <w:t>证件扫描件正面</w:t>
            </w:r>
          </w:p>
          <w:p w14:paraId="19179A73">
            <w:pPr>
              <w:spacing w:line="360" w:lineRule="auto"/>
              <w:jc w:val="center"/>
              <w:rPr>
                <w:b/>
                <w:bCs/>
                <w:sz w:val="24"/>
              </w:rPr>
            </w:pPr>
          </w:p>
          <w:p w14:paraId="404027DE">
            <w:pPr>
              <w:spacing w:line="360" w:lineRule="auto"/>
              <w:jc w:val="center"/>
              <w:rPr>
                <w:sz w:val="24"/>
              </w:rPr>
            </w:pPr>
          </w:p>
        </w:tc>
        <w:tc>
          <w:tcPr>
            <w:tcW w:w="4265" w:type="dxa"/>
          </w:tcPr>
          <w:p w14:paraId="3CFA11D9">
            <w:pPr>
              <w:jc w:val="center"/>
            </w:pPr>
            <w:r>
              <w:rPr>
                <w:rFonts w:hint="eastAsia"/>
              </w:rPr>
              <w:t>证件扫描件反面</w:t>
            </w:r>
          </w:p>
          <w:p w14:paraId="34651BBB">
            <w:pPr>
              <w:spacing w:line="360" w:lineRule="auto"/>
              <w:jc w:val="center"/>
              <w:rPr>
                <w:b/>
                <w:bCs/>
                <w:sz w:val="24"/>
              </w:rPr>
            </w:pPr>
          </w:p>
          <w:p w14:paraId="7F3BFCA3">
            <w:pPr>
              <w:spacing w:line="360" w:lineRule="auto"/>
              <w:jc w:val="center"/>
              <w:rPr>
                <w:sz w:val="24"/>
              </w:rPr>
            </w:pPr>
          </w:p>
        </w:tc>
      </w:tr>
    </w:tbl>
    <w:p w14:paraId="635471CA"/>
    <w:p w14:paraId="1ACA74AD">
      <w:pPr>
        <w:spacing w:after="120"/>
        <w:ind w:firstLine="422" w:firstLineChars="200"/>
        <w:rPr>
          <w:rFonts w:ascii="Calibri" w:hAnsi="Calibri"/>
          <w:b/>
          <w:color w:val="FF0000"/>
        </w:rPr>
      </w:pPr>
      <w:r>
        <w:rPr>
          <w:rFonts w:hint="eastAsia" w:ascii="Calibri" w:hAnsi="Calibr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B48C90E">
      <w:pPr>
        <w:pStyle w:val="32"/>
      </w:pPr>
    </w:p>
    <w:p w14:paraId="01E1C8DA">
      <w:pPr>
        <w:widowControl/>
        <w:jc w:val="left"/>
        <w:rPr>
          <w:rFonts w:ascii="黑体" w:hAnsi="宋体" w:eastAsia="黑体"/>
          <w:bCs/>
          <w:kern w:val="0"/>
          <w:sz w:val="24"/>
        </w:rPr>
      </w:pPr>
      <w:r>
        <w:rPr>
          <w:rFonts w:ascii="黑体" w:eastAsia="黑体"/>
          <w:b/>
          <w:kern w:val="0"/>
          <w:sz w:val="24"/>
        </w:rPr>
        <w:br w:type="page"/>
      </w:r>
    </w:p>
    <w:p w14:paraId="5D2A9140">
      <w:pPr>
        <w:pStyle w:val="4"/>
        <w:jc w:val="center"/>
      </w:pPr>
      <w:r>
        <w:rPr>
          <w:rFonts w:hint="eastAsia"/>
        </w:rPr>
        <w:t>（七）分项报价清单</w:t>
      </w:r>
    </w:p>
    <w:tbl>
      <w:tblPr>
        <w:tblStyle w:val="3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5FCA7F52">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2E4D3913">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7A0F6D7C">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60520D1E">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53D84B2A">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12EB9898">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1BD1A60B">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762BE5E6">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45590F4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vAlign w:val="center"/>
          </w:tcPr>
          <w:p w14:paraId="5E59ED2B">
            <w:pPr>
              <w:widowControl/>
              <w:jc w:val="left"/>
              <w:rPr>
                <w:rFonts w:ascii="宋体" w:hAnsi="宋体" w:cs="宋体"/>
                <w:kern w:val="0"/>
                <w:sz w:val="20"/>
                <w:szCs w:val="20"/>
              </w:rPr>
            </w:pPr>
          </w:p>
        </w:tc>
      </w:tr>
      <w:tr w14:paraId="041B7D06">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vAlign w:val="center"/>
          </w:tcPr>
          <w:p w14:paraId="49FF3C9F">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vAlign w:val="center"/>
          </w:tcPr>
          <w:p w14:paraId="3C84E750">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vAlign w:val="center"/>
          </w:tcPr>
          <w:p w14:paraId="1D75B90A">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4D8A5FB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vAlign w:val="center"/>
          </w:tcPr>
          <w:p w14:paraId="0CDE54D7">
            <w:pPr>
              <w:widowControl/>
              <w:jc w:val="left"/>
              <w:rPr>
                <w:rFonts w:ascii="宋体" w:hAnsi="宋体" w:cs="宋体"/>
                <w:kern w:val="0"/>
                <w:sz w:val="20"/>
                <w:szCs w:val="20"/>
              </w:rPr>
            </w:pPr>
            <w:r>
              <w:rPr>
                <w:rFonts w:hint="eastAsia" w:ascii="宋体" w:hAnsi="宋体" w:cs="宋体"/>
                <w:kern w:val="0"/>
                <w:sz w:val="20"/>
                <w:szCs w:val="20"/>
              </w:rPr>
              <w:t>　</w:t>
            </w:r>
          </w:p>
        </w:tc>
      </w:tr>
      <w:tr w14:paraId="50E39F4C">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130C9764">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93420C8">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4A24DFE7">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5CB3F36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5FF439D4">
            <w:pPr>
              <w:jc w:val="left"/>
              <w:rPr>
                <w:rFonts w:ascii="宋体" w:hAnsi="宋体" w:cs="宋体"/>
                <w:kern w:val="0"/>
                <w:sz w:val="20"/>
                <w:szCs w:val="20"/>
              </w:rPr>
            </w:pPr>
          </w:p>
        </w:tc>
      </w:tr>
      <w:tr w14:paraId="352F3EC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12C9DEB3">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1B3C78D">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54A017B1">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59D6979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44322DD3">
            <w:pPr>
              <w:jc w:val="left"/>
              <w:rPr>
                <w:rFonts w:ascii="宋体" w:hAnsi="宋体" w:cs="宋体"/>
                <w:kern w:val="0"/>
                <w:sz w:val="20"/>
                <w:szCs w:val="20"/>
              </w:rPr>
            </w:pPr>
          </w:p>
        </w:tc>
      </w:tr>
      <w:tr w14:paraId="62188FD5">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3AAD3F39">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50A04CE">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49537338">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4D94D08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3EEEC048">
            <w:pPr>
              <w:jc w:val="left"/>
              <w:rPr>
                <w:rFonts w:ascii="宋体" w:hAnsi="宋体" w:cs="宋体"/>
                <w:kern w:val="0"/>
                <w:sz w:val="20"/>
                <w:szCs w:val="20"/>
              </w:rPr>
            </w:pPr>
          </w:p>
        </w:tc>
      </w:tr>
      <w:tr w14:paraId="3E3B95C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5C79D7BA">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04A3EAAA">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307D096D">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5137F50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77886E64">
            <w:pPr>
              <w:jc w:val="left"/>
              <w:rPr>
                <w:rFonts w:ascii="宋体" w:hAnsi="宋体" w:cs="宋体"/>
                <w:kern w:val="0"/>
                <w:sz w:val="20"/>
                <w:szCs w:val="20"/>
              </w:rPr>
            </w:pPr>
          </w:p>
        </w:tc>
      </w:tr>
      <w:tr w14:paraId="0327BC1C">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4AF08BB1">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E985EAF">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0565D03F">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2F156F1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vAlign w:val="center"/>
          </w:tcPr>
          <w:p w14:paraId="3A178B07">
            <w:pPr>
              <w:widowControl/>
              <w:jc w:val="left"/>
              <w:rPr>
                <w:rFonts w:ascii="宋体" w:hAnsi="宋体" w:cs="宋体"/>
                <w:kern w:val="0"/>
                <w:sz w:val="20"/>
                <w:szCs w:val="20"/>
              </w:rPr>
            </w:pPr>
          </w:p>
        </w:tc>
      </w:tr>
      <w:tr w14:paraId="2ED34B3F">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03A6797A">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2DED84E">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6E1792A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FD07DB6">
            <w:pPr>
              <w:widowControl/>
              <w:jc w:val="left"/>
              <w:rPr>
                <w:rFonts w:ascii="宋体" w:hAnsi="宋体" w:cs="宋体"/>
                <w:kern w:val="0"/>
                <w:sz w:val="20"/>
                <w:szCs w:val="20"/>
              </w:rPr>
            </w:pPr>
            <w:r>
              <w:rPr>
                <w:rFonts w:hint="eastAsia" w:ascii="宋体" w:hAnsi="宋体" w:cs="宋体"/>
                <w:kern w:val="0"/>
                <w:sz w:val="20"/>
                <w:szCs w:val="20"/>
              </w:rPr>
              <w:t>　</w:t>
            </w:r>
          </w:p>
        </w:tc>
      </w:tr>
      <w:tr w14:paraId="72FCA127">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14F2440C">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05B98463">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25B6BAE6">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594743D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65C3594">
            <w:pPr>
              <w:widowControl/>
              <w:jc w:val="left"/>
              <w:rPr>
                <w:rFonts w:ascii="宋体" w:hAnsi="宋体" w:cs="宋体"/>
                <w:kern w:val="0"/>
                <w:sz w:val="20"/>
                <w:szCs w:val="20"/>
              </w:rPr>
            </w:pPr>
          </w:p>
        </w:tc>
      </w:tr>
      <w:tr w14:paraId="6D84377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0619987E">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shd w:val="clear" w:color="auto" w:fill="auto"/>
            <w:vAlign w:val="center"/>
          </w:tcPr>
          <w:p w14:paraId="44EFA99E">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4B8402D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1F724808">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59B5F66">
            <w:pPr>
              <w:widowControl/>
              <w:jc w:val="left"/>
              <w:rPr>
                <w:rFonts w:ascii="宋体" w:hAnsi="宋体" w:cs="宋体"/>
                <w:kern w:val="0"/>
                <w:sz w:val="20"/>
                <w:szCs w:val="20"/>
              </w:rPr>
            </w:pPr>
          </w:p>
        </w:tc>
      </w:tr>
      <w:tr w14:paraId="4DCF909C">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3211C71C">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1CDBB92">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75713D4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0AFB141">
            <w:pPr>
              <w:widowControl/>
              <w:jc w:val="left"/>
              <w:rPr>
                <w:rFonts w:ascii="宋体" w:hAnsi="宋体" w:cs="宋体"/>
                <w:kern w:val="0"/>
                <w:sz w:val="20"/>
                <w:szCs w:val="20"/>
              </w:rPr>
            </w:pPr>
            <w:r>
              <w:rPr>
                <w:rFonts w:hint="eastAsia" w:ascii="宋体" w:hAnsi="宋体" w:cs="宋体"/>
                <w:kern w:val="0"/>
                <w:sz w:val="20"/>
                <w:szCs w:val="20"/>
              </w:rPr>
              <w:t>　</w:t>
            </w:r>
          </w:p>
        </w:tc>
      </w:tr>
      <w:tr w14:paraId="0568F14C">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969D215">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9113567">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724247ED">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58B8D0A">
            <w:pPr>
              <w:widowControl/>
              <w:jc w:val="left"/>
              <w:rPr>
                <w:rFonts w:ascii="宋体" w:hAnsi="宋体" w:cs="宋体"/>
                <w:kern w:val="0"/>
                <w:sz w:val="20"/>
                <w:szCs w:val="20"/>
              </w:rPr>
            </w:pPr>
            <w:r>
              <w:rPr>
                <w:rFonts w:hint="eastAsia" w:ascii="宋体" w:hAnsi="宋体" w:cs="宋体"/>
                <w:kern w:val="0"/>
                <w:sz w:val="20"/>
                <w:szCs w:val="20"/>
              </w:rPr>
              <w:t>　</w:t>
            </w:r>
          </w:p>
        </w:tc>
      </w:tr>
      <w:tr w14:paraId="1CCF0A28">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85DFF01">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E8293F7">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516EC743">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41662CD7">
            <w:pPr>
              <w:widowControl/>
              <w:jc w:val="left"/>
              <w:rPr>
                <w:rFonts w:ascii="宋体" w:hAnsi="宋体" w:cs="宋体"/>
                <w:kern w:val="0"/>
                <w:sz w:val="20"/>
                <w:szCs w:val="20"/>
              </w:rPr>
            </w:pPr>
          </w:p>
        </w:tc>
      </w:tr>
      <w:tr w14:paraId="6AD334B8">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1D8583AF">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4AA8538">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047CBA6A">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D22C7D2">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46202424">
      <w:pPr>
        <w:ind w:firstLine="420" w:firstLineChars="200"/>
        <w:rPr>
          <w:rFonts w:ascii="宋体" w:hAnsi="宋体"/>
        </w:rPr>
      </w:pPr>
      <w:r>
        <w:rPr>
          <w:rFonts w:hint="eastAsia" w:ascii="宋体" w:hAnsi="宋体"/>
        </w:rPr>
        <w:t>注：1、所有价格应按“招标文件”中规定的货币单位填写；</w:t>
      </w:r>
    </w:p>
    <w:p w14:paraId="44ED6B56">
      <w:pPr>
        <w:numPr>
          <w:ilvl w:val="0"/>
          <w:numId w:val="5"/>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7AE06CFD">
      <w:pPr>
        <w:pStyle w:val="32"/>
      </w:pPr>
    </w:p>
    <w:p w14:paraId="085399EB">
      <w:pPr>
        <w:pStyle w:val="32"/>
      </w:pPr>
    </w:p>
    <w:p w14:paraId="54DE88D4">
      <w:pPr>
        <w:ind w:firstLine="420" w:firstLineChars="200"/>
        <w:jc w:val="center"/>
        <w:rPr>
          <w:szCs w:val="21"/>
        </w:rPr>
      </w:pPr>
    </w:p>
    <w:p w14:paraId="7AFFA980">
      <w:pPr>
        <w:widowControl/>
        <w:jc w:val="left"/>
        <w:rPr>
          <w:rFonts w:ascii="Arial" w:hAnsi="Arial" w:eastAsia="黑体"/>
          <w:bCs/>
          <w:sz w:val="24"/>
        </w:rPr>
      </w:pPr>
      <w:r>
        <w:rPr>
          <w:b/>
          <w:sz w:val="24"/>
        </w:rPr>
        <w:br w:type="page"/>
      </w:r>
    </w:p>
    <w:p w14:paraId="29928FAF">
      <w:pPr>
        <w:pStyle w:val="4"/>
        <w:jc w:val="center"/>
        <w:rPr>
          <w:rFonts w:ascii="黑体" w:eastAsia="黑体"/>
          <w:szCs w:val="28"/>
        </w:rPr>
      </w:pPr>
      <w:r>
        <w:rPr>
          <w:rFonts w:hint="eastAsia" w:ascii="黑体" w:eastAsia="黑体"/>
          <w:szCs w:val="28"/>
        </w:rPr>
        <w:t>二、技术服务部分</w:t>
      </w:r>
    </w:p>
    <w:p w14:paraId="134E11B1"/>
    <w:p w14:paraId="3A0E0BFD">
      <w:pPr>
        <w:pStyle w:val="5"/>
        <w:jc w:val="center"/>
        <w:rPr>
          <w:rFonts w:ascii="黑体"/>
          <w:b w:val="0"/>
          <w:sz w:val="24"/>
        </w:rPr>
      </w:pPr>
      <w:r>
        <w:rPr>
          <w:rFonts w:hint="eastAsia" w:ascii="黑体"/>
          <w:b w:val="0"/>
          <w:sz w:val="24"/>
        </w:rPr>
        <w:t>（一）项目实施方案</w:t>
      </w:r>
    </w:p>
    <w:p w14:paraId="31B32C49">
      <w:pPr>
        <w:jc w:val="left"/>
      </w:pPr>
      <w:r>
        <w:rPr>
          <w:rFonts w:hint="eastAsia"/>
        </w:rPr>
        <w:t>请按照招标文件要求提供相关证明文件。</w:t>
      </w:r>
    </w:p>
    <w:p w14:paraId="098E8BA9">
      <w:pPr>
        <w:pStyle w:val="32"/>
        <w:jc w:val="left"/>
      </w:pPr>
    </w:p>
    <w:p w14:paraId="7563BCA3">
      <w:pPr>
        <w:pStyle w:val="32"/>
        <w:jc w:val="left"/>
      </w:pPr>
    </w:p>
    <w:p w14:paraId="6AB13C90">
      <w:pPr>
        <w:pStyle w:val="5"/>
        <w:jc w:val="center"/>
        <w:rPr>
          <w:rFonts w:ascii="黑体"/>
          <w:b w:val="0"/>
          <w:sz w:val="24"/>
        </w:rPr>
      </w:pPr>
      <w:r>
        <w:rPr>
          <w:rFonts w:hint="eastAsia" w:ascii="黑体"/>
          <w:b w:val="0"/>
          <w:sz w:val="24"/>
        </w:rPr>
        <w:t>（二）项目重点难点分析、应对措施及相关的合理化建议</w:t>
      </w:r>
    </w:p>
    <w:p w14:paraId="0E6BF3C3">
      <w:pPr>
        <w:jc w:val="left"/>
      </w:pPr>
      <w:r>
        <w:rPr>
          <w:rFonts w:hint="eastAsia"/>
        </w:rPr>
        <w:t>请按照招标文件要求提供相关证明文件。</w:t>
      </w:r>
    </w:p>
    <w:p w14:paraId="33F6AEEB">
      <w:pPr>
        <w:pStyle w:val="32"/>
        <w:jc w:val="left"/>
      </w:pPr>
    </w:p>
    <w:p w14:paraId="1E809649">
      <w:pPr>
        <w:pStyle w:val="32"/>
        <w:jc w:val="left"/>
      </w:pPr>
    </w:p>
    <w:p w14:paraId="4BF59054">
      <w:pPr>
        <w:pStyle w:val="5"/>
        <w:jc w:val="center"/>
        <w:rPr>
          <w:rFonts w:ascii="黑体"/>
          <w:b w:val="0"/>
          <w:sz w:val="24"/>
        </w:rPr>
      </w:pPr>
      <w:r>
        <w:rPr>
          <w:rFonts w:hint="eastAsia" w:ascii="黑体"/>
          <w:b w:val="0"/>
          <w:sz w:val="24"/>
        </w:rPr>
        <w:t>（三）质量保障措施及方案</w:t>
      </w:r>
    </w:p>
    <w:p w14:paraId="7A16AF5E">
      <w:pPr>
        <w:jc w:val="left"/>
      </w:pPr>
      <w:r>
        <w:rPr>
          <w:rFonts w:hint="eastAsia"/>
        </w:rPr>
        <w:t>请按照招标文件要求提供相关证明文件。</w:t>
      </w:r>
    </w:p>
    <w:p w14:paraId="276E2AFD">
      <w:pPr>
        <w:pStyle w:val="32"/>
        <w:jc w:val="left"/>
      </w:pPr>
    </w:p>
    <w:p w14:paraId="1E1E6041">
      <w:pPr>
        <w:pStyle w:val="32"/>
        <w:jc w:val="left"/>
      </w:pPr>
    </w:p>
    <w:p w14:paraId="5475BE3A">
      <w:pPr>
        <w:pStyle w:val="5"/>
        <w:jc w:val="center"/>
        <w:rPr>
          <w:rFonts w:ascii="黑体"/>
          <w:b w:val="0"/>
          <w:sz w:val="24"/>
        </w:rPr>
      </w:pPr>
      <w:r>
        <w:rPr>
          <w:rFonts w:hint="eastAsia" w:ascii="黑体"/>
          <w:b w:val="0"/>
          <w:sz w:val="24"/>
        </w:rPr>
        <w:t>（四）项目完成（服务期满）后的服务承诺</w:t>
      </w:r>
    </w:p>
    <w:p w14:paraId="497D24C0">
      <w:pPr>
        <w:jc w:val="left"/>
      </w:pPr>
      <w:r>
        <w:rPr>
          <w:rFonts w:hint="eastAsia"/>
        </w:rPr>
        <w:t>请按照招标文件要求提供相关证明文件。</w:t>
      </w:r>
    </w:p>
    <w:p w14:paraId="14F590B8">
      <w:pPr>
        <w:pStyle w:val="32"/>
        <w:jc w:val="left"/>
      </w:pPr>
    </w:p>
    <w:p w14:paraId="66AF4C20">
      <w:pPr>
        <w:pStyle w:val="32"/>
        <w:ind w:left="0" w:leftChars="0" w:firstLine="0" w:firstLineChars="0"/>
        <w:jc w:val="left"/>
      </w:pPr>
    </w:p>
    <w:p w14:paraId="3A3C589F">
      <w:pPr>
        <w:pStyle w:val="5"/>
        <w:ind w:firstLine="2160" w:firstLineChars="900"/>
        <w:rPr>
          <w:rFonts w:ascii="黑体"/>
          <w:b w:val="0"/>
          <w:sz w:val="24"/>
        </w:rPr>
      </w:pPr>
      <w:r>
        <w:rPr>
          <w:rFonts w:hint="eastAsia" w:ascii="黑体"/>
          <w:b w:val="0"/>
          <w:sz w:val="24"/>
        </w:rPr>
        <w:t>（五）拟安排的项目团队成员</w:t>
      </w:r>
    </w:p>
    <w:p w14:paraId="6FA35760">
      <w:pPr>
        <w:jc w:val="left"/>
      </w:pPr>
      <w:r>
        <w:rPr>
          <w:rFonts w:hint="eastAsia"/>
        </w:rPr>
        <w:t>请按照招标文件要求提供相关证明文件。</w:t>
      </w:r>
    </w:p>
    <w:p w14:paraId="3901878F">
      <w:pPr>
        <w:pStyle w:val="32"/>
        <w:jc w:val="left"/>
      </w:pPr>
    </w:p>
    <w:p w14:paraId="6A4AEE7E">
      <w:pPr>
        <w:pStyle w:val="5"/>
        <w:ind w:firstLine="2160" w:firstLineChars="900"/>
        <w:rPr>
          <w:rFonts w:ascii="黑体"/>
          <w:b w:val="0"/>
          <w:sz w:val="24"/>
        </w:rPr>
      </w:pPr>
      <w:r>
        <w:rPr>
          <w:rFonts w:hint="eastAsia" w:ascii="黑体"/>
          <w:b w:val="0"/>
          <w:sz w:val="24"/>
        </w:rPr>
        <w:t>（六）违约承诺</w:t>
      </w:r>
    </w:p>
    <w:p w14:paraId="0D899500">
      <w:pPr>
        <w:jc w:val="left"/>
      </w:pPr>
      <w:r>
        <w:rPr>
          <w:rFonts w:hint="eastAsia"/>
        </w:rPr>
        <w:t>请按照招标文件要求提供相关证明文件。</w:t>
      </w:r>
    </w:p>
    <w:p w14:paraId="40039F11">
      <w:pPr>
        <w:pStyle w:val="32"/>
        <w:jc w:val="left"/>
      </w:pPr>
    </w:p>
    <w:p w14:paraId="7DFD2998">
      <w:pPr>
        <w:widowControl/>
        <w:jc w:val="left"/>
      </w:pPr>
    </w:p>
    <w:p w14:paraId="2E3EFD52">
      <w:pPr>
        <w:pStyle w:val="4"/>
        <w:jc w:val="center"/>
        <w:rPr>
          <w:rFonts w:ascii="黑体" w:eastAsia="黑体"/>
          <w:szCs w:val="28"/>
        </w:rPr>
      </w:pPr>
      <w:r>
        <w:rPr>
          <w:rFonts w:hint="eastAsia" w:ascii="黑体" w:eastAsia="黑体"/>
          <w:szCs w:val="28"/>
        </w:rPr>
        <w:t>三、综合实力部分</w:t>
      </w:r>
    </w:p>
    <w:p w14:paraId="5A6469D7">
      <w:pPr>
        <w:pStyle w:val="5"/>
        <w:jc w:val="left"/>
        <w:rPr>
          <w:rFonts w:ascii="黑体"/>
          <w:b w:val="0"/>
          <w:sz w:val="24"/>
        </w:rPr>
      </w:pPr>
      <w:r>
        <w:rPr>
          <w:rFonts w:hint="eastAsia" w:ascii="黑体"/>
          <w:b w:val="0"/>
          <w:sz w:val="24"/>
        </w:rPr>
        <w:t>（一）同类项目业绩情况</w:t>
      </w:r>
    </w:p>
    <w:tbl>
      <w:tblPr>
        <w:tblStyle w:val="33"/>
        <w:tblW w:w="79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942"/>
        <w:gridCol w:w="1000"/>
        <w:gridCol w:w="1701"/>
        <w:gridCol w:w="1625"/>
        <w:gridCol w:w="1750"/>
        <w:gridCol w:w="904"/>
      </w:tblGrid>
      <w:tr w14:paraId="7D7F0F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bottom w:val="single" w:color="auto" w:sz="4" w:space="0"/>
            </w:tcBorders>
            <w:vAlign w:val="center"/>
          </w:tcPr>
          <w:p w14:paraId="234C0F54">
            <w:pPr>
              <w:jc w:val="center"/>
            </w:pPr>
            <w:r>
              <w:rPr>
                <w:rFonts w:hint="eastAsia"/>
              </w:rPr>
              <w:t>序号</w:t>
            </w:r>
          </w:p>
        </w:tc>
        <w:tc>
          <w:tcPr>
            <w:tcW w:w="1000" w:type="dxa"/>
            <w:vAlign w:val="center"/>
          </w:tcPr>
          <w:p w14:paraId="51F278CE">
            <w:pPr>
              <w:jc w:val="center"/>
            </w:pPr>
            <w:r>
              <w:rPr>
                <w:rFonts w:hint="eastAsia"/>
                <w:szCs w:val="21"/>
              </w:rPr>
              <w:t>采购单位</w:t>
            </w:r>
          </w:p>
        </w:tc>
        <w:tc>
          <w:tcPr>
            <w:tcW w:w="1701" w:type="dxa"/>
            <w:vAlign w:val="center"/>
          </w:tcPr>
          <w:p w14:paraId="06D6FB7E">
            <w:pPr>
              <w:jc w:val="center"/>
            </w:pPr>
            <w:r>
              <w:rPr>
                <w:rFonts w:hint="eastAsia"/>
              </w:rPr>
              <w:t>项目名称</w:t>
            </w:r>
          </w:p>
        </w:tc>
        <w:tc>
          <w:tcPr>
            <w:tcW w:w="1625" w:type="dxa"/>
            <w:vAlign w:val="center"/>
          </w:tcPr>
          <w:p w14:paraId="143C84F3">
            <w:pPr>
              <w:jc w:val="center"/>
            </w:pPr>
            <w:r>
              <w:rPr>
                <w:rFonts w:hint="eastAsia"/>
                <w:szCs w:val="21"/>
              </w:rPr>
              <w:t>合同签订日期</w:t>
            </w:r>
          </w:p>
        </w:tc>
        <w:tc>
          <w:tcPr>
            <w:tcW w:w="1750" w:type="dxa"/>
            <w:vAlign w:val="center"/>
          </w:tcPr>
          <w:p w14:paraId="6C7EEC5B">
            <w:pPr>
              <w:jc w:val="center"/>
            </w:pPr>
            <w:r>
              <w:rPr>
                <w:rFonts w:hint="eastAsia"/>
                <w:szCs w:val="21"/>
              </w:rPr>
              <w:t>履约评价情况</w:t>
            </w:r>
          </w:p>
        </w:tc>
        <w:tc>
          <w:tcPr>
            <w:tcW w:w="904" w:type="dxa"/>
            <w:vAlign w:val="center"/>
          </w:tcPr>
          <w:p w14:paraId="2F5C89DE">
            <w:pPr>
              <w:jc w:val="center"/>
            </w:pPr>
            <w:r>
              <w:rPr>
                <w:rFonts w:hint="eastAsia"/>
              </w:rPr>
              <w:t>备注</w:t>
            </w:r>
          </w:p>
        </w:tc>
      </w:tr>
      <w:tr w14:paraId="702611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top w:val="single" w:color="auto" w:sz="4" w:space="0"/>
            </w:tcBorders>
            <w:vAlign w:val="center"/>
          </w:tcPr>
          <w:p w14:paraId="16E39E8E">
            <w:pPr>
              <w:jc w:val="center"/>
            </w:pPr>
          </w:p>
        </w:tc>
        <w:tc>
          <w:tcPr>
            <w:tcW w:w="1000" w:type="dxa"/>
            <w:vAlign w:val="center"/>
          </w:tcPr>
          <w:p w14:paraId="62916CD8">
            <w:pPr>
              <w:jc w:val="center"/>
            </w:pPr>
          </w:p>
        </w:tc>
        <w:tc>
          <w:tcPr>
            <w:tcW w:w="1701" w:type="dxa"/>
            <w:vAlign w:val="center"/>
          </w:tcPr>
          <w:p w14:paraId="59578854">
            <w:pPr>
              <w:jc w:val="center"/>
            </w:pPr>
          </w:p>
        </w:tc>
        <w:tc>
          <w:tcPr>
            <w:tcW w:w="1625" w:type="dxa"/>
            <w:vAlign w:val="center"/>
          </w:tcPr>
          <w:p w14:paraId="74FD7667">
            <w:pPr>
              <w:jc w:val="center"/>
            </w:pPr>
          </w:p>
        </w:tc>
        <w:tc>
          <w:tcPr>
            <w:tcW w:w="1750" w:type="dxa"/>
            <w:vAlign w:val="center"/>
          </w:tcPr>
          <w:p w14:paraId="29ACF266">
            <w:pPr>
              <w:jc w:val="center"/>
            </w:pPr>
          </w:p>
        </w:tc>
        <w:tc>
          <w:tcPr>
            <w:tcW w:w="904" w:type="dxa"/>
            <w:vAlign w:val="center"/>
          </w:tcPr>
          <w:p w14:paraId="4B5A5C25">
            <w:pPr>
              <w:jc w:val="center"/>
            </w:pPr>
          </w:p>
        </w:tc>
      </w:tr>
      <w:tr w14:paraId="4CB76D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14:paraId="13EBF32D">
            <w:pPr>
              <w:jc w:val="center"/>
            </w:pPr>
          </w:p>
        </w:tc>
        <w:tc>
          <w:tcPr>
            <w:tcW w:w="1000" w:type="dxa"/>
            <w:vAlign w:val="center"/>
          </w:tcPr>
          <w:p w14:paraId="2F1D25A5">
            <w:pPr>
              <w:jc w:val="center"/>
            </w:pPr>
          </w:p>
        </w:tc>
        <w:tc>
          <w:tcPr>
            <w:tcW w:w="1701" w:type="dxa"/>
            <w:vAlign w:val="center"/>
          </w:tcPr>
          <w:p w14:paraId="12C67160">
            <w:pPr>
              <w:jc w:val="center"/>
            </w:pPr>
          </w:p>
        </w:tc>
        <w:tc>
          <w:tcPr>
            <w:tcW w:w="1625" w:type="dxa"/>
            <w:vAlign w:val="center"/>
          </w:tcPr>
          <w:p w14:paraId="21CA9BC9">
            <w:pPr>
              <w:jc w:val="center"/>
            </w:pPr>
          </w:p>
        </w:tc>
        <w:tc>
          <w:tcPr>
            <w:tcW w:w="1750" w:type="dxa"/>
            <w:vAlign w:val="center"/>
          </w:tcPr>
          <w:p w14:paraId="3479A50E">
            <w:pPr>
              <w:jc w:val="center"/>
            </w:pPr>
          </w:p>
        </w:tc>
        <w:tc>
          <w:tcPr>
            <w:tcW w:w="904" w:type="dxa"/>
            <w:vAlign w:val="center"/>
          </w:tcPr>
          <w:p w14:paraId="7C1835E8">
            <w:pPr>
              <w:jc w:val="center"/>
            </w:pPr>
          </w:p>
        </w:tc>
      </w:tr>
      <w:tr w14:paraId="41B4BB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14:paraId="1D844582">
            <w:pPr>
              <w:jc w:val="center"/>
            </w:pPr>
          </w:p>
        </w:tc>
        <w:tc>
          <w:tcPr>
            <w:tcW w:w="1000" w:type="dxa"/>
            <w:vAlign w:val="center"/>
          </w:tcPr>
          <w:p w14:paraId="3E23DBB6">
            <w:pPr>
              <w:jc w:val="center"/>
            </w:pPr>
          </w:p>
        </w:tc>
        <w:tc>
          <w:tcPr>
            <w:tcW w:w="1701" w:type="dxa"/>
            <w:vAlign w:val="center"/>
          </w:tcPr>
          <w:p w14:paraId="6A2E7E12">
            <w:pPr>
              <w:jc w:val="center"/>
            </w:pPr>
          </w:p>
        </w:tc>
        <w:tc>
          <w:tcPr>
            <w:tcW w:w="1625" w:type="dxa"/>
            <w:vAlign w:val="center"/>
          </w:tcPr>
          <w:p w14:paraId="2DEDC783">
            <w:pPr>
              <w:jc w:val="center"/>
            </w:pPr>
          </w:p>
        </w:tc>
        <w:tc>
          <w:tcPr>
            <w:tcW w:w="1750" w:type="dxa"/>
            <w:vAlign w:val="center"/>
          </w:tcPr>
          <w:p w14:paraId="5D4FDE69">
            <w:pPr>
              <w:jc w:val="center"/>
            </w:pPr>
          </w:p>
        </w:tc>
        <w:tc>
          <w:tcPr>
            <w:tcW w:w="904" w:type="dxa"/>
            <w:vAlign w:val="center"/>
          </w:tcPr>
          <w:p w14:paraId="71420102">
            <w:pPr>
              <w:jc w:val="center"/>
            </w:pPr>
          </w:p>
        </w:tc>
      </w:tr>
      <w:tr w14:paraId="66D134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14:paraId="49438AA0">
            <w:pPr>
              <w:jc w:val="center"/>
            </w:pPr>
          </w:p>
        </w:tc>
        <w:tc>
          <w:tcPr>
            <w:tcW w:w="1000" w:type="dxa"/>
            <w:vAlign w:val="center"/>
          </w:tcPr>
          <w:p w14:paraId="7A29F71D">
            <w:pPr>
              <w:jc w:val="center"/>
            </w:pPr>
          </w:p>
        </w:tc>
        <w:tc>
          <w:tcPr>
            <w:tcW w:w="1701" w:type="dxa"/>
            <w:vAlign w:val="center"/>
          </w:tcPr>
          <w:p w14:paraId="283A0E83">
            <w:pPr>
              <w:jc w:val="center"/>
            </w:pPr>
          </w:p>
        </w:tc>
        <w:tc>
          <w:tcPr>
            <w:tcW w:w="1625" w:type="dxa"/>
            <w:vAlign w:val="center"/>
          </w:tcPr>
          <w:p w14:paraId="4D2E6603">
            <w:pPr>
              <w:jc w:val="center"/>
            </w:pPr>
          </w:p>
        </w:tc>
        <w:tc>
          <w:tcPr>
            <w:tcW w:w="1750" w:type="dxa"/>
            <w:vAlign w:val="center"/>
          </w:tcPr>
          <w:p w14:paraId="391F920E">
            <w:pPr>
              <w:jc w:val="center"/>
            </w:pPr>
          </w:p>
        </w:tc>
        <w:tc>
          <w:tcPr>
            <w:tcW w:w="904" w:type="dxa"/>
            <w:vAlign w:val="center"/>
          </w:tcPr>
          <w:p w14:paraId="46D1349F">
            <w:pPr>
              <w:jc w:val="center"/>
            </w:pPr>
          </w:p>
        </w:tc>
      </w:tr>
      <w:tr w14:paraId="18529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14:paraId="73EEEEB3">
            <w:pPr>
              <w:jc w:val="center"/>
            </w:pPr>
          </w:p>
        </w:tc>
        <w:tc>
          <w:tcPr>
            <w:tcW w:w="1000" w:type="dxa"/>
            <w:vAlign w:val="center"/>
          </w:tcPr>
          <w:p w14:paraId="28EF4289">
            <w:pPr>
              <w:jc w:val="center"/>
            </w:pPr>
          </w:p>
        </w:tc>
        <w:tc>
          <w:tcPr>
            <w:tcW w:w="1701" w:type="dxa"/>
            <w:vAlign w:val="center"/>
          </w:tcPr>
          <w:p w14:paraId="28804307">
            <w:pPr>
              <w:jc w:val="center"/>
            </w:pPr>
          </w:p>
        </w:tc>
        <w:tc>
          <w:tcPr>
            <w:tcW w:w="1625" w:type="dxa"/>
            <w:vAlign w:val="center"/>
          </w:tcPr>
          <w:p w14:paraId="4B1CEEEE">
            <w:pPr>
              <w:jc w:val="center"/>
            </w:pPr>
          </w:p>
        </w:tc>
        <w:tc>
          <w:tcPr>
            <w:tcW w:w="1750" w:type="dxa"/>
            <w:vAlign w:val="center"/>
          </w:tcPr>
          <w:p w14:paraId="3757A0B9">
            <w:pPr>
              <w:jc w:val="center"/>
            </w:pPr>
          </w:p>
        </w:tc>
        <w:tc>
          <w:tcPr>
            <w:tcW w:w="904" w:type="dxa"/>
            <w:vAlign w:val="center"/>
          </w:tcPr>
          <w:p w14:paraId="6A542600">
            <w:pPr>
              <w:jc w:val="center"/>
            </w:pPr>
          </w:p>
        </w:tc>
      </w:tr>
    </w:tbl>
    <w:p w14:paraId="48895EF0">
      <w:pPr>
        <w:rPr>
          <w:b/>
        </w:rPr>
      </w:pPr>
      <w:bookmarkStart w:id="29" w:name="bt项目管理班子配备情况"/>
      <w:bookmarkEnd w:id="29"/>
    </w:p>
    <w:p w14:paraId="5D91C55E">
      <w:pPr>
        <w:pStyle w:val="32"/>
        <w:jc w:val="left"/>
      </w:pPr>
    </w:p>
    <w:p w14:paraId="72C77177">
      <w:pPr>
        <w:pStyle w:val="5"/>
        <w:jc w:val="center"/>
        <w:rPr>
          <w:rFonts w:ascii="黑体"/>
          <w:b w:val="0"/>
          <w:sz w:val="24"/>
        </w:rPr>
      </w:pPr>
      <w:r>
        <w:rPr>
          <w:rFonts w:hint="eastAsia" w:ascii="黑体"/>
          <w:b w:val="0"/>
          <w:sz w:val="24"/>
        </w:rPr>
        <w:t>（二）同类项目业绩履约情况</w:t>
      </w:r>
    </w:p>
    <w:p w14:paraId="134084BF">
      <w:r>
        <w:rPr>
          <w:rFonts w:hint="eastAsia"/>
        </w:rPr>
        <w:t>请按照招标文件要求提供相关证明文件。</w:t>
      </w:r>
    </w:p>
    <w:p w14:paraId="028608D7">
      <w:pPr>
        <w:pStyle w:val="32"/>
      </w:pPr>
    </w:p>
    <w:p w14:paraId="474DF9B6">
      <w:pPr>
        <w:pStyle w:val="5"/>
        <w:jc w:val="center"/>
        <w:rPr>
          <w:rFonts w:ascii="黑体"/>
          <w:b w:val="0"/>
          <w:sz w:val="24"/>
        </w:rPr>
      </w:pPr>
      <w:r>
        <w:rPr>
          <w:rFonts w:hint="eastAsia" w:ascii="黑体"/>
          <w:b w:val="0"/>
          <w:sz w:val="24"/>
        </w:rPr>
        <w:t>（三）体系认证</w:t>
      </w:r>
    </w:p>
    <w:p w14:paraId="7F68F727">
      <w:r>
        <w:rPr>
          <w:rFonts w:hint="eastAsia"/>
        </w:rPr>
        <w:t>请按照招标文件要求提供相关证明文件。</w:t>
      </w:r>
    </w:p>
    <w:p w14:paraId="06B0E10D">
      <w:pPr>
        <w:pStyle w:val="32"/>
      </w:pPr>
    </w:p>
    <w:p w14:paraId="2D2A3943">
      <w:pPr>
        <w:pStyle w:val="5"/>
        <w:jc w:val="center"/>
        <w:rPr>
          <w:rFonts w:ascii="黑体"/>
          <w:b w:val="0"/>
          <w:sz w:val="24"/>
        </w:rPr>
      </w:pPr>
      <w:r>
        <w:rPr>
          <w:rFonts w:hint="eastAsia" w:ascii="黑体"/>
          <w:b w:val="0"/>
          <w:sz w:val="24"/>
        </w:rPr>
        <w:t>（四）企业荣誉情况</w:t>
      </w:r>
    </w:p>
    <w:p w14:paraId="10612B06">
      <w:r>
        <w:rPr>
          <w:rFonts w:hint="eastAsia"/>
        </w:rPr>
        <w:t>请按照招标文件要求提供相关证明文件。</w:t>
      </w:r>
    </w:p>
    <w:p w14:paraId="7D487F98">
      <w:pPr>
        <w:pStyle w:val="32"/>
      </w:pPr>
    </w:p>
    <w:p w14:paraId="2F7998BE">
      <w:pPr>
        <w:pStyle w:val="32"/>
      </w:pPr>
    </w:p>
    <w:p w14:paraId="620A8530">
      <w:pPr>
        <w:pStyle w:val="5"/>
        <w:jc w:val="center"/>
        <w:rPr>
          <w:rFonts w:ascii="黑体"/>
          <w:b w:val="0"/>
          <w:sz w:val="24"/>
        </w:rPr>
      </w:pPr>
      <w:r>
        <w:rPr>
          <w:rFonts w:hint="eastAsia" w:ascii="黑体"/>
          <w:b w:val="0"/>
          <w:sz w:val="24"/>
        </w:rPr>
        <w:t>（五）公共（众）责任险</w:t>
      </w:r>
    </w:p>
    <w:p w14:paraId="58C2544D">
      <w:r>
        <w:rPr>
          <w:rFonts w:hint="eastAsia"/>
        </w:rPr>
        <w:t>请按照招标文件要求提供相关证明文件。</w:t>
      </w:r>
    </w:p>
    <w:p w14:paraId="14682C40">
      <w:pPr>
        <w:pStyle w:val="5"/>
        <w:jc w:val="center"/>
        <w:rPr>
          <w:rFonts w:ascii="黑体"/>
          <w:b w:val="0"/>
          <w:sz w:val="24"/>
        </w:rPr>
      </w:pPr>
      <w:r>
        <w:rPr>
          <w:rFonts w:hint="eastAsia" w:ascii="黑体"/>
          <w:b w:val="0"/>
          <w:sz w:val="24"/>
        </w:rPr>
        <w:t>（六）人员信息化管理能力</w:t>
      </w:r>
    </w:p>
    <w:p w14:paraId="694AA2E1">
      <w:r>
        <w:rPr>
          <w:rFonts w:hint="eastAsia"/>
        </w:rPr>
        <w:t>请按照招标文件要求提供相关证明文件。</w:t>
      </w:r>
    </w:p>
    <w:p w14:paraId="025FEA93"/>
    <w:p w14:paraId="7A2E35DD">
      <w:pPr>
        <w:pStyle w:val="2"/>
      </w:pPr>
    </w:p>
    <w:p w14:paraId="4A65224D">
      <w:pPr>
        <w:pStyle w:val="2"/>
      </w:pPr>
    </w:p>
    <w:p w14:paraId="559F3187">
      <w:pPr>
        <w:pStyle w:val="2"/>
      </w:pPr>
    </w:p>
    <w:p w14:paraId="489E4C56">
      <w:pPr>
        <w:pStyle w:val="4"/>
        <w:jc w:val="center"/>
        <w:rPr>
          <w:rFonts w:ascii="黑体" w:eastAsia="黑体"/>
          <w:szCs w:val="28"/>
        </w:rPr>
      </w:pPr>
      <w:r>
        <w:rPr>
          <w:rFonts w:hint="eastAsia" w:ascii="黑体" w:eastAsia="黑体"/>
          <w:szCs w:val="28"/>
        </w:rPr>
        <w:t>四、招标</w:t>
      </w:r>
      <w:r>
        <w:rPr>
          <w:rFonts w:ascii="黑体" w:eastAsia="黑体"/>
          <w:szCs w:val="28"/>
        </w:rPr>
        <w:t>文件要求的其它内容及投标</w:t>
      </w:r>
      <w:r>
        <w:rPr>
          <w:rFonts w:hint="eastAsia" w:ascii="黑体" w:eastAsia="黑体"/>
          <w:szCs w:val="28"/>
        </w:rPr>
        <w:t>供应商</w:t>
      </w:r>
      <w:r>
        <w:rPr>
          <w:rFonts w:ascii="黑体" w:eastAsia="黑体"/>
          <w:szCs w:val="28"/>
        </w:rPr>
        <w:t>认为需要补充的内容</w:t>
      </w:r>
    </w:p>
    <w:p w14:paraId="6C76421E">
      <w:pPr>
        <w:rPr>
          <w:color w:val="000000"/>
        </w:rPr>
      </w:pPr>
    </w:p>
    <w:p w14:paraId="58825093">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4A6A4377">
      <w:pPr>
        <w:spacing w:after="120" w:afterLines="50" w:line="360" w:lineRule="exact"/>
        <w:ind w:firstLine="482" w:firstLineChars="200"/>
        <w:rPr>
          <w:rFonts w:ascii="Calibri" w:hAnsi="Calibri"/>
          <w:b/>
          <w:bCs/>
          <w:sz w:val="24"/>
        </w:rPr>
      </w:pPr>
      <w:r>
        <w:rPr>
          <w:rFonts w:hint="eastAsia" w:ascii="Calibri" w:hAnsi="Calibri"/>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757"/>
      </w:tblGrid>
      <w:tr w14:paraId="5C6E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1FF7D9B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2D51F48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供应商参与投标禁止情形</w:t>
            </w:r>
          </w:p>
        </w:tc>
      </w:tr>
      <w:tr w14:paraId="5499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C7C533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3478A004">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与其他投标供应商的法定代表人、主要经营负责人、投标授权代表人、项目负责人、主要技术人员为同一人、属同一单位或者在同一单位缴纳社会保险。</w:t>
            </w:r>
          </w:p>
        </w:tc>
      </w:tr>
      <w:tr w14:paraId="056B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DC2B49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68D67B3A">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参与本项目采购活动时，与其他投标供应商存在单位负责人为同一人或直接控股、管理关系。</w:t>
            </w:r>
          </w:p>
        </w:tc>
      </w:tr>
      <w:tr w14:paraId="48E8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14:paraId="494E0FE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4E128C32">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与其他投标供应商的投标文件或部分投标文件相互混装或存在非正常一致。</w:t>
            </w:r>
          </w:p>
        </w:tc>
      </w:tr>
      <w:tr w14:paraId="2B80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DB2800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18B0DA9E">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与其他投标供应商的投标文件由同一单位或者同一人编制，或者使用同一设备编制（“文件制作机器码”“文件创建标识码”一致）。</w:t>
            </w:r>
          </w:p>
        </w:tc>
      </w:tr>
      <w:tr w14:paraId="035D4D2A">
        <w:tblPrEx>
          <w:tblCellMar>
            <w:top w:w="0" w:type="dxa"/>
            <w:left w:w="108" w:type="dxa"/>
            <w:bottom w:w="0" w:type="dxa"/>
            <w:right w:w="108" w:type="dxa"/>
          </w:tblCellMar>
        </w:tblPrEx>
        <w:trPr>
          <w:trHeight w:val="90" w:hRule="atLeast"/>
        </w:trPr>
        <w:tc>
          <w:tcPr>
            <w:tcW w:w="711" w:type="dxa"/>
          </w:tcPr>
          <w:p w14:paraId="3656191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574CEDB1">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提供未经出具机构核实的虚假的检验检测报告、业绩材料、社保缴纳证明、学历学位证书、职称认证证书等材料。</w:t>
            </w:r>
          </w:p>
        </w:tc>
      </w:tr>
      <w:tr w14:paraId="2FEB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DA801B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14BB2F8B">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42719E2F">
      <w:pPr>
        <w:spacing w:before="120" w:beforeLines="50" w:line="380" w:lineRule="exact"/>
        <w:ind w:firstLine="422" w:firstLineChars="200"/>
        <w:rPr>
          <w:rFonts w:ascii="Calibri" w:hAnsi="Calibri"/>
          <w:b/>
        </w:rPr>
      </w:pPr>
      <w:r>
        <w:rPr>
          <w:rFonts w:hint="eastAsia" w:ascii="Calibri" w:hAnsi="Calibri"/>
          <w:b/>
        </w:rPr>
        <w:t>一、我单位已充分知悉“隐瞒真实情况，提供虚假资料”的法定情形，包括但不限于：</w:t>
      </w:r>
    </w:p>
    <w:p w14:paraId="507D06D0">
      <w:pPr>
        <w:spacing w:line="380" w:lineRule="exact"/>
        <w:ind w:firstLine="420" w:firstLineChars="200"/>
        <w:rPr>
          <w:rFonts w:ascii="Calibri" w:hAnsi="Calibri"/>
        </w:rPr>
      </w:pPr>
      <w:r>
        <w:rPr>
          <w:rFonts w:hint="eastAsia" w:ascii="Calibri" w:hAnsi="Calibri"/>
        </w:rPr>
        <w:t>（一）通过转让或者租借等方式从其他单位获取资格或者资质证书投标的。</w:t>
      </w:r>
    </w:p>
    <w:p w14:paraId="362F4E83">
      <w:pPr>
        <w:spacing w:line="380" w:lineRule="exact"/>
        <w:ind w:firstLine="420" w:firstLineChars="200"/>
        <w:rPr>
          <w:rFonts w:ascii="Calibri" w:hAnsi="Calibri"/>
        </w:rPr>
      </w:pPr>
      <w:r>
        <w:rPr>
          <w:rFonts w:hint="eastAsia" w:ascii="Calibri" w:hAnsi="Calibri"/>
        </w:rPr>
        <w:t>（二）由其他单位或者其他单位负责人在投标供应商编制的投标文件上加盖印章或者签字的。</w:t>
      </w:r>
    </w:p>
    <w:p w14:paraId="2B44BDA1">
      <w:pPr>
        <w:spacing w:line="380" w:lineRule="exact"/>
        <w:ind w:firstLine="420" w:firstLineChars="200"/>
        <w:rPr>
          <w:rFonts w:ascii="Calibri" w:hAnsi="Calibri"/>
        </w:rPr>
      </w:pPr>
      <w:r>
        <w:rPr>
          <w:rFonts w:hint="eastAsia" w:ascii="Calibri" w:hAnsi="Calibri"/>
        </w:rPr>
        <w:t>（三）项目负责人或者主要技术人员不是本单位人员的。</w:t>
      </w:r>
    </w:p>
    <w:p w14:paraId="26D56EB4">
      <w:pPr>
        <w:spacing w:line="380" w:lineRule="exact"/>
        <w:ind w:firstLine="420" w:firstLineChars="200"/>
        <w:rPr>
          <w:rFonts w:ascii="Calibri" w:hAnsi="Calibri"/>
        </w:rPr>
      </w:pPr>
      <w:r>
        <w:rPr>
          <w:rFonts w:hint="eastAsia" w:ascii="Calibri" w:hAnsi="Calibri"/>
        </w:rPr>
        <w:t>（四）投标保证金不是从投标供应商基本账户转出的。</w:t>
      </w:r>
    </w:p>
    <w:p w14:paraId="24D40778">
      <w:pPr>
        <w:spacing w:line="380" w:lineRule="exact"/>
        <w:ind w:firstLine="420" w:firstLineChars="200"/>
        <w:rPr>
          <w:rFonts w:ascii="Calibri" w:hAnsi="Calibri"/>
        </w:rPr>
      </w:pPr>
      <w:r>
        <w:rPr>
          <w:rFonts w:hint="eastAsia" w:ascii="Calibri" w:hAnsi="Calibri"/>
        </w:rPr>
        <w:t>（五）其他隐瞒真实情况、提供虚假资料的行为。</w:t>
      </w:r>
    </w:p>
    <w:p w14:paraId="3BE2E3FC">
      <w:pPr>
        <w:spacing w:line="380" w:lineRule="exact"/>
        <w:ind w:firstLine="422" w:firstLineChars="200"/>
        <w:rPr>
          <w:rFonts w:ascii="Calibri" w:hAnsi="Calibri"/>
          <w:b/>
        </w:rPr>
      </w:pPr>
      <w:r>
        <w:rPr>
          <w:rFonts w:hint="eastAsia" w:ascii="Calibri" w:hAnsi="Calibri"/>
          <w:b/>
        </w:rPr>
        <w:t>二、我单位已充分知悉“与其他采购参加人串通投标”的法定情形，包括但不限于：</w:t>
      </w:r>
    </w:p>
    <w:p w14:paraId="74D13FF1">
      <w:pPr>
        <w:spacing w:line="380" w:lineRule="exact"/>
        <w:ind w:firstLine="420" w:firstLineChars="200"/>
        <w:rPr>
          <w:rFonts w:ascii="Calibri" w:hAnsi="Calibri"/>
        </w:rPr>
      </w:pPr>
      <w:r>
        <w:rPr>
          <w:rFonts w:hint="eastAsia" w:ascii="Calibri" w:hAnsi="Calibri"/>
        </w:rPr>
        <w:t>（一）投标供应商之间相互约定给予未中标的供应商利益补偿。</w:t>
      </w:r>
    </w:p>
    <w:p w14:paraId="1864577D">
      <w:pPr>
        <w:spacing w:line="380" w:lineRule="exact"/>
        <w:ind w:firstLine="420" w:firstLineChars="200"/>
        <w:rPr>
          <w:rFonts w:ascii="Calibri" w:hAnsi="Calibri"/>
        </w:rPr>
      </w:pPr>
      <w:r>
        <w:rPr>
          <w:rFonts w:hint="eastAsia" w:ascii="Calibri" w:hAnsi="Calibri"/>
        </w:rPr>
        <w:t>（二）不同投标供应商的法定代表人、主要经营负责人、项目投标授权代表人、项目负责人、主要技术人员为同一人、属同一单位或者在同一单位缴纳社会保险。</w:t>
      </w:r>
    </w:p>
    <w:p w14:paraId="7BF8AFF4">
      <w:pPr>
        <w:spacing w:line="340" w:lineRule="exact"/>
        <w:ind w:firstLine="420" w:firstLineChars="200"/>
        <w:rPr>
          <w:rFonts w:ascii="Calibri" w:hAnsi="Calibri"/>
        </w:rPr>
      </w:pPr>
      <w:r>
        <w:rPr>
          <w:rFonts w:hint="eastAsia" w:ascii="Calibri" w:hAnsi="Calibri"/>
        </w:rPr>
        <w:t>（三）不同投标供应商的投标文件由同一单位或者同一人编制，或者由同一人分阶段参与编制的。</w:t>
      </w:r>
    </w:p>
    <w:p w14:paraId="355B571B">
      <w:pPr>
        <w:spacing w:line="340" w:lineRule="exact"/>
        <w:ind w:firstLine="420" w:firstLineChars="200"/>
        <w:rPr>
          <w:rFonts w:ascii="Calibri" w:hAnsi="Calibri"/>
        </w:rPr>
      </w:pPr>
      <w:r>
        <w:rPr>
          <w:rFonts w:hint="eastAsia" w:ascii="Calibri" w:hAnsi="Calibri"/>
        </w:rPr>
        <w:t>（四）不同投标供应商的投标文件或部分投标文件相互混装。</w:t>
      </w:r>
    </w:p>
    <w:p w14:paraId="2AA36C39">
      <w:pPr>
        <w:spacing w:line="340" w:lineRule="exact"/>
        <w:ind w:firstLine="420" w:firstLineChars="200"/>
        <w:rPr>
          <w:rFonts w:ascii="Calibri" w:hAnsi="Calibri"/>
        </w:rPr>
      </w:pPr>
      <w:r>
        <w:rPr>
          <w:rFonts w:hint="eastAsia" w:ascii="Calibri" w:hAnsi="Calibri"/>
        </w:rPr>
        <w:t>（五）不同投标供应商的投标文件内容存在非正常一致。</w:t>
      </w:r>
    </w:p>
    <w:p w14:paraId="1CE77DD9">
      <w:pPr>
        <w:spacing w:line="340" w:lineRule="exact"/>
        <w:ind w:firstLine="420" w:firstLineChars="200"/>
        <w:rPr>
          <w:rFonts w:ascii="Calibri" w:hAnsi="Calibri"/>
        </w:rPr>
      </w:pPr>
      <w:r>
        <w:rPr>
          <w:rFonts w:hint="eastAsia" w:ascii="Calibri" w:hAnsi="Calibri"/>
        </w:rPr>
        <w:t>（六）由同一单位工作人员为两家以上（含两家）供应商进行同一项投标活动的。</w:t>
      </w:r>
    </w:p>
    <w:p w14:paraId="79403FBA">
      <w:pPr>
        <w:spacing w:line="340" w:lineRule="exact"/>
        <w:ind w:firstLine="420" w:firstLineChars="200"/>
        <w:rPr>
          <w:rFonts w:ascii="Calibri" w:hAnsi="Calibri"/>
        </w:rPr>
      </w:pPr>
      <w:r>
        <w:rPr>
          <w:rFonts w:hint="eastAsia" w:ascii="Calibri" w:hAnsi="Calibri"/>
        </w:rPr>
        <w:t>（七）不同投标人的投标报价呈规律性差异。</w:t>
      </w:r>
    </w:p>
    <w:p w14:paraId="55A77109">
      <w:pPr>
        <w:spacing w:line="340" w:lineRule="exact"/>
        <w:ind w:firstLine="420" w:firstLineChars="200"/>
        <w:rPr>
          <w:rFonts w:ascii="Calibri" w:hAnsi="Calibri"/>
        </w:rPr>
      </w:pPr>
      <w:r>
        <w:rPr>
          <w:rFonts w:hint="eastAsia" w:ascii="Calibri" w:hAnsi="Calibri"/>
        </w:rPr>
        <w:t>（八）不同投标人的投标保证金从同一单位或者个人的账户转出。</w:t>
      </w:r>
    </w:p>
    <w:p w14:paraId="33DAA68B">
      <w:pPr>
        <w:spacing w:line="340" w:lineRule="exact"/>
        <w:ind w:firstLine="420" w:firstLineChars="200"/>
        <w:rPr>
          <w:rFonts w:ascii="Calibri" w:hAnsi="Calibri"/>
        </w:rPr>
      </w:pPr>
      <w:r>
        <w:rPr>
          <w:rFonts w:hint="eastAsia" w:ascii="Calibri" w:hAnsi="Calibri"/>
        </w:rPr>
        <w:t>（九）主管部门依照法律、法规认定的其他情形。</w:t>
      </w:r>
    </w:p>
    <w:p w14:paraId="661120DF">
      <w:pPr>
        <w:spacing w:line="340" w:lineRule="exact"/>
        <w:ind w:firstLine="422" w:firstLineChars="200"/>
        <w:rPr>
          <w:rFonts w:ascii="Calibri" w:hAnsi="Calibri"/>
          <w:b/>
        </w:rPr>
      </w:pPr>
      <w:r>
        <w:rPr>
          <w:rFonts w:hint="eastAsia" w:ascii="Calibri" w:hAnsi="Calibri"/>
          <w:b/>
        </w:rPr>
        <w:t>三、我单位已充分知悉下列情形存在法律风险，在投标前已对相关风险事项进行排查。</w:t>
      </w:r>
    </w:p>
    <w:p w14:paraId="77550B28">
      <w:pPr>
        <w:spacing w:line="340" w:lineRule="exact"/>
        <w:ind w:firstLine="420" w:firstLineChars="200"/>
        <w:rPr>
          <w:rFonts w:ascii="Calibri" w:hAnsi="Calibri"/>
          <w:b/>
        </w:rPr>
      </w:pPr>
      <w:r>
        <w:rPr>
          <w:rFonts w:hint="eastAsia" w:ascii="Calibri" w:hAnsi="Calibri"/>
        </w:rPr>
        <w:t>（一）对于从其他主体获取的投标资料，我单位应审慎核查，确保其真实性。</w:t>
      </w:r>
      <w:r>
        <w:rPr>
          <w:rFonts w:hint="eastAsia" w:ascii="Calibri" w:hAnsi="Calibri"/>
          <w:b/>
        </w:rPr>
        <w:t>如主管部门查实投标文件中存在虚假资料的，无论相关资料是否由第三方或本公司员工提供，均不影响主管部门对供应商存在“隐瞒真实情况，提供虚假资料”违法行为的认定。</w:t>
      </w:r>
    </w:p>
    <w:p w14:paraId="372D2775">
      <w:pPr>
        <w:spacing w:line="340" w:lineRule="exact"/>
        <w:ind w:firstLine="420" w:firstLineChars="200"/>
        <w:rPr>
          <w:rFonts w:ascii="Calibri" w:hAnsi="Calibri"/>
        </w:rPr>
      </w:pPr>
      <w:r>
        <w:rPr>
          <w:rFonts w:hint="eastAsia" w:ascii="Calibri" w:hAnsi="Calibri"/>
        </w:rPr>
        <w:t>（二）对于涉及国家机关出具的公文、证件、证明材料等文件，一旦涉嫌虚假，经查实，主管部门将依法从严处理，并移送有关部门追究法律责任；涉嫌犯罪的，移送司法机关处理。</w:t>
      </w:r>
    </w:p>
    <w:p w14:paraId="466A3F67">
      <w:pPr>
        <w:spacing w:line="340" w:lineRule="exact"/>
        <w:ind w:firstLine="420" w:firstLineChars="200"/>
        <w:rPr>
          <w:rFonts w:ascii="Calibri" w:hAnsi="Calibri"/>
        </w:rPr>
      </w:pPr>
      <w:r>
        <w:rPr>
          <w:rFonts w:hint="eastAsia" w:ascii="Calibri" w:hAnsi="Calibri"/>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b/>
          <w:bCs/>
        </w:rPr>
        <w:t>擅自将投标密钥或电子营业执照出借他人使用所造成的法律后果，由我单位自行承担</w:t>
      </w:r>
      <w:r>
        <w:rPr>
          <w:rFonts w:hint="eastAsia" w:ascii="Calibri" w:hAnsi="Calibri"/>
        </w:rPr>
        <w:t>。</w:t>
      </w:r>
    </w:p>
    <w:p w14:paraId="053FB727">
      <w:pPr>
        <w:spacing w:line="340" w:lineRule="exact"/>
        <w:ind w:firstLine="422" w:firstLineChars="200"/>
        <w:rPr>
          <w:rFonts w:ascii="Calibri" w:hAnsi="Calibri"/>
          <w:b/>
        </w:rPr>
      </w:pPr>
      <w:r>
        <w:rPr>
          <w:rFonts w:hint="eastAsia" w:ascii="Calibri" w:hAnsi="Calibri"/>
          <w:b/>
        </w:rPr>
        <w:t>四、我单位已充分知悉政府采购违法、违规行为的法律后果。</w:t>
      </w:r>
    </w:p>
    <w:p w14:paraId="3CE6140D">
      <w:pPr>
        <w:spacing w:line="340" w:lineRule="exact"/>
        <w:ind w:firstLine="420" w:firstLineChars="200"/>
        <w:rPr>
          <w:rFonts w:ascii="Calibri" w:hAnsi="Calibri"/>
        </w:rPr>
      </w:pPr>
      <w:r>
        <w:rPr>
          <w:rFonts w:hint="eastAsia" w:ascii="Calibri" w:hAnsi="Calibri"/>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BBAD20C">
      <w:pPr>
        <w:spacing w:line="340" w:lineRule="exact"/>
        <w:ind w:firstLine="420" w:firstLineChars="200"/>
        <w:rPr>
          <w:rFonts w:ascii="Calibri" w:hAnsi="Calibri"/>
        </w:rPr>
      </w:pPr>
      <w:r>
        <w:rPr>
          <w:rFonts w:hint="eastAsia" w:ascii="Calibri" w:hAnsi="Calibri"/>
        </w:rPr>
        <w:t>以下文字请投标供应商抄写并确认：“我单位已仔细阅读《政府采购违法行为风险知悉确认书》，充分知悉违法行为的法律后果，并承诺将严谨、诚信、依法依规参与政府采购活动”。</w:t>
      </w:r>
    </w:p>
    <w:tbl>
      <w:tblPr>
        <w:tblStyle w:val="8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6D493BA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8E7BF4A">
            <w:pPr>
              <w:autoSpaceDE w:val="0"/>
              <w:autoSpaceDN w:val="0"/>
              <w:spacing w:line="340" w:lineRule="exact"/>
              <w:ind w:firstLine="1866"/>
              <w:rPr>
                <w:rFonts w:ascii="宋体" w:hAnsi="宋体"/>
                <w:spacing w:val="-4"/>
                <w:kern w:val="0"/>
                <w:szCs w:val="21"/>
              </w:rPr>
            </w:pPr>
          </w:p>
        </w:tc>
      </w:tr>
      <w:tr w14:paraId="6328DC2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45AA8A5">
            <w:pPr>
              <w:autoSpaceDE w:val="0"/>
              <w:autoSpaceDN w:val="0"/>
              <w:spacing w:line="340" w:lineRule="exact"/>
              <w:ind w:firstLine="1866"/>
              <w:rPr>
                <w:rFonts w:ascii="宋体" w:hAnsi="宋体"/>
                <w:spacing w:val="-4"/>
                <w:kern w:val="0"/>
                <w:szCs w:val="21"/>
              </w:rPr>
            </w:pPr>
          </w:p>
        </w:tc>
      </w:tr>
      <w:tr w14:paraId="68DEEBC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8078300">
            <w:pPr>
              <w:autoSpaceDE w:val="0"/>
              <w:autoSpaceDN w:val="0"/>
              <w:spacing w:line="340" w:lineRule="exact"/>
              <w:ind w:firstLine="1866"/>
              <w:rPr>
                <w:rFonts w:ascii="宋体" w:hAnsi="宋体"/>
                <w:spacing w:val="-4"/>
                <w:kern w:val="0"/>
                <w:szCs w:val="21"/>
              </w:rPr>
            </w:pPr>
          </w:p>
        </w:tc>
      </w:tr>
      <w:tr w14:paraId="4EC631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159D62DB">
            <w:pPr>
              <w:autoSpaceDE w:val="0"/>
              <w:autoSpaceDN w:val="0"/>
              <w:spacing w:line="340" w:lineRule="exact"/>
              <w:ind w:firstLine="1866"/>
              <w:rPr>
                <w:rFonts w:ascii="宋体" w:hAnsi="宋体"/>
                <w:spacing w:val="-4"/>
                <w:kern w:val="0"/>
                <w:szCs w:val="21"/>
              </w:rPr>
            </w:pPr>
          </w:p>
        </w:tc>
      </w:tr>
    </w:tbl>
    <w:p w14:paraId="6F2A03AA">
      <w:pPr>
        <w:widowControl/>
        <w:wordWrap w:val="0"/>
        <w:autoSpaceDE w:val="0"/>
        <w:autoSpaceDN w:val="0"/>
        <w:spacing w:line="340" w:lineRule="exact"/>
        <w:ind w:right="808" w:firstLine="404" w:firstLineChars="200"/>
        <w:jc w:val="right"/>
        <w:rPr>
          <w:rFonts w:ascii="宋体" w:hAnsi="宋体"/>
          <w:spacing w:val="-4"/>
          <w:kern w:val="0"/>
          <w:szCs w:val="21"/>
        </w:rPr>
      </w:pPr>
    </w:p>
    <w:p w14:paraId="119118A9">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highlight w:val="yellow"/>
        </w:rPr>
        <w:t>单位负责人签名：</w:t>
      </w:r>
      <w:r>
        <w:rPr>
          <w:rFonts w:hint="eastAsia" w:ascii="宋体" w:hAnsi="宋体"/>
          <w:spacing w:val="-4"/>
          <w:kern w:val="0"/>
          <w:szCs w:val="21"/>
          <w:u w:val="single"/>
        </w:rPr>
        <w:t xml:space="preserve">              </w:t>
      </w:r>
    </w:p>
    <w:p w14:paraId="33A3DB80">
      <w:pPr>
        <w:widowControl/>
        <w:wordWrap w:val="0"/>
        <w:autoSpaceDE w:val="0"/>
        <w:autoSpaceDN w:val="0"/>
        <w:spacing w:line="340" w:lineRule="exact"/>
        <w:ind w:right="808" w:firstLine="404" w:firstLineChars="200"/>
        <w:jc w:val="center"/>
        <w:rPr>
          <w:rFonts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highlight w:val="yellow"/>
        </w:rPr>
        <w:t>（加盖公章）</w:t>
      </w:r>
    </w:p>
    <w:p w14:paraId="2D80A6D5">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7C12056B">
      <w:pPr>
        <w:widowControl/>
        <w:autoSpaceDE w:val="0"/>
        <w:autoSpaceDN w:val="0"/>
        <w:spacing w:line="340" w:lineRule="exact"/>
        <w:ind w:firstLine="406" w:firstLineChars="200"/>
        <w:jc w:val="left"/>
        <w:rPr>
          <w:rFonts w:ascii="宋体" w:hAnsi="宋体"/>
          <w:b/>
          <w:bCs/>
          <w:spacing w:val="-4"/>
          <w:kern w:val="0"/>
          <w:szCs w:val="21"/>
        </w:rPr>
      </w:pPr>
    </w:p>
    <w:p w14:paraId="3874BF37">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6B195AA2">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21EAB890">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4E9AD1AA">
      <w:pPr>
        <w:widowControl/>
        <w:wordWrap w:val="0"/>
        <w:autoSpaceDE w:val="0"/>
        <w:autoSpaceDN w:val="0"/>
        <w:spacing w:line="400" w:lineRule="exact"/>
        <w:ind w:right="1414" w:firstLine="404" w:firstLineChars="200"/>
        <w:jc w:val="right"/>
        <w:rPr>
          <w:kern w:val="0"/>
          <w:sz w:val="24"/>
        </w:rPr>
      </w:pPr>
      <w:r>
        <w:rPr>
          <w:rFonts w:hint="eastAsia" w:ascii="宋体" w:hAnsi="宋体"/>
          <w:spacing w:val="-4"/>
          <w:kern w:val="0"/>
          <w:szCs w:val="21"/>
        </w:rPr>
        <w:t xml:space="preserve">     </w:t>
      </w:r>
    </w:p>
    <w:p w14:paraId="1C4AEC09">
      <w:pPr>
        <w:pStyle w:val="32"/>
      </w:pPr>
    </w:p>
    <w:p w14:paraId="2073065B">
      <w:pPr>
        <w:pStyle w:val="32"/>
      </w:pPr>
    </w:p>
    <w:p w14:paraId="2B7B8882">
      <w:pPr>
        <w:widowControl/>
        <w:jc w:val="center"/>
        <w:rPr>
          <w:rFonts w:ascii="黑体" w:hAnsi="宋体" w:eastAsia="黑体"/>
          <w:kern w:val="0"/>
          <w:sz w:val="24"/>
          <w:szCs w:val="20"/>
        </w:rPr>
      </w:pPr>
      <w:r>
        <w:rPr>
          <w:rFonts w:hint="eastAsia" w:ascii="黑体" w:hAnsi="宋体" w:eastAsia="黑体"/>
          <w:kern w:val="0"/>
          <w:sz w:val="24"/>
          <w:szCs w:val="20"/>
        </w:rPr>
        <w:t>（二）投标供应商认为需要加以说明的其他内容（格式自定）</w:t>
      </w:r>
    </w:p>
    <w:p w14:paraId="5D296623">
      <w:pPr>
        <w:pStyle w:val="32"/>
      </w:pPr>
    </w:p>
    <w:p w14:paraId="6998A7F1">
      <w:pPr>
        <w:pStyle w:val="32"/>
        <w:ind w:left="0" w:leftChars="0" w:firstLine="0" w:firstLineChars="0"/>
      </w:pPr>
    </w:p>
    <w:p w14:paraId="0AF3E0A4"/>
    <w:p w14:paraId="296C8C17">
      <w:pPr>
        <w:widowControl/>
        <w:jc w:val="left"/>
      </w:pPr>
      <w:r>
        <w:br w:type="page"/>
      </w:r>
    </w:p>
    <w:p w14:paraId="09B11120">
      <w:pPr>
        <w:pStyle w:val="6"/>
        <w:rPr>
          <w:kern w:val="2"/>
        </w:rPr>
      </w:pPr>
      <w:bookmarkStart w:id="30" w:name="_Toc194467284"/>
      <w:r>
        <w:rPr>
          <w:rFonts w:hint="eastAsia"/>
          <w:kern w:val="2"/>
        </w:rPr>
        <w:t>第二章</w:t>
      </w:r>
      <w:r>
        <w:rPr>
          <w:kern w:val="2"/>
        </w:rPr>
        <w:t xml:space="preserve"> </w:t>
      </w:r>
      <w:r>
        <w:rPr>
          <w:rFonts w:hint="eastAsia"/>
          <w:kern w:val="2"/>
        </w:rPr>
        <w:t xml:space="preserve"> 合同格式（详询采购单位）</w:t>
      </w:r>
      <w:bookmarkEnd w:id="30"/>
      <w:r>
        <w:rPr>
          <w:kern w:val="2"/>
        </w:rPr>
        <w:t xml:space="preserve"> </w:t>
      </w:r>
    </w:p>
    <w:p w14:paraId="67837321">
      <w:pPr>
        <w:widowControl/>
        <w:jc w:val="left"/>
      </w:pPr>
      <w:r>
        <w:br w:type="page"/>
      </w:r>
    </w:p>
    <w:p w14:paraId="5A8E4B33">
      <w:pPr>
        <w:pStyle w:val="3"/>
      </w:pPr>
      <w:bookmarkStart w:id="31" w:name="bt授予合同"/>
      <w:bookmarkEnd w:id="31"/>
      <w:bookmarkStart w:id="32" w:name="bt投标须知"/>
      <w:bookmarkEnd w:id="32"/>
      <w:bookmarkStart w:id="33" w:name="bt总则"/>
      <w:bookmarkEnd w:id="33"/>
      <w:bookmarkStart w:id="34" w:name="bt投标文件的编制"/>
      <w:bookmarkEnd w:id="34"/>
      <w:bookmarkStart w:id="35" w:name="bt开标与评标"/>
      <w:bookmarkEnd w:id="35"/>
      <w:bookmarkStart w:id="36" w:name="bt投标须知前附表"/>
      <w:bookmarkEnd w:id="36"/>
      <w:bookmarkStart w:id="37" w:name="bt图纸"/>
      <w:bookmarkEnd w:id="37"/>
      <w:bookmarkStart w:id="38" w:name="bt招标文件"/>
      <w:bookmarkEnd w:id="38"/>
      <w:bookmarkStart w:id="39" w:name="OLE_LINK26"/>
      <w:bookmarkStart w:id="40" w:name="_Toc73517640"/>
      <w:bookmarkStart w:id="41" w:name="_Toc73521636"/>
      <w:bookmarkStart w:id="42" w:name="_Toc100052365"/>
      <w:bookmarkStart w:id="43" w:name="_Toc73518118"/>
      <w:bookmarkStart w:id="44" w:name="_Toc73521548"/>
      <w:bookmarkStart w:id="45" w:name="_Toc101074877"/>
      <w:bookmarkStart w:id="46" w:name="_Toc194467300"/>
      <w:r>
        <w:rPr>
          <w:rFonts w:hint="eastAsia"/>
        </w:rPr>
        <w:t>第三册  投标供应商须知</w:t>
      </w:r>
    </w:p>
    <w:bookmarkEnd w:id="39"/>
    <w:p w14:paraId="5C782CA3">
      <w:pPr>
        <w:pStyle w:val="6"/>
      </w:pPr>
      <w:r>
        <w:rPr>
          <w:rFonts w:hint="eastAsia"/>
        </w:rPr>
        <w:t>第一章 总则</w:t>
      </w:r>
      <w:bookmarkEnd w:id="40"/>
      <w:bookmarkEnd w:id="41"/>
      <w:bookmarkEnd w:id="42"/>
      <w:bookmarkEnd w:id="43"/>
      <w:bookmarkEnd w:id="44"/>
      <w:bookmarkEnd w:id="45"/>
      <w:bookmarkEnd w:id="46"/>
    </w:p>
    <w:p w14:paraId="0879E3FD">
      <w:pPr>
        <w:spacing w:line="360" w:lineRule="auto"/>
        <w:rPr>
          <w:rFonts w:ascii="黑体" w:hAnsi="宋体" w:eastAsia="黑体"/>
          <w:sz w:val="24"/>
        </w:rPr>
      </w:pPr>
      <w:bookmarkStart w:id="47" w:name="_Toc60560627"/>
      <w:bookmarkStart w:id="48" w:name="_Toc73521637"/>
      <w:bookmarkStart w:id="49" w:name="_Toc73521549"/>
      <w:bookmarkStart w:id="50" w:name="_Toc73518119"/>
      <w:bookmarkStart w:id="51" w:name="_Toc73517641"/>
      <w:bookmarkStart w:id="52" w:name="_Toc60631622"/>
      <w:bookmarkStart w:id="53" w:name="_Toc100052366"/>
      <w:r>
        <w:rPr>
          <w:rFonts w:ascii="黑体" w:hAnsi="宋体" w:eastAsia="黑体"/>
          <w:sz w:val="24"/>
        </w:rPr>
        <w:t>1．</w:t>
      </w:r>
      <w:r>
        <w:rPr>
          <w:rFonts w:hint="eastAsia" w:ascii="黑体" w:hAnsi="宋体" w:eastAsia="黑体"/>
          <w:sz w:val="24"/>
        </w:rPr>
        <w:t>招标说明</w:t>
      </w:r>
      <w:bookmarkEnd w:id="47"/>
      <w:bookmarkEnd w:id="48"/>
      <w:bookmarkEnd w:id="49"/>
      <w:bookmarkEnd w:id="50"/>
      <w:bookmarkEnd w:id="51"/>
      <w:bookmarkEnd w:id="52"/>
      <w:bookmarkEnd w:id="53"/>
    </w:p>
    <w:p w14:paraId="025283BD">
      <w:pPr>
        <w:ind w:firstLine="411" w:firstLineChars="196"/>
        <w:rPr>
          <w:rFonts w:ascii="宋体" w:hAnsi="宋体"/>
          <w:szCs w:val="21"/>
        </w:rPr>
      </w:pPr>
      <w:r>
        <w:rPr>
          <w:rFonts w:hint="eastAsia" w:ascii="宋体" w:hAnsi="宋体"/>
          <w:szCs w:val="21"/>
        </w:rPr>
        <w:t>本项目参照《深圳经济特区政府采购条例》及其实施细则等有关文件的规定，通过</w:t>
      </w:r>
      <w:r>
        <w:rPr>
          <w:rStyle w:val="39"/>
          <w:rFonts w:hint="eastAsia"/>
        </w:rPr>
        <w:t>评审定标</w:t>
      </w:r>
      <w:r>
        <w:rPr>
          <w:rFonts w:hint="eastAsia"/>
          <w:szCs w:val="21"/>
        </w:rPr>
        <w:t>方式确定成交供应商</w:t>
      </w:r>
      <w:r>
        <w:rPr>
          <w:rStyle w:val="39"/>
          <w:rFonts w:hint="eastAsia"/>
        </w:rPr>
        <w:t>。</w:t>
      </w:r>
    </w:p>
    <w:p w14:paraId="20E55FAF">
      <w:pPr>
        <w:spacing w:line="360" w:lineRule="auto"/>
        <w:rPr>
          <w:rFonts w:ascii="黑体" w:hAnsi="宋体" w:eastAsia="黑体"/>
          <w:sz w:val="24"/>
        </w:rPr>
      </w:pPr>
      <w:bookmarkStart w:id="54" w:name="_Toc60631623"/>
      <w:bookmarkStart w:id="55" w:name="_Toc73521638"/>
      <w:bookmarkStart w:id="56" w:name="_Toc60560628"/>
      <w:bookmarkStart w:id="57" w:name="_Toc73518120"/>
      <w:bookmarkStart w:id="58" w:name="_Toc100052367"/>
      <w:bookmarkStart w:id="59" w:name="_Toc73517642"/>
      <w:bookmarkStart w:id="60" w:name="_Toc73521550"/>
      <w:r>
        <w:rPr>
          <w:rFonts w:ascii="黑体" w:hAnsi="宋体" w:eastAsia="黑体"/>
          <w:sz w:val="24"/>
        </w:rPr>
        <w:t>2</w:t>
      </w:r>
      <w:r>
        <w:rPr>
          <w:rFonts w:hint="eastAsia" w:ascii="黑体" w:hAnsi="宋体" w:eastAsia="黑体"/>
          <w:sz w:val="24"/>
        </w:rPr>
        <w:t>．定义</w:t>
      </w:r>
      <w:bookmarkEnd w:id="54"/>
      <w:bookmarkEnd w:id="55"/>
      <w:bookmarkEnd w:id="56"/>
      <w:bookmarkEnd w:id="57"/>
      <w:bookmarkEnd w:id="58"/>
      <w:bookmarkEnd w:id="59"/>
      <w:bookmarkEnd w:id="60"/>
    </w:p>
    <w:p w14:paraId="67435341">
      <w:pPr>
        <w:ind w:firstLine="420" w:firstLineChars="200"/>
        <w:rPr>
          <w:rFonts w:ascii="宋体" w:hAnsi="宋体"/>
          <w:szCs w:val="21"/>
        </w:rPr>
      </w:pPr>
      <w:r>
        <w:rPr>
          <w:rFonts w:ascii="宋体" w:hAnsi="宋体"/>
          <w:szCs w:val="21"/>
        </w:rPr>
        <w:t>招标文件中下列术语应解释为：</w:t>
      </w:r>
    </w:p>
    <w:p w14:paraId="2295E5A7">
      <w:pPr>
        <w:ind w:firstLine="411" w:firstLineChars="196"/>
        <w:rPr>
          <w:rFonts w:ascii="宋体" w:hAnsi="宋体"/>
          <w:szCs w:val="21"/>
        </w:rPr>
      </w:pPr>
      <w:r>
        <w:rPr>
          <w:rFonts w:ascii="宋体" w:hAnsi="宋体"/>
          <w:szCs w:val="21"/>
        </w:rPr>
        <w:t>2</w:t>
      </w:r>
      <w:r>
        <w:rPr>
          <w:rFonts w:hint="eastAsia" w:ascii="宋体" w:hAnsi="宋体"/>
          <w:szCs w:val="21"/>
        </w:rPr>
        <w:t>.1“日期”</w:t>
      </w:r>
      <w:r>
        <w:rPr>
          <w:rFonts w:ascii="宋体" w:hAnsi="宋体"/>
          <w:szCs w:val="21"/>
        </w:rPr>
        <w:t>指</w:t>
      </w:r>
      <w:r>
        <w:rPr>
          <w:rFonts w:hint="eastAsia" w:ascii="宋体" w:hAnsi="宋体"/>
          <w:szCs w:val="21"/>
        </w:rPr>
        <w:t>公历日；</w:t>
      </w:r>
    </w:p>
    <w:p w14:paraId="1C81CB39">
      <w:pPr>
        <w:ind w:firstLine="411" w:firstLineChars="196"/>
        <w:rPr>
          <w:rFonts w:ascii="宋体" w:hAnsi="宋体"/>
          <w:szCs w:val="21"/>
        </w:rPr>
      </w:pPr>
      <w:r>
        <w:rPr>
          <w:rFonts w:hint="eastAsia" w:ascii="宋体" w:hAnsi="宋体"/>
          <w:szCs w:val="21"/>
        </w:rPr>
        <w:t>2.2“</w:t>
      </w:r>
      <w:r>
        <w:rPr>
          <w:rFonts w:hint="eastAsia"/>
        </w:rPr>
        <w:t>招标文件</w:t>
      </w:r>
      <w:r>
        <w:rPr>
          <w:rFonts w:hint="eastAsia" w:ascii="宋体" w:hAnsi="宋体"/>
          <w:szCs w:val="21"/>
        </w:rPr>
        <w:t>”指采购文件；</w:t>
      </w:r>
    </w:p>
    <w:p w14:paraId="5F380F6C">
      <w:pPr>
        <w:ind w:firstLine="411" w:firstLineChars="196"/>
        <w:rPr>
          <w:rFonts w:ascii="宋体" w:hAnsi="宋体"/>
          <w:szCs w:val="21"/>
        </w:rPr>
      </w:pPr>
      <w:r>
        <w:rPr>
          <w:rFonts w:ascii="宋体" w:hAnsi="宋体"/>
          <w:szCs w:val="21"/>
        </w:rPr>
        <w:t>2.</w:t>
      </w:r>
      <w:r>
        <w:rPr>
          <w:rFonts w:hint="eastAsia" w:ascii="宋体" w:hAnsi="宋体"/>
          <w:szCs w:val="21"/>
        </w:rPr>
        <w:t>3“应答文件”指投标文件；</w:t>
      </w:r>
    </w:p>
    <w:p w14:paraId="6B847CEA">
      <w:pPr>
        <w:ind w:firstLine="411" w:firstLineChars="196"/>
        <w:rPr>
          <w:rFonts w:ascii="宋体" w:hAnsi="宋体"/>
          <w:szCs w:val="21"/>
        </w:rPr>
      </w:pPr>
      <w:r>
        <w:rPr>
          <w:rFonts w:hint="eastAsia" w:ascii="宋体" w:hAnsi="宋体"/>
          <w:szCs w:val="21"/>
        </w:rPr>
        <w:t>2.4 “成交”指中标；</w:t>
      </w:r>
    </w:p>
    <w:p w14:paraId="3E949B22">
      <w:pPr>
        <w:ind w:firstLine="411" w:firstLineChars="196"/>
        <w:rPr>
          <w:rFonts w:ascii="宋体" w:hAnsi="宋体"/>
          <w:szCs w:val="21"/>
        </w:rPr>
      </w:pPr>
      <w:r>
        <w:rPr>
          <w:rFonts w:hint="eastAsia" w:ascii="宋体" w:hAnsi="宋体"/>
          <w:szCs w:val="21"/>
        </w:rPr>
        <w:t>2.5“合同”指由本次招标所产生的合同或合约文件；</w:t>
      </w:r>
    </w:p>
    <w:p w14:paraId="53B1A8C2">
      <w:pPr>
        <w:ind w:firstLine="411" w:firstLineChars="196"/>
        <w:rPr>
          <w:rFonts w:ascii="宋体" w:hAnsi="宋体"/>
          <w:szCs w:val="21"/>
        </w:rPr>
      </w:pPr>
      <w:r>
        <w:rPr>
          <w:rFonts w:ascii="宋体" w:hAnsi="宋体"/>
          <w:szCs w:val="21"/>
        </w:rPr>
        <w:t>2.</w:t>
      </w:r>
      <w:r>
        <w:rPr>
          <w:rFonts w:hint="eastAsia" w:ascii="宋体" w:hAnsi="宋体"/>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14:paraId="0AEB2305">
      <w:pPr>
        <w:ind w:firstLine="411" w:firstLineChars="196"/>
        <w:rPr>
          <w:rFonts w:ascii="宋体" w:hAnsi="宋体"/>
          <w:szCs w:val="21"/>
        </w:rPr>
      </w:pPr>
      <w:r>
        <w:rPr>
          <w:rFonts w:hint="eastAsia" w:ascii="宋体" w:hAnsi="宋体"/>
          <w:szCs w:val="21"/>
        </w:rPr>
        <w:t>2.7招标文件中的标题或题名仅起引导作用，而不应视为对招标文件内容的理解和解释；</w:t>
      </w:r>
    </w:p>
    <w:p w14:paraId="32A159A3">
      <w:pPr>
        <w:ind w:firstLine="411" w:firstLineChars="196"/>
        <w:rPr>
          <w:rFonts w:ascii="宋体" w:hAnsi="宋体"/>
          <w:szCs w:val="21"/>
        </w:rPr>
      </w:pPr>
      <w:r>
        <w:rPr>
          <w:rFonts w:ascii="宋体" w:hAnsi="宋体"/>
          <w:szCs w:val="21"/>
        </w:rPr>
        <w:t>2.</w:t>
      </w:r>
      <w:r>
        <w:rPr>
          <w:rFonts w:hint="eastAsia" w:ascii="宋体" w:hAnsi="宋体"/>
          <w:szCs w:val="21"/>
        </w:rPr>
        <w:t>8除特别声明外，</w:t>
      </w:r>
      <w:bookmarkStart w:id="61" w:name="OLE_LINK4"/>
      <w:r>
        <w:rPr>
          <w:rFonts w:hint="eastAsia" w:ascii="宋体" w:hAnsi="宋体"/>
          <w:szCs w:val="21"/>
        </w:rPr>
        <w:t>本招标文件所称的网站均指</w:t>
      </w:r>
      <w:bookmarkStart w:id="62" w:name="OLE_LINK2"/>
      <w:r>
        <w:rPr>
          <w:rFonts w:hint="eastAsia" w:ascii="宋体" w:hAnsi="宋体"/>
          <w:szCs w:val="21"/>
        </w:rPr>
        <w:t>深圳交易集团罗湖分公司网站，网址：</w:t>
      </w:r>
      <w:bookmarkStart w:id="63" w:name="OLE_LINK1"/>
      <w:r>
        <w:rPr>
          <w:rFonts w:hint="eastAsia" w:ascii="宋体" w:hAnsi="宋体"/>
          <w:color w:val="FF0000"/>
          <w:szCs w:val="21"/>
        </w:rPr>
        <w:t>https://lh.szexgrp.com/jyfw/zfcg-view.html?id=zfcg</w:t>
      </w:r>
      <w:bookmarkEnd w:id="63"/>
    </w:p>
    <w:bookmarkEnd w:id="61"/>
    <w:bookmarkEnd w:id="62"/>
    <w:p w14:paraId="3E72C6FC">
      <w:pPr>
        <w:spacing w:line="360" w:lineRule="auto"/>
        <w:rPr>
          <w:rFonts w:ascii="黑体" w:hAnsi="宋体" w:eastAsia="黑体"/>
          <w:sz w:val="24"/>
        </w:rPr>
      </w:pPr>
      <w:bookmarkStart w:id="64" w:name="_Toc73517643"/>
      <w:bookmarkStart w:id="65" w:name="_Toc73521551"/>
      <w:bookmarkStart w:id="66" w:name="_Toc73518121"/>
      <w:bookmarkStart w:id="67" w:name="_Toc60560629"/>
      <w:bookmarkStart w:id="68" w:name="_Toc100052368"/>
      <w:bookmarkStart w:id="69" w:name="_Toc73521639"/>
      <w:bookmarkStart w:id="70" w:name="_Toc60631624"/>
      <w:r>
        <w:rPr>
          <w:rFonts w:hint="eastAsia" w:ascii="黑体" w:hAnsi="宋体" w:eastAsia="黑体"/>
          <w:sz w:val="24"/>
        </w:rPr>
        <w:t>3．投标供应商的资质要求</w:t>
      </w:r>
      <w:bookmarkEnd w:id="64"/>
      <w:bookmarkEnd w:id="65"/>
      <w:bookmarkEnd w:id="66"/>
      <w:bookmarkEnd w:id="67"/>
      <w:bookmarkEnd w:id="68"/>
      <w:bookmarkEnd w:id="69"/>
      <w:bookmarkEnd w:id="70"/>
    </w:p>
    <w:p w14:paraId="748A4CB3">
      <w:pPr>
        <w:ind w:firstLine="411" w:firstLineChars="196"/>
        <w:rPr>
          <w:rFonts w:ascii="宋体" w:hAnsi="宋体"/>
          <w:szCs w:val="21"/>
        </w:rPr>
      </w:pPr>
      <w:bookmarkStart w:id="71" w:name="OLE_LINK39"/>
      <w:r>
        <w:rPr>
          <w:rFonts w:hint="eastAsia" w:ascii="宋体" w:hAnsi="宋体"/>
          <w:szCs w:val="21"/>
        </w:rPr>
        <w:t>3</w:t>
      </w:r>
      <w:r>
        <w:rPr>
          <w:rFonts w:ascii="宋体" w:hAnsi="宋体"/>
          <w:szCs w:val="21"/>
        </w:rPr>
        <w:t>.</w:t>
      </w:r>
      <w:r>
        <w:rPr>
          <w:rFonts w:hint="eastAsia" w:ascii="宋体" w:hAnsi="宋体"/>
          <w:szCs w:val="21"/>
        </w:rPr>
        <w:t>1 参加本次投标的投标供应商应满足招标文件规定的资格条件，详</w:t>
      </w:r>
      <w:r>
        <w:rPr>
          <w:rFonts w:hint="eastAsia" w:ascii="宋体" w:hAnsi="宋体"/>
          <w:bCs/>
          <w:szCs w:val="21"/>
        </w:rPr>
        <w:t>见招标公告有关投标供应商资格要求。</w:t>
      </w:r>
    </w:p>
    <w:bookmarkEnd w:id="71"/>
    <w:p w14:paraId="5E14AF7B">
      <w:pPr>
        <w:spacing w:line="360" w:lineRule="auto"/>
        <w:rPr>
          <w:rFonts w:ascii="黑体" w:hAnsi="宋体" w:eastAsia="黑体"/>
          <w:sz w:val="24"/>
        </w:rPr>
      </w:pPr>
      <w:bookmarkStart w:id="72" w:name="_Toc60560631"/>
      <w:bookmarkStart w:id="73" w:name="_Toc73521641"/>
      <w:bookmarkStart w:id="74" w:name="_Toc73518123"/>
      <w:bookmarkStart w:id="75" w:name="_Toc100052370"/>
      <w:bookmarkStart w:id="76" w:name="_Toc73517645"/>
      <w:bookmarkStart w:id="77" w:name="_Toc60631626"/>
      <w:bookmarkStart w:id="78" w:name="_Toc73521553"/>
      <w:r>
        <w:rPr>
          <w:rFonts w:hint="eastAsia" w:ascii="黑体" w:hAnsi="宋体" w:eastAsia="黑体"/>
          <w:sz w:val="24"/>
        </w:rPr>
        <w:t>4．投标费用</w:t>
      </w:r>
      <w:bookmarkEnd w:id="72"/>
      <w:bookmarkEnd w:id="73"/>
      <w:bookmarkEnd w:id="74"/>
      <w:bookmarkEnd w:id="75"/>
      <w:bookmarkEnd w:id="76"/>
      <w:bookmarkEnd w:id="77"/>
      <w:bookmarkEnd w:id="78"/>
    </w:p>
    <w:p w14:paraId="04E1C76A">
      <w:pPr>
        <w:ind w:firstLine="411" w:firstLineChars="196"/>
        <w:rPr>
          <w:rFonts w:ascii="宋体" w:hAnsi="宋体"/>
          <w:szCs w:val="21"/>
        </w:rPr>
      </w:pPr>
      <w:r>
        <w:rPr>
          <w:rFonts w:hint="eastAsia" w:ascii="宋体" w:hAnsi="宋体"/>
        </w:rPr>
        <w:t>不论投标的结果如何，投标</w:t>
      </w:r>
      <w:r>
        <w:rPr>
          <w:rFonts w:hint="eastAsia" w:ascii="宋体" w:hAnsi="宋体"/>
          <w:color w:val="000000"/>
          <w:szCs w:val="21"/>
        </w:rPr>
        <w:t>供应商</w:t>
      </w:r>
      <w:r>
        <w:rPr>
          <w:rFonts w:hint="eastAsia" w:ascii="宋体" w:hAnsi="宋体"/>
        </w:rPr>
        <w:t>应承担所有与准备和参加投标</w:t>
      </w:r>
      <w:r>
        <w:rPr>
          <w:rFonts w:hint="eastAsia" w:ascii="宋体" w:hAnsi="宋体"/>
          <w:szCs w:val="21"/>
        </w:rPr>
        <w:t>(含实物样品)</w:t>
      </w:r>
      <w:r>
        <w:rPr>
          <w:rFonts w:hint="eastAsia" w:ascii="宋体" w:hAnsi="宋体"/>
        </w:rPr>
        <w:t>有关的费用，深圳公共资源交易中心（深圳交易集团有限公司罗湖分公司）和采购单位均无义务、也无责任承担这些费用。</w:t>
      </w:r>
      <w:bookmarkStart w:id="79" w:name="_Toc78260681"/>
      <w:bookmarkStart w:id="80" w:name="_Toc100052372"/>
    </w:p>
    <w:p w14:paraId="77F139E9">
      <w:pPr>
        <w:spacing w:line="360" w:lineRule="auto"/>
        <w:rPr>
          <w:rFonts w:ascii="黑体" w:hAnsi="宋体" w:eastAsia="黑体"/>
          <w:sz w:val="24"/>
        </w:rPr>
      </w:pPr>
      <w:r>
        <w:rPr>
          <w:rFonts w:hint="eastAsia" w:ascii="黑体" w:hAnsi="宋体" w:eastAsia="黑体"/>
          <w:sz w:val="24"/>
        </w:rPr>
        <w:t>5．招标</w:t>
      </w:r>
      <w:bookmarkEnd w:id="79"/>
      <w:r>
        <w:rPr>
          <w:rFonts w:hint="eastAsia" w:ascii="黑体" w:hAnsi="宋体" w:eastAsia="黑体"/>
          <w:sz w:val="24"/>
        </w:rPr>
        <w:t>答疑</w:t>
      </w:r>
      <w:bookmarkEnd w:id="80"/>
      <w:r>
        <w:rPr>
          <w:rFonts w:hint="eastAsia" w:ascii="黑体" w:hAnsi="宋体" w:eastAsia="黑体"/>
          <w:sz w:val="24"/>
        </w:rPr>
        <w:t>、质疑</w:t>
      </w:r>
    </w:p>
    <w:p w14:paraId="0F3D8207">
      <w:pPr>
        <w:ind w:firstLine="411" w:firstLineChars="196"/>
        <w:rPr>
          <w:rFonts w:ascii="宋体" w:hAnsi="宋体"/>
          <w:szCs w:val="21"/>
        </w:rPr>
      </w:pPr>
      <w:r>
        <w:rPr>
          <w:rFonts w:hint="eastAsia" w:ascii="宋体" w:hAnsi="宋体"/>
          <w:szCs w:val="21"/>
        </w:rPr>
        <w:t>5.1招标答疑的目的是澄清、解答投标</w:t>
      </w:r>
      <w:r>
        <w:rPr>
          <w:rFonts w:hint="eastAsia" w:ascii="宋体" w:hAnsi="宋体"/>
          <w:color w:val="000000"/>
          <w:szCs w:val="21"/>
        </w:rPr>
        <w:t>供应商</w:t>
      </w:r>
      <w:r>
        <w:rPr>
          <w:rFonts w:hint="eastAsia" w:ascii="宋体" w:hAnsi="宋体"/>
          <w:szCs w:val="21"/>
        </w:rPr>
        <w:t>在查阅招标文件后可能提出的与投标有关的问题；</w:t>
      </w:r>
    </w:p>
    <w:p w14:paraId="53A3554D">
      <w:pPr>
        <w:ind w:firstLine="411" w:firstLineChars="196"/>
        <w:rPr>
          <w:rFonts w:ascii="宋体" w:hAnsi="宋体"/>
          <w:szCs w:val="21"/>
        </w:rPr>
      </w:pPr>
      <w:r>
        <w:rPr>
          <w:rFonts w:hint="eastAsia" w:ascii="宋体" w:hAnsi="宋体"/>
          <w:szCs w:val="21"/>
        </w:rPr>
        <w:t>5.2投标</w:t>
      </w:r>
      <w:r>
        <w:rPr>
          <w:rFonts w:hint="eastAsia" w:ascii="宋体" w:hAnsi="宋体"/>
          <w:color w:val="000000"/>
          <w:szCs w:val="21"/>
        </w:rPr>
        <w:t>供应商</w:t>
      </w:r>
      <w:r>
        <w:rPr>
          <w:rFonts w:hint="eastAsia" w:ascii="宋体" w:hAnsi="宋体"/>
          <w:szCs w:val="21"/>
        </w:rPr>
        <w:t>提出的与投标有关的问题须在招标文件规定的截止时间前以网上形式提交给深圳公共资源交易中心（深圳交易集团有限公司罗湖分公司）；</w:t>
      </w:r>
    </w:p>
    <w:p w14:paraId="42F099A6">
      <w:pPr>
        <w:ind w:firstLine="420"/>
        <w:rPr>
          <w:rFonts w:ascii="宋体" w:hAnsi="宋体" w:cs="宋体"/>
          <w:kern w:val="0"/>
          <w:szCs w:val="21"/>
        </w:rPr>
      </w:pPr>
      <w:r>
        <w:rPr>
          <w:rFonts w:hint="eastAsia" w:ascii="宋体" w:hAnsi="宋体"/>
          <w:szCs w:val="21"/>
        </w:rPr>
        <w:t>5.3</w:t>
      </w:r>
      <w:r>
        <w:rPr>
          <w:rFonts w:hint="eastAsia" w:ascii="宋体" w:hAnsi="宋体" w:cs="宋体"/>
          <w:kern w:val="0"/>
          <w:szCs w:val="21"/>
        </w:rPr>
        <w:t>供应商如认为招标文件、采购过程、中标或成交结果等采购程序环节存在下列情形使其权益受到损害的，存在限制性、倾向性、其权益受到损害，可以依法向</w:t>
      </w:r>
      <w:r>
        <w:rPr>
          <w:rFonts w:hint="eastAsia" w:ascii="宋体" w:hAnsi="宋体"/>
          <w:szCs w:val="21"/>
        </w:rPr>
        <w:t>深圳公共资源交易中心（深圳交易集团有限公司罗湖分公司）</w:t>
      </w:r>
      <w:r>
        <w:rPr>
          <w:rFonts w:hint="eastAsia" w:ascii="宋体" w:hAnsi="宋体" w:cs="宋体"/>
          <w:kern w:val="0"/>
          <w:szCs w:val="21"/>
        </w:rPr>
        <w:t>以书面形式提出质疑。</w:t>
      </w:r>
    </w:p>
    <w:p w14:paraId="4477CAF7">
      <w:pPr>
        <w:ind w:firstLine="420"/>
        <w:rPr>
          <w:rFonts w:ascii="宋体" w:hAnsi="宋体" w:cs="宋体"/>
          <w:kern w:val="0"/>
          <w:szCs w:val="21"/>
        </w:rPr>
      </w:pPr>
      <w:r>
        <w:rPr>
          <w:rFonts w:hint="eastAsia" w:ascii="宋体" w:hAnsi="宋体"/>
          <w:szCs w:val="21"/>
        </w:rPr>
        <w:t>5.3.1</w:t>
      </w:r>
      <w:r>
        <w:rPr>
          <w:rFonts w:hint="eastAsia" w:ascii="宋体" w:hAnsi="宋体" w:cs="宋体"/>
          <w:kern w:val="0"/>
          <w:szCs w:val="21"/>
        </w:rPr>
        <w:t>供应商应按以下规定时限提出质疑：</w:t>
      </w:r>
    </w:p>
    <w:p w14:paraId="6FA23BE8">
      <w:pPr>
        <w:ind w:firstLine="420"/>
        <w:rPr>
          <w:rFonts w:ascii="宋体" w:hAnsi="宋体" w:cs="宋体"/>
          <w:kern w:val="0"/>
          <w:szCs w:val="21"/>
        </w:rPr>
      </w:pPr>
      <w:r>
        <w:rPr>
          <w:rFonts w:hint="eastAsia" w:ascii="宋体" w:hAnsi="宋体" w:cs="宋体"/>
          <w:kern w:val="0"/>
          <w:szCs w:val="21"/>
        </w:rPr>
        <w:t>（1）对招标（采购）文件的质疑，为招标（采购）公告公示期内；</w:t>
      </w:r>
    </w:p>
    <w:p w14:paraId="04DD1862">
      <w:pPr>
        <w:ind w:firstLine="420"/>
        <w:rPr>
          <w:rFonts w:ascii="宋体" w:hAnsi="宋体" w:cs="宋体"/>
          <w:kern w:val="0"/>
          <w:szCs w:val="21"/>
        </w:rPr>
      </w:pPr>
      <w:r>
        <w:rPr>
          <w:rFonts w:hint="eastAsia" w:ascii="宋体" w:hAnsi="宋体" w:cs="宋体"/>
          <w:kern w:val="0"/>
          <w:szCs w:val="21"/>
        </w:rPr>
        <w:t>（2）对中标（成交）结果以及评审委员会、谈判小组组成人员的质疑，为中标（成交）结果公示期内；</w:t>
      </w:r>
    </w:p>
    <w:p w14:paraId="4DB665F2">
      <w:pPr>
        <w:ind w:firstLine="420"/>
        <w:rPr>
          <w:rFonts w:ascii="宋体" w:hAnsi="宋体" w:cs="宋体"/>
          <w:kern w:val="0"/>
          <w:szCs w:val="21"/>
        </w:rPr>
      </w:pPr>
      <w:r>
        <w:rPr>
          <w:rFonts w:hint="eastAsia" w:ascii="宋体" w:hAnsi="宋体" w:cs="宋体"/>
          <w:kern w:val="0"/>
          <w:szCs w:val="21"/>
        </w:rPr>
        <w:t>（3）对项目发布更正公告的（包括但不限于采购文件的澄清或修改、中标或成交结果的改变）且供应商针对更正事项提出质疑的，为更正公告公示期内。</w:t>
      </w:r>
    </w:p>
    <w:p w14:paraId="27A725A2">
      <w:pPr>
        <w:ind w:firstLine="420"/>
        <w:rPr>
          <w:rFonts w:ascii="宋体" w:hAnsi="宋体"/>
          <w:szCs w:val="21"/>
        </w:rPr>
      </w:pPr>
      <w:r>
        <w:rPr>
          <w:rFonts w:hint="eastAsia" w:ascii="宋体" w:hAnsi="宋体"/>
          <w:szCs w:val="21"/>
        </w:rPr>
        <w:t>5.3.2书面质疑函应当包括以下内容：</w:t>
      </w:r>
      <w:r>
        <w:rPr>
          <w:rFonts w:ascii="宋体" w:hAnsi="宋体"/>
          <w:szCs w:val="21"/>
        </w:rPr>
        <w:t xml:space="preserve"> </w:t>
      </w:r>
    </w:p>
    <w:p w14:paraId="6F324070">
      <w:pPr>
        <w:ind w:firstLine="420"/>
        <w:rPr>
          <w:rFonts w:ascii="宋体" w:hAnsi="宋体"/>
          <w:szCs w:val="21"/>
        </w:rPr>
      </w:pPr>
      <w:r>
        <w:rPr>
          <w:rFonts w:hint="eastAsia" w:ascii="宋体" w:hAnsi="宋体"/>
          <w:szCs w:val="21"/>
        </w:rPr>
        <w:t>（1）供应商的名称（或者姓名）、地址、邮编、邮箱、联系人及联系电话；</w:t>
      </w:r>
    </w:p>
    <w:p w14:paraId="0311BB6F">
      <w:pPr>
        <w:ind w:firstLine="420" w:firstLineChars="200"/>
        <w:rPr>
          <w:rFonts w:ascii="宋体" w:hAnsi="宋体"/>
          <w:szCs w:val="21"/>
        </w:rPr>
      </w:pPr>
      <w:r>
        <w:rPr>
          <w:rFonts w:hint="eastAsia" w:ascii="宋体" w:hAnsi="宋体"/>
          <w:szCs w:val="21"/>
        </w:rPr>
        <w:t>（2）质疑项目的名称、编号；</w:t>
      </w:r>
    </w:p>
    <w:p w14:paraId="2E195AC9">
      <w:pPr>
        <w:ind w:firstLine="420" w:firstLineChars="200"/>
        <w:rPr>
          <w:rFonts w:ascii="宋体" w:hAnsi="宋体"/>
          <w:szCs w:val="21"/>
        </w:rPr>
      </w:pPr>
      <w:r>
        <w:rPr>
          <w:rFonts w:hint="eastAsia" w:ascii="宋体" w:hAnsi="宋体"/>
          <w:szCs w:val="21"/>
        </w:rPr>
        <w:t>（3）具体、明确的质疑对象、质疑事项和质疑请求；</w:t>
      </w:r>
    </w:p>
    <w:p w14:paraId="0D93F326">
      <w:pPr>
        <w:ind w:firstLine="420" w:firstLineChars="200"/>
        <w:rPr>
          <w:rFonts w:ascii="宋体" w:hAnsi="宋体"/>
          <w:szCs w:val="21"/>
        </w:rPr>
      </w:pPr>
      <w:r>
        <w:rPr>
          <w:rFonts w:hint="eastAsia" w:ascii="宋体" w:hAnsi="宋体"/>
          <w:szCs w:val="21"/>
        </w:rPr>
        <w:t>（4）因质疑事项而受损害的权益；</w:t>
      </w:r>
    </w:p>
    <w:p w14:paraId="44909D3F">
      <w:pPr>
        <w:ind w:firstLine="420" w:firstLineChars="200"/>
        <w:rPr>
          <w:rFonts w:ascii="宋体" w:hAnsi="宋体"/>
          <w:szCs w:val="21"/>
        </w:rPr>
      </w:pPr>
      <w:r>
        <w:rPr>
          <w:rFonts w:hint="eastAsia" w:ascii="宋体" w:hAnsi="宋体"/>
          <w:szCs w:val="21"/>
        </w:rPr>
        <w:t>（5）事实依据；</w:t>
      </w:r>
    </w:p>
    <w:p w14:paraId="2F5FD29D">
      <w:pPr>
        <w:ind w:firstLine="420" w:firstLineChars="200"/>
        <w:rPr>
          <w:rFonts w:ascii="宋体" w:hAnsi="宋体"/>
          <w:szCs w:val="21"/>
        </w:rPr>
      </w:pPr>
      <w:r>
        <w:rPr>
          <w:rFonts w:hint="eastAsia" w:ascii="宋体" w:hAnsi="宋体"/>
          <w:szCs w:val="21"/>
        </w:rPr>
        <w:t>（6）必要的法律依据；</w:t>
      </w:r>
    </w:p>
    <w:p w14:paraId="506B6239">
      <w:pPr>
        <w:ind w:firstLine="420" w:firstLineChars="200"/>
        <w:rPr>
          <w:rFonts w:ascii="宋体" w:hAnsi="宋体"/>
          <w:szCs w:val="21"/>
        </w:rPr>
      </w:pPr>
      <w:r>
        <w:rPr>
          <w:rFonts w:hint="eastAsia" w:ascii="宋体" w:hAnsi="宋体"/>
          <w:szCs w:val="21"/>
        </w:rPr>
        <w:t>（7）提出质疑的日期。</w:t>
      </w:r>
    </w:p>
    <w:p w14:paraId="3E4F4E29">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27F4EA31">
      <w:pPr>
        <w:ind w:firstLine="420" w:firstLineChars="200"/>
        <w:rPr>
          <w:rFonts w:ascii="宋体" w:hAnsi="宋体"/>
          <w:szCs w:val="21"/>
        </w:rPr>
      </w:pPr>
      <w:r>
        <w:rPr>
          <w:rFonts w:hint="eastAsia" w:ascii="宋体" w:hAnsi="宋体"/>
          <w:szCs w:val="21"/>
        </w:rPr>
        <w:t>5.3.3提交</w:t>
      </w:r>
      <w:r>
        <w:rPr>
          <w:rFonts w:ascii="宋体" w:hAnsi="宋体"/>
          <w:szCs w:val="21"/>
        </w:rPr>
        <w:t>材料</w:t>
      </w:r>
    </w:p>
    <w:p w14:paraId="3C70122B">
      <w:pPr>
        <w:ind w:firstLine="420" w:firstLineChars="200"/>
        <w:rPr>
          <w:rFonts w:ascii="宋体" w:hAnsi="宋体"/>
          <w:szCs w:val="21"/>
        </w:rPr>
      </w:pPr>
      <w:r>
        <w:rPr>
          <w:rFonts w:hint="eastAsia" w:ascii="宋体" w:hAnsi="宋体"/>
          <w:szCs w:val="21"/>
        </w:rPr>
        <w:t>供应商质疑实行实名制。质疑（投诉）人应保证质疑、投诉的真实性，其在质疑或投诉时应当有具体的事项及证明利益受损的事实根据，实行“谁质疑，谁举证”的原则。</w:t>
      </w:r>
    </w:p>
    <w:p w14:paraId="19BB8CAC">
      <w:pPr>
        <w:ind w:firstLine="420" w:firstLineChars="200"/>
        <w:rPr>
          <w:rFonts w:ascii="宋体" w:hAnsi="宋体"/>
          <w:szCs w:val="21"/>
        </w:rPr>
      </w:pPr>
      <w:r>
        <w:rPr>
          <w:rFonts w:hint="eastAsia" w:ascii="宋体" w:hAnsi="宋体"/>
          <w:szCs w:val="21"/>
        </w:rPr>
        <w:t>供应商为自然人的，应当提交本人身份证复印件；供应商为法人或者其他组织的，应当根据自身性质提交营业执照复印件或者其他证明文件（如事业单位法人证书等）复印件。</w:t>
      </w:r>
    </w:p>
    <w:p w14:paraId="2C87A48A">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0CBB41">
      <w:pPr>
        <w:ind w:firstLine="420" w:firstLineChars="200"/>
        <w:rPr>
          <w:rFonts w:ascii="宋体" w:hAnsi="宋体"/>
          <w:b/>
          <w:szCs w:val="21"/>
        </w:rPr>
      </w:pPr>
      <w:r>
        <w:rPr>
          <w:rFonts w:hint="eastAsia" w:ascii="宋体" w:hAnsi="宋体"/>
          <w:szCs w:val="21"/>
        </w:rPr>
        <w:t>5.3.4</w:t>
      </w:r>
      <w:r>
        <w:rPr>
          <w:rFonts w:hint="eastAsia" w:ascii="宋体" w:hAnsi="宋体"/>
          <w:b/>
          <w:szCs w:val="21"/>
        </w:rPr>
        <w:t>收文单位、地点</w:t>
      </w:r>
    </w:p>
    <w:p w14:paraId="782C8CC8">
      <w:pPr>
        <w:ind w:firstLine="420" w:firstLineChars="200"/>
        <w:rPr>
          <w:rFonts w:ascii="宋体" w:hAnsi="宋体"/>
          <w:b/>
          <w:bCs/>
          <w:szCs w:val="21"/>
        </w:rPr>
      </w:pPr>
      <w:r>
        <w:rPr>
          <w:rFonts w:hint="eastAsia" w:ascii="宋体" w:hAnsi="宋体"/>
          <w:szCs w:val="21"/>
        </w:rPr>
        <w:t>提交方式：请质疑供应商根据深圳政府采购智慧平台（https://www.szggzy.com/globalSearch/details.html?contentId=1211037）所发布的质疑指引、质疑函模板填写质疑函并提交质疑材料。</w:t>
      </w:r>
    </w:p>
    <w:p w14:paraId="47567AA8">
      <w:pPr>
        <w:ind w:firstLine="422" w:firstLineChars="200"/>
        <w:rPr>
          <w:rFonts w:ascii="宋体" w:hAnsi="宋体"/>
          <w:b/>
          <w:bCs/>
          <w:szCs w:val="21"/>
        </w:rPr>
      </w:pPr>
      <w:r>
        <w:rPr>
          <w:rFonts w:hint="eastAsia" w:ascii="宋体" w:hAnsi="宋体"/>
          <w:b/>
          <w:bCs/>
          <w:szCs w:val="21"/>
        </w:rPr>
        <w:t>收文单位：深圳公共资源交易中心（深圳交易集团有限公司罗湖分公司），地址：</w:t>
      </w:r>
      <w:r>
        <w:rPr>
          <w:rFonts w:hint="eastAsia" w:ascii="宋体" w:hAnsi="宋体"/>
          <w:b/>
          <w:bCs/>
        </w:rPr>
        <w:t>深圳市罗湖区深南东路1076号党群服务中心4、</w:t>
      </w:r>
      <w:r>
        <w:rPr>
          <w:rFonts w:hint="eastAsia" w:ascii="宋体" w:hAnsi="宋体"/>
          <w:b/>
          <w:bCs/>
          <w:szCs w:val="21"/>
        </w:rPr>
        <w:t>5楼，质疑咨询电话：0755-82239956。</w:t>
      </w:r>
    </w:p>
    <w:p w14:paraId="477702D7">
      <w:pPr>
        <w:ind w:firstLine="411" w:firstLineChars="196"/>
        <w:rPr>
          <w:rFonts w:ascii="宋体" w:hAnsi="宋体"/>
          <w:szCs w:val="21"/>
        </w:rPr>
      </w:pPr>
      <w:r>
        <w:rPr>
          <w:rFonts w:hint="eastAsia" w:ascii="宋体" w:hAnsi="宋体"/>
          <w:szCs w:val="21"/>
        </w:rPr>
        <w:t>5.4深圳公共资源交易中心（深圳交易集团有限公司罗湖分公司）对疑问所做出的澄清和解答，以书面形式（包括网站发布信息）统一答复为准。</w:t>
      </w:r>
    </w:p>
    <w:p w14:paraId="7D98DAC5">
      <w:pPr>
        <w:ind w:firstLine="411" w:firstLineChars="196"/>
        <w:rPr>
          <w:rFonts w:ascii="宋体" w:hAnsi="宋体"/>
          <w:szCs w:val="21"/>
        </w:rPr>
      </w:pPr>
      <w:r>
        <w:rPr>
          <w:rFonts w:hint="eastAsia" w:ascii="宋体" w:hAnsi="宋体"/>
          <w:szCs w:val="21"/>
        </w:rPr>
        <w:t>5.5如深圳公共资源交易中心（深圳交易集团有限公司罗湖分公司）认为有必要组织现场招标答疑会，投标</w:t>
      </w:r>
      <w:r>
        <w:rPr>
          <w:rFonts w:hint="eastAsia" w:ascii="宋体" w:hAnsi="宋体"/>
          <w:color w:val="000000"/>
          <w:szCs w:val="21"/>
        </w:rPr>
        <w:t>供应商</w:t>
      </w:r>
      <w:r>
        <w:rPr>
          <w:rFonts w:hint="eastAsia" w:ascii="宋体" w:hAnsi="宋体"/>
          <w:szCs w:val="21"/>
        </w:rPr>
        <w:t>应按照招标文件规定的时间或深圳公共资源交易中心（深圳交易集团有限公司罗湖分公司）另行书面通知（包括网站发布信息）的时间和地点，参与招标答疑会；</w:t>
      </w:r>
    </w:p>
    <w:p w14:paraId="16AED994">
      <w:pPr>
        <w:ind w:firstLine="411" w:firstLineChars="196"/>
        <w:rPr>
          <w:rFonts w:ascii="宋体" w:hAnsi="宋体"/>
          <w:szCs w:val="21"/>
        </w:rPr>
      </w:pPr>
      <w:r>
        <w:rPr>
          <w:rFonts w:hint="eastAsia" w:ascii="宋体" w:hAnsi="宋体"/>
          <w:szCs w:val="21"/>
        </w:rPr>
        <w:t>5.6未参与招标答疑不作为否定投标</w:t>
      </w:r>
      <w:r>
        <w:rPr>
          <w:rFonts w:hint="eastAsia" w:ascii="宋体" w:hAnsi="宋体"/>
          <w:color w:val="000000"/>
          <w:szCs w:val="21"/>
        </w:rPr>
        <w:t>供应商</w:t>
      </w:r>
      <w:r>
        <w:rPr>
          <w:rFonts w:hint="eastAsia" w:ascii="宋体" w:hAnsi="宋体"/>
          <w:szCs w:val="21"/>
        </w:rPr>
        <w:t>资格的理由。</w:t>
      </w:r>
    </w:p>
    <w:p w14:paraId="2849D33E">
      <w:pPr>
        <w:pStyle w:val="32"/>
      </w:pPr>
    </w:p>
    <w:p w14:paraId="2975ECDC">
      <w:pPr>
        <w:pStyle w:val="6"/>
      </w:pPr>
      <w:bookmarkStart w:id="81" w:name="_Toc100052373"/>
      <w:bookmarkStart w:id="82" w:name="_Toc73518126"/>
      <w:bookmarkStart w:id="83" w:name="_Toc194467301"/>
      <w:bookmarkStart w:id="84" w:name="_Toc73521644"/>
      <w:bookmarkStart w:id="85" w:name="_Toc101074878"/>
      <w:bookmarkStart w:id="86" w:name="_Toc73521556"/>
      <w:bookmarkStart w:id="87" w:name="_Toc73517648"/>
      <w:r>
        <w:rPr>
          <w:rFonts w:hint="eastAsia"/>
        </w:rPr>
        <w:t>第二章 招标文件</w:t>
      </w:r>
      <w:bookmarkEnd w:id="81"/>
      <w:bookmarkEnd w:id="82"/>
      <w:bookmarkEnd w:id="83"/>
      <w:bookmarkEnd w:id="84"/>
      <w:bookmarkEnd w:id="85"/>
      <w:bookmarkEnd w:id="86"/>
      <w:bookmarkEnd w:id="87"/>
    </w:p>
    <w:p w14:paraId="7BAA06E3">
      <w:pPr>
        <w:spacing w:line="360" w:lineRule="auto"/>
        <w:rPr>
          <w:rFonts w:ascii="黑体" w:hAnsi="宋体" w:eastAsia="黑体"/>
          <w:sz w:val="24"/>
        </w:rPr>
      </w:pPr>
      <w:bookmarkStart w:id="88" w:name="_Toc73517649"/>
      <w:bookmarkStart w:id="89" w:name="_Toc73521557"/>
      <w:bookmarkStart w:id="90" w:name="_Toc73521645"/>
      <w:bookmarkStart w:id="91" w:name="_Toc73518127"/>
      <w:bookmarkStart w:id="92" w:name="_Toc100052374"/>
      <w:r>
        <w:rPr>
          <w:rFonts w:hint="eastAsia" w:ascii="黑体" w:hAnsi="宋体" w:eastAsia="黑体"/>
          <w:sz w:val="24"/>
        </w:rPr>
        <w:t>6．招标文件的组成</w:t>
      </w:r>
      <w:bookmarkEnd w:id="88"/>
      <w:bookmarkEnd w:id="89"/>
      <w:bookmarkEnd w:id="90"/>
      <w:bookmarkEnd w:id="91"/>
      <w:bookmarkEnd w:id="92"/>
    </w:p>
    <w:p w14:paraId="4DD80451">
      <w:pPr>
        <w:ind w:firstLine="411" w:firstLineChars="196"/>
        <w:rPr>
          <w:rFonts w:ascii="宋体" w:hAnsi="宋体"/>
          <w:szCs w:val="21"/>
        </w:rPr>
      </w:pPr>
      <w:r>
        <w:rPr>
          <w:rFonts w:hint="eastAsia" w:ascii="宋体" w:hAnsi="宋体"/>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hint="eastAsia" w:ascii="宋体" w:hAnsi="宋体"/>
          <w:color w:val="000000"/>
          <w:szCs w:val="21"/>
        </w:rPr>
        <w:t>供应商</w:t>
      </w:r>
      <w:r>
        <w:rPr>
          <w:rFonts w:hint="eastAsia" w:ascii="宋体" w:hAnsi="宋体"/>
          <w:szCs w:val="21"/>
        </w:rPr>
        <w:t>起约束作用；</w:t>
      </w:r>
    </w:p>
    <w:p w14:paraId="5904CC29">
      <w:pPr>
        <w:ind w:firstLine="420" w:firstLineChars="200"/>
        <w:rPr>
          <w:rFonts w:ascii="宋体" w:hAnsi="宋体"/>
          <w:szCs w:val="21"/>
        </w:rPr>
      </w:pPr>
      <w:r>
        <w:rPr>
          <w:rFonts w:hint="eastAsia" w:ascii="宋体" w:hAnsi="宋体"/>
          <w:szCs w:val="21"/>
        </w:rPr>
        <w:t>6.2招标文件共分为关键信息和招标文件正文。</w:t>
      </w:r>
    </w:p>
    <w:p w14:paraId="51D49FDD">
      <w:pPr>
        <w:ind w:firstLine="420" w:firstLineChars="200"/>
        <w:rPr>
          <w:rFonts w:ascii="宋体" w:hAnsi="宋体"/>
          <w:szCs w:val="21"/>
        </w:rPr>
      </w:pPr>
      <w:r>
        <w:rPr>
          <w:rFonts w:hint="eastAsia" w:ascii="宋体" w:hAnsi="宋体"/>
          <w:szCs w:val="21"/>
        </w:rPr>
        <w:t>6.3 投标</w:t>
      </w:r>
      <w:r>
        <w:rPr>
          <w:rFonts w:hint="eastAsia" w:ascii="宋体" w:hAnsi="宋体"/>
          <w:color w:val="000000"/>
          <w:szCs w:val="21"/>
        </w:rPr>
        <w:t>供应商</w:t>
      </w:r>
      <w:r>
        <w:rPr>
          <w:rFonts w:hint="eastAsia" w:ascii="宋体" w:hAnsi="宋体"/>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hint="eastAsia" w:ascii="宋体" w:hAnsi="宋体"/>
          <w:color w:val="000000"/>
          <w:szCs w:val="21"/>
        </w:rPr>
        <w:t>供应商</w:t>
      </w:r>
      <w:r>
        <w:rPr>
          <w:rFonts w:hint="eastAsia" w:ascii="宋体" w:hAnsi="宋体"/>
          <w:szCs w:val="21"/>
        </w:rPr>
        <w:t>同时应认真审阅招标文件所有的事项、格式、条款和规范要求等，如果投标</w:t>
      </w:r>
      <w:r>
        <w:rPr>
          <w:rFonts w:hint="eastAsia" w:ascii="宋体" w:hAnsi="宋体"/>
          <w:color w:val="000000"/>
          <w:szCs w:val="21"/>
        </w:rPr>
        <w:t>供应商</w:t>
      </w:r>
      <w:r>
        <w:rPr>
          <w:rFonts w:hint="eastAsia" w:ascii="宋体" w:hAnsi="宋体"/>
          <w:szCs w:val="21"/>
        </w:rPr>
        <w:t>的投标文件没有按招标文件要求提交全部资料或者投标文件没有对招标文件做出实质性响应，其风险应由投标</w:t>
      </w:r>
      <w:r>
        <w:rPr>
          <w:rFonts w:hint="eastAsia" w:ascii="宋体" w:hAnsi="宋体"/>
          <w:color w:val="000000"/>
          <w:szCs w:val="21"/>
        </w:rPr>
        <w:t>供应商</w:t>
      </w:r>
      <w:r>
        <w:rPr>
          <w:rFonts w:hint="eastAsia" w:ascii="宋体" w:hAnsi="宋体"/>
          <w:szCs w:val="21"/>
        </w:rPr>
        <w:t>自行承担，并根据有关条款规定，其投标有可能被拒绝。</w:t>
      </w:r>
    </w:p>
    <w:p w14:paraId="74F7A144">
      <w:pPr>
        <w:ind w:firstLine="411" w:firstLineChars="196"/>
        <w:rPr>
          <w:rFonts w:ascii="宋体" w:hAnsi="宋体"/>
          <w:szCs w:val="21"/>
        </w:rPr>
      </w:pPr>
      <w:r>
        <w:rPr>
          <w:rFonts w:hint="eastAsia" w:ascii="宋体" w:hAnsi="宋体"/>
          <w:szCs w:val="21"/>
        </w:rPr>
        <w:t>6.4</w:t>
      </w:r>
      <w:r>
        <w:rPr>
          <w:rFonts w:hint="eastAsia" w:ascii="宋体" w:hAnsi="宋体"/>
        </w:rPr>
        <w:t>任何人或任何组织向投标</w:t>
      </w:r>
      <w:r>
        <w:rPr>
          <w:rFonts w:hint="eastAsia" w:ascii="宋体" w:hAnsi="宋体"/>
          <w:color w:val="000000"/>
          <w:szCs w:val="21"/>
        </w:rPr>
        <w:t>供应商</w:t>
      </w:r>
      <w:r>
        <w:rPr>
          <w:rFonts w:hint="eastAsia" w:ascii="宋体" w:hAnsi="宋体"/>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hint="eastAsia" w:ascii="宋体" w:hAnsi="宋体"/>
          <w:color w:val="000000"/>
          <w:szCs w:val="21"/>
        </w:rPr>
        <w:t>供应商</w:t>
      </w:r>
      <w:r>
        <w:rPr>
          <w:rFonts w:hint="eastAsia" w:ascii="宋体" w:hAnsi="宋体"/>
        </w:rPr>
        <w:t>由此而做出的推论、理解和结论概不负责。</w:t>
      </w:r>
    </w:p>
    <w:p w14:paraId="0C78AC57">
      <w:pPr>
        <w:spacing w:line="360" w:lineRule="auto"/>
        <w:rPr>
          <w:rFonts w:ascii="黑体" w:hAnsi="宋体" w:eastAsia="黑体"/>
          <w:sz w:val="24"/>
        </w:rPr>
      </w:pPr>
      <w:bookmarkStart w:id="93" w:name="_Toc73518128"/>
      <w:bookmarkStart w:id="94" w:name="_Toc73521646"/>
      <w:bookmarkStart w:id="95" w:name="_Toc60631631"/>
      <w:bookmarkStart w:id="96" w:name="_Toc60560636"/>
      <w:bookmarkStart w:id="97" w:name="_Toc100052375"/>
      <w:bookmarkStart w:id="98" w:name="_Toc73517650"/>
      <w:bookmarkStart w:id="99" w:name="_Toc73521558"/>
      <w:r>
        <w:rPr>
          <w:rFonts w:hint="eastAsia" w:ascii="黑体" w:hAnsi="宋体" w:eastAsia="黑体"/>
          <w:sz w:val="24"/>
        </w:rPr>
        <w:t>7．招标文件的澄清</w:t>
      </w:r>
      <w:bookmarkEnd w:id="93"/>
      <w:bookmarkEnd w:id="94"/>
      <w:bookmarkEnd w:id="95"/>
      <w:bookmarkEnd w:id="96"/>
      <w:bookmarkEnd w:id="97"/>
      <w:bookmarkEnd w:id="98"/>
      <w:bookmarkEnd w:id="99"/>
    </w:p>
    <w:p w14:paraId="19724D14">
      <w:pPr>
        <w:ind w:firstLine="411" w:firstLineChars="196"/>
        <w:rPr>
          <w:rFonts w:ascii="宋体" w:hAnsi="宋体"/>
          <w:szCs w:val="21"/>
        </w:rPr>
      </w:pPr>
      <w:r>
        <w:rPr>
          <w:rFonts w:hint="eastAsia" w:ascii="宋体" w:hAnsi="宋体"/>
          <w:szCs w:val="21"/>
        </w:rPr>
        <w:t>7.1投标</w:t>
      </w:r>
      <w:r>
        <w:rPr>
          <w:rFonts w:hint="eastAsia" w:ascii="宋体" w:hAnsi="宋体"/>
          <w:color w:val="000000"/>
          <w:szCs w:val="21"/>
        </w:rPr>
        <w:t>供应商</w:t>
      </w:r>
      <w:r>
        <w:rPr>
          <w:rFonts w:hint="eastAsia" w:ascii="宋体" w:hAnsi="宋体"/>
          <w:szCs w:val="21"/>
        </w:rPr>
        <w:t>在收到招标文件后，对招标文件任何部分若有任何疑问，或要求澄清招标文件的，均应在招标公告规定的</w:t>
      </w:r>
      <w:r>
        <w:t>提出澄清要求截止时间</w:t>
      </w:r>
      <w:r>
        <w:rPr>
          <w:rFonts w:hint="eastAsia" w:ascii="宋体" w:hAnsi="宋体"/>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hint="eastAsia" w:ascii="宋体" w:hAnsi="宋体"/>
          <w:color w:val="000000"/>
          <w:szCs w:val="21"/>
        </w:rPr>
        <w:t>供应商</w:t>
      </w:r>
      <w:r>
        <w:rPr>
          <w:rFonts w:hint="eastAsia" w:ascii="宋体" w:hAnsi="宋体"/>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hint="eastAsia" w:ascii="宋体" w:hAnsi="宋体"/>
          <w:color w:val="000000"/>
          <w:szCs w:val="21"/>
        </w:rPr>
        <w:t>供应商</w:t>
      </w:r>
      <w:r>
        <w:rPr>
          <w:rFonts w:hint="eastAsia" w:ascii="宋体" w:hAnsi="宋体"/>
          <w:szCs w:val="21"/>
        </w:rPr>
        <w:t>。澄清纪要作为招标文件的组成部分，对投标</w:t>
      </w:r>
      <w:r>
        <w:rPr>
          <w:rFonts w:hint="eastAsia" w:ascii="宋体" w:hAnsi="宋体"/>
          <w:color w:val="000000"/>
          <w:szCs w:val="21"/>
        </w:rPr>
        <w:t>供应商</w:t>
      </w:r>
      <w:r>
        <w:rPr>
          <w:rFonts w:hint="eastAsia" w:ascii="宋体" w:hAnsi="宋体"/>
          <w:szCs w:val="21"/>
        </w:rPr>
        <w:t>起约束作用；</w:t>
      </w:r>
    </w:p>
    <w:p w14:paraId="02F44B0D">
      <w:pPr>
        <w:ind w:firstLine="411" w:firstLineChars="196"/>
        <w:rPr>
          <w:rFonts w:ascii="宋体" w:hAnsi="宋体"/>
          <w:szCs w:val="21"/>
        </w:rPr>
      </w:pPr>
      <w:r>
        <w:rPr>
          <w:rFonts w:hint="eastAsia" w:ascii="宋体" w:hAnsi="宋体"/>
          <w:szCs w:val="21"/>
        </w:rPr>
        <w:t>7.2对于没有提出澄清又参与了该项目投标的供应商将被视为完全认同该招标文件（含澄清纪要），投标截止期后不再受理针对招标文件的相关质疑或投诉。</w:t>
      </w:r>
    </w:p>
    <w:p w14:paraId="683A7B51">
      <w:pPr>
        <w:ind w:firstLine="411" w:firstLineChars="196"/>
        <w:rPr>
          <w:rFonts w:ascii="宋体" w:hAnsi="宋体"/>
          <w:szCs w:val="21"/>
        </w:rPr>
      </w:pPr>
      <w:r>
        <w:rPr>
          <w:rFonts w:hint="eastAsia" w:ascii="宋体" w:hAnsi="宋体"/>
          <w:szCs w:val="21"/>
        </w:rPr>
        <w:t>7.3 对招标文件中描述有歧义或前后不一致的地方，评标委员会有权进行评判，但对同一条款的评判应适用于每个投标供应商。</w:t>
      </w:r>
    </w:p>
    <w:p w14:paraId="031C5B30">
      <w:pPr>
        <w:spacing w:line="360" w:lineRule="auto"/>
        <w:rPr>
          <w:rFonts w:ascii="黑体" w:hAnsi="宋体" w:eastAsia="黑体"/>
          <w:sz w:val="24"/>
        </w:rPr>
      </w:pPr>
      <w:bookmarkStart w:id="100" w:name="_Toc73521559"/>
      <w:bookmarkStart w:id="101" w:name="_Toc60631632"/>
      <w:bookmarkStart w:id="102" w:name="_Toc73518129"/>
      <w:bookmarkStart w:id="103" w:name="_Toc100052376"/>
      <w:bookmarkStart w:id="104" w:name="_Toc73521647"/>
      <w:bookmarkStart w:id="105" w:name="_Toc60560637"/>
      <w:bookmarkStart w:id="106" w:name="_Toc73517651"/>
      <w:r>
        <w:rPr>
          <w:rFonts w:hint="eastAsia" w:ascii="黑体" w:hAnsi="宋体" w:eastAsia="黑体"/>
          <w:sz w:val="24"/>
        </w:rPr>
        <w:t>8．招标文件的修改</w:t>
      </w:r>
      <w:bookmarkEnd w:id="100"/>
      <w:bookmarkEnd w:id="101"/>
      <w:bookmarkEnd w:id="102"/>
      <w:bookmarkEnd w:id="103"/>
      <w:bookmarkEnd w:id="104"/>
      <w:bookmarkEnd w:id="105"/>
      <w:bookmarkEnd w:id="106"/>
    </w:p>
    <w:p w14:paraId="4678C0B8">
      <w:pPr>
        <w:ind w:firstLine="411" w:firstLineChars="196"/>
        <w:rPr>
          <w:rFonts w:ascii="宋体" w:hAnsi="宋体"/>
          <w:szCs w:val="21"/>
        </w:rPr>
      </w:pPr>
      <w:r>
        <w:rPr>
          <w:rFonts w:hint="eastAsia" w:ascii="宋体" w:hAnsi="宋体"/>
          <w:szCs w:val="21"/>
        </w:rPr>
        <w:t>8.1招标文件发出后，在投标截止日期前任何时候，确需要变更招标内容的，深圳公共资源交易中心（深圳交易集团有限公司罗湖分公司）可主动地或在解答投标</w:t>
      </w:r>
      <w:r>
        <w:rPr>
          <w:rFonts w:hint="eastAsia" w:ascii="宋体" w:hAnsi="宋体"/>
          <w:color w:val="000000"/>
          <w:szCs w:val="21"/>
        </w:rPr>
        <w:t>供应商</w:t>
      </w:r>
      <w:r>
        <w:rPr>
          <w:rFonts w:hint="eastAsia" w:ascii="宋体" w:hAnsi="宋体"/>
          <w:szCs w:val="21"/>
        </w:rPr>
        <w:t>提出的澄清问题时对招标文件进行修改；</w:t>
      </w:r>
    </w:p>
    <w:p w14:paraId="63C5A889">
      <w:pPr>
        <w:ind w:firstLine="411" w:firstLineChars="196"/>
        <w:rPr>
          <w:rFonts w:ascii="宋体" w:hAnsi="宋体"/>
          <w:szCs w:val="21"/>
        </w:rPr>
      </w:pPr>
      <w:r>
        <w:rPr>
          <w:rFonts w:hint="eastAsia" w:ascii="宋体" w:hAnsi="宋体"/>
          <w:szCs w:val="21"/>
        </w:rPr>
        <w:t>8.2招标文件的修改以书面形式（包括网站公开发布和深圳公共资源交易中心（深圳交易集团有限公司罗湖分公司）采购系统中发布的方式）发送给所有投标</w:t>
      </w:r>
      <w:r>
        <w:rPr>
          <w:rFonts w:hint="eastAsia" w:ascii="宋体" w:hAnsi="宋体"/>
          <w:color w:val="000000"/>
          <w:szCs w:val="21"/>
        </w:rPr>
        <w:t>供应商</w:t>
      </w:r>
      <w:r>
        <w:rPr>
          <w:rFonts w:hint="eastAsia" w:ascii="宋体" w:hAnsi="宋体"/>
          <w:szCs w:val="21"/>
        </w:rPr>
        <w:t>，招标文件的修改内容作为招标文件的组成部分，并具有约束力。</w:t>
      </w:r>
    </w:p>
    <w:p w14:paraId="1066D2F6">
      <w:pPr>
        <w:ind w:firstLine="411" w:firstLineChars="196"/>
        <w:rPr>
          <w:rFonts w:ascii="宋体" w:hAnsi="宋体"/>
          <w:szCs w:val="21"/>
        </w:rPr>
      </w:pPr>
      <w:r>
        <w:rPr>
          <w:rFonts w:hint="eastAsia" w:ascii="宋体" w:hAnsi="宋体"/>
          <w:szCs w:val="21"/>
        </w:rPr>
        <w:t>8.3招标文件、招标文件澄清（答疑）纪要、招标文件修改补充通知内容均以书面明确的内容为准。当招标文件、修改补充通知、澄清（答疑）纪要内容相互矛盾时，以最后发出的通知（或纪要）或修改的文件为准；</w:t>
      </w:r>
    </w:p>
    <w:p w14:paraId="04549027">
      <w:pPr>
        <w:ind w:firstLine="411" w:firstLineChars="196"/>
        <w:rPr>
          <w:rFonts w:ascii="宋体" w:hAnsi="宋体"/>
          <w:szCs w:val="21"/>
        </w:rPr>
      </w:pPr>
      <w:r>
        <w:rPr>
          <w:rFonts w:hint="eastAsia" w:ascii="宋体" w:hAnsi="宋体"/>
          <w:szCs w:val="21"/>
        </w:rPr>
        <w:t>8.4深圳公共资源交易中心（深圳交易集团有限公司罗湖分公司）保证招标文件澄清（答疑）纪要和招标文件修改补充通知在投标截止时间前以网站公开发布形式或书面形式发送给所有投标</w:t>
      </w:r>
      <w:r>
        <w:rPr>
          <w:rFonts w:hint="eastAsia" w:ascii="宋体" w:hAnsi="宋体"/>
          <w:color w:val="000000"/>
          <w:szCs w:val="21"/>
        </w:rPr>
        <w:t>供应商</w:t>
      </w:r>
      <w:r>
        <w:rPr>
          <w:rFonts w:hint="eastAsia" w:ascii="宋体" w:hAnsi="宋体"/>
          <w:szCs w:val="21"/>
        </w:rPr>
        <w:t>。为使投标</w:t>
      </w:r>
      <w:r>
        <w:rPr>
          <w:rFonts w:hint="eastAsia" w:ascii="宋体" w:hAnsi="宋体"/>
          <w:color w:val="000000"/>
          <w:szCs w:val="21"/>
        </w:rPr>
        <w:t>供应商</w:t>
      </w:r>
      <w:r>
        <w:rPr>
          <w:rFonts w:hint="eastAsia" w:ascii="宋体" w:hAnsi="宋体"/>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14:paraId="45A32253">
      <w:pPr>
        <w:pStyle w:val="6"/>
      </w:pPr>
      <w:bookmarkStart w:id="107" w:name="bt投标文件"/>
      <w:bookmarkEnd w:id="107"/>
      <w:bookmarkStart w:id="108" w:name="_Toc73517653"/>
      <w:bookmarkStart w:id="109" w:name="_Toc73518131"/>
      <w:bookmarkStart w:id="110" w:name="_Toc60560639"/>
      <w:bookmarkStart w:id="111" w:name="_Toc73521649"/>
      <w:bookmarkStart w:id="112" w:name="_Toc100052378"/>
      <w:bookmarkStart w:id="113" w:name="_Toc60631634"/>
      <w:bookmarkStart w:id="114" w:name="_Toc73521561"/>
      <w:r>
        <w:rPr>
          <w:rFonts w:hint="eastAsia"/>
        </w:rPr>
        <w:t>第三章 投标文件</w:t>
      </w:r>
    </w:p>
    <w:p w14:paraId="47BF182C">
      <w:pPr>
        <w:rPr>
          <w:rFonts w:ascii="黑体" w:hAnsi="宋体" w:eastAsia="黑体"/>
          <w:sz w:val="24"/>
        </w:rPr>
      </w:pPr>
      <w:r>
        <w:rPr>
          <w:rFonts w:hint="eastAsia" w:ascii="黑体" w:hAnsi="宋体" w:eastAsia="黑体"/>
          <w:sz w:val="24"/>
        </w:rPr>
        <w:t>9．投标文件的语言及度量单位</w:t>
      </w:r>
      <w:bookmarkEnd w:id="108"/>
      <w:bookmarkEnd w:id="109"/>
      <w:bookmarkEnd w:id="110"/>
      <w:bookmarkEnd w:id="111"/>
      <w:bookmarkEnd w:id="112"/>
      <w:bookmarkEnd w:id="113"/>
      <w:bookmarkEnd w:id="114"/>
    </w:p>
    <w:p w14:paraId="422986CD">
      <w:pPr>
        <w:ind w:firstLine="411" w:firstLineChars="196"/>
        <w:rPr>
          <w:rFonts w:ascii="宋体" w:hAnsi="宋体"/>
          <w:szCs w:val="21"/>
        </w:rPr>
      </w:pPr>
      <w:r>
        <w:rPr>
          <w:rFonts w:hint="eastAsia" w:ascii="宋体" w:hAnsi="宋体"/>
          <w:szCs w:val="21"/>
        </w:rPr>
        <w:t>9.1投标</w:t>
      </w:r>
      <w:r>
        <w:rPr>
          <w:rFonts w:hint="eastAsia" w:ascii="宋体" w:hAnsi="宋体"/>
          <w:color w:val="000000"/>
          <w:szCs w:val="21"/>
        </w:rPr>
        <w:t>供应商</w:t>
      </w:r>
      <w:r>
        <w:rPr>
          <w:rFonts w:hint="eastAsia" w:ascii="宋体" w:hAnsi="宋体"/>
          <w:szCs w:val="21"/>
        </w:rPr>
        <w:t>与深圳公共资源交易中心（深圳交易集团有限公司罗湖分公司）之间与投标有关的所有往来通知、函件和投标文件均用中文表述。投标</w:t>
      </w:r>
      <w:r>
        <w:rPr>
          <w:rFonts w:hint="eastAsia" w:ascii="宋体" w:hAnsi="宋体"/>
          <w:color w:val="000000"/>
          <w:szCs w:val="21"/>
        </w:rPr>
        <w:t>供应商</w:t>
      </w:r>
      <w:r>
        <w:rPr>
          <w:rFonts w:hint="eastAsia" w:ascii="宋体" w:hAnsi="宋体"/>
          <w:szCs w:val="21"/>
        </w:rPr>
        <w:t>随投标文件提供的证明文件和资料可以为其它语言，但必须附中文译文。在此，为了解释投标文件，应以中文为准；</w:t>
      </w:r>
    </w:p>
    <w:p w14:paraId="7A225458">
      <w:pPr>
        <w:ind w:firstLine="411" w:firstLineChars="196"/>
        <w:rPr>
          <w:rFonts w:ascii="宋体" w:hAnsi="宋体"/>
          <w:szCs w:val="21"/>
        </w:rPr>
      </w:pPr>
      <w:r>
        <w:rPr>
          <w:rFonts w:hint="eastAsia" w:ascii="宋体" w:hAnsi="宋体"/>
          <w:szCs w:val="21"/>
        </w:rPr>
        <w:t>9.2除技术规范另有规定外，投标文件使用的度量单位，均采用中华人民共和国法定计量单位。</w:t>
      </w:r>
    </w:p>
    <w:p w14:paraId="476B3034">
      <w:pPr>
        <w:spacing w:line="360" w:lineRule="auto"/>
        <w:rPr>
          <w:rFonts w:ascii="黑体" w:hAnsi="宋体" w:eastAsia="黑体"/>
          <w:sz w:val="24"/>
        </w:rPr>
      </w:pPr>
      <w:bookmarkStart w:id="115" w:name="_Toc73518132"/>
      <w:bookmarkStart w:id="116" w:name="_Toc60560640"/>
      <w:bookmarkStart w:id="117" w:name="_Toc73521650"/>
      <w:bookmarkStart w:id="118" w:name="_Toc73517654"/>
      <w:bookmarkStart w:id="119" w:name="_Toc73521562"/>
      <w:bookmarkStart w:id="120" w:name="_Toc100052379"/>
      <w:bookmarkStart w:id="121" w:name="_Toc60631635"/>
      <w:r>
        <w:rPr>
          <w:rFonts w:hint="eastAsia" w:ascii="黑体" w:hAnsi="宋体" w:eastAsia="黑体"/>
          <w:sz w:val="24"/>
        </w:rPr>
        <w:t>10．投标文件的组成</w:t>
      </w:r>
      <w:bookmarkEnd w:id="115"/>
      <w:bookmarkEnd w:id="116"/>
      <w:bookmarkEnd w:id="117"/>
      <w:bookmarkEnd w:id="118"/>
      <w:bookmarkEnd w:id="119"/>
      <w:bookmarkEnd w:id="120"/>
      <w:bookmarkEnd w:id="121"/>
    </w:p>
    <w:p w14:paraId="69F83900">
      <w:pPr>
        <w:ind w:firstLine="413" w:firstLineChars="196"/>
        <w:rPr>
          <w:rFonts w:ascii="宋体" w:hAnsi="宋体"/>
          <w:b/>
          <w:szCs w:val="21"/>
        </w:rPr>
      </w:pPr>
      <w:r>
        <w:rPr>
          <w:rFonts w:hint="eastAsia" w:ascii="宋体" w:hAnsi="宋体"/>
          <w:b/>
          <w:szCs w:val="21"/>
        </w:rPr>
        <w:t>（具体内容请详见招标文件第一册第一章</w:t>
      </w:r>
      <w:bookmarkStart w:id="122" w:name="投标文件的组成"/>
      <w:bookmarkStart w:id="123" w:name="_Toc73521651"/>
      <w:bookmarkStart w:id="124" w:name="_Toc73517655"/>
      <w:bookmarkStart w:id="125" w:name="_Toc73521563"/>
      <w:bookmarkStart w:id="126" w:name="_Toc60560641"/>
      <w:bookmarkStart w:id="127" w:name="_Toc60631636"/>
      <w:bookmarkStart w:id="128" w:name="_Toc73518133"/>
      <w:r>
        <w:rPr>
          <w:rFonts w:hint="eastAsia" w:ascii="宋体" w:hAnsi="宋体"/>
          <w:b/>
          <w:szCs w:val="21"/>
        </w:rPr>
        <w:t>）</w:t>
      </w:r>
    </w:p>
    <w:p w14:paraId="0302BD45">
      <w:pPr>
        <w:ind w:firstLine="420" w:firstLineChars="200"/>
        <w:rPr>
          <w:rFonts w:ascii="宋体" w:hAnsi="宋体"/>
          <w:szCs w:val="21"/>
        </w:rPr>
      </w:pPr>
      <w:r>
        <w:rPr>
          <w:rFonts w:hint="eastAsia" w:ascii="宋体" w:hAnsi="宋体"/>
          <w:szCs w:val="21"/>
        </w:rPr>
        <w:t>注意：为保证公平公正，除非另有规定或说明，投标人对同一货物或服务投标时，不得同时提供两套或两套以上的投标方案。</w:t>
      </w:r>
    </w:p>
    <w:bookmarkEnd w:id="122"/>
    <w:p w14:paraId="3B8872DC">
      <w:pPr>
        <w:spacing w:line="360" w:lineRule="auto"/>
        <w:rPr>
          <w:rFonts w:ascii="黑体" w:hAnsi="宋体" w:eastAsia="黑体"/>
          <w:sz w:val="24"/>
        </w:rPr>
      </w:pPr>
      <w:bookmarkStart w:id="129" w:name="_Toc100052380"/>
      <w:r>
        <w:rPr>
          <w:rFonts w:hint="eastAsia" w:ascii="黑体" w:hAnsi="宋体" w:eastAsia="黑体"/>
          <w:sz w:val="24"/>
        </w:rPr>
        <w:t>11．投标文件格式</w:t>
      </w:r>
      <w:bookmarkEnd w:id="123"/>
      <w:bookmarkEnd w:id="124"/>
      <w:bookmarkEnd w:id="125"/>
      <w:bookmarkEnd w:id="126"/>
      <w:bookmarkEnd w:id="127"/>
      <w:bookmarkEnd w:id="128"/>
      <w:bookmarkEnd w:id="129"/>
    </w:p>
    <w:p w14:paraId="534C6B26">
      <w:pPr>
        <w:ind w:firstLine="411" w:firstLineChars="196"/>
        <w:rPr>
          <w:rFonts w:ascii="宋体" w:hAnsi="宋体"/>
          <w:szCs w:val="21"/>
        </w:rPr>
      </w:pPr>
      <w:r>
        <w:rPr>
          <w:rFonts w:hint="eastAsia" w:ascii="宋体" w:hAnsi="宋体"/>
          <w:szCs w:val="21"/>
        </w:rPr>
        <w:t>如招标文件提供了投标文件格式，则投标供应商提交的投标文件必须毫无例外地使用招标文件所提供的相应格式（表格可以按同样格式扩展）。</w:t>
      </w:r>
      <w:bookmarkStart w:id="130" w:name="_Toc73521653"/>
      <w:bookmarkStart w:id="131" w:name="_Toc73521565"/>
      <w:bookmarkStart w:id="132" w:name="_Toc60631638"/>
      <w:bookmarkStart w:id="133" w:name="_Toc73517657"/>
      <w:bookmarkStart w:id="134" w:name="_Toc60560643"/>
      <w:bookmarkStart w:id="135" w:name="_Toc73518135"/>
    </w:p>
    <w:p w14:paraId="753C6F1E">
      <w:pPr>
        <w:spacing w:line="360" w:lineRule="auto"/>
        <w:rPr>
          <w:rFonts w:ascii="黑体" w:hAnsi="宋体" w:eastAsia="黑体"/>
          <w:sz w:val="24"/>
        </w:rPr>
      </w:pPr>
      <w:bookmarkStart w:id="136" w:name="_Toc100052382"/>
      <w:r>
        <w:rPr>
          <w:rFonts w:hint="eastAsia" w:ascii="黑体" w:hAnsi="宋体" w:eastAsia="黑体"/>
          <w:sz w:val="24"/>
        </w:rPr>
        <w:t>12．投标货币</w:t>
      </w:r>
      <w:bookmarkEnd w:id="130"/>
      <w:bookmarkEnd w:id="131"/>
      <w:bookmarkEnd w:id="132"/>
      <w:bookmarkEnd w:id="133"/>
      <w:bookmarkEnd w:id="134"/>
      <w:bookmarkEnd w:id="135"/>
      <w:bookmarkEnd w:id="136"/>
    </w:p>
    <w:p w14:paraId="4E97DC5A">
      <w:pPr>
        <w:ind w:firstLine="411" w:firstLineChars="196"/>
        <w:rPr>
          <w:rFonts w:ascii="宋体" w:hAnsi="宋体"/>
          <w:szCs w:val="21"/>
        </w:rPr>
      </w:pPr>
      <w:r>
        <w:rPr>
          <w:rFonts w:hint="eastAsia" w:ascii="宋体" w:hAnsi="宋体"/>
          <w:szCs w:val="21"/>
        </w:rPr>
        <w:t>12.1本项目的投标应以人民币计。</w:t>
      </w:r>
      <w:bookmarkStart w:id="137" w:name="bt递交投标文件"/>
      <w:bookmarkEnd w:id="137"/>
    </w:p>
    <w:p w14:paraId="5561DADD">
      <w:pPr>
        <w:pStyle w:val="32"/>
      </w:pPr>
    </w:p>
    <w:p w14:paraId="65C5ABFC">
      <w:pPr>
        <w:pStyle w:val="6"/>
      </w:pPr>
      <w:bookmarkStart w:id="138" w:name="bt开标"/>
      <w:bookmarkEnd w:id="138"/>
      <w:bookmarkStart w:id="139" w:name="_Toc73521662"/>
      <w:bookmarkStart w:id="140" w:name="_Toc73521574"/>
      <w:bookmarkStart w:id="141" w:name="_Toc73517666"/>
      <w:bookmarkStart w:id="142" w:name="_Toc194467304"/>
      <w:bookmarkStart w:id="143" w:name="_Toc101074881"/>
      <w:bookmarkStart w:id="144" w:name="_Toc100052391"/>
      <w:bookmarkStart w:id="145" w:name="_Toc73518144"/>
      <w:r>
        <w:rPr>
          <w:rFonts w:hint="eastAsia"/>
        </w:rPr>
        <w:t>第四章 开标</w:t>
      </w:r>
      <w:bookmarkEnd w:id="139"/>
      <w:bookmarkEnd w:id="140"/>
      <w:bookmarkEnd w:id="141"/>
      <w:bookmarkEnd w:id="142"/>
      <w:bookmarkEnd w:id="143"/>
      <w:bookmarkEnd w:id="144"/>
      <w:bookmarkEnd w:id="145"/>
    </w:p>
    <w:p w14:paraId="4F2D756E">
      <w:pPr>
        <w:spacing w:line="360" w:lineRule="auto"/>
        <w:rPr>
          <w:rFonts w:ascii="黑体" w:hAnsi="宋体" w:eastAsia="黑体"/>
          <w:sz w:val="24"/>
        </w:rPr>
      </w:pPr>
      <w:bookmarkStart w:id="146" w:name="_Toc73517667"/>
      <w:bookmarkStart w:id="147" w:name="_Toc73521663"/>
      <w:bookmarkStart w:id="148" w:name="_Toc73521575"/>
      <w:bookmarkStart w:id="149" w:name="_Toc60631650"/>
      <w:bookmarkStart w:id="150" w:name="_Toc60560655"/>
      <w:bookmarkStart w:id="151" w:name="_Toc73518145"/>
      <w:bookmarkStart w:id="152" w:name="_Toc100052392"/>
      <w:r>
        <w:rPr>
          <w:rFonts w:hint="eastAsia" w:ascii="黑体" w:hAnsi="宋体" w:eastAsia="黑体"/>
          <w:sz w:val="24"/>
        </w:rPr>
        <w:t>13．开标</w:t>
      </w:r>
      <w:bookmarkEnd w:id="146"/>
      <w:bookmarkEnd w:id="147"/>
      <w:bookmarkEnd w:id="148"/>
      <w:bookmarkEnd w:id="149"/>
      <w:bookmarkEnd w:id="150"/>
      <w:bookmarkEnd w:id="151"/>
      <w:bookmarkEnd w:id="152"/>
    </w:p>
    <w:p w14:paraId="7BB29F11">
      <w:pPr>
        <w:ind w:firstLine="411" w:firstLineChars="196"/>
        <w:rPr>
          <w:rFonts w:ascii="宋体" w:hAnsi="宋体"/>
          <w:szCs w:val="21"/>
        </w:rPr>
      </w:pPr>
      <w:r>
        <w:rPr>
          <w:rFonts w:hint="eastAsia" w:ascii="宋体" w:hAnsi="宋体"/>
          <w:szCs w:val="21"/>
        </w:rPr>
        <w:t>13</w:t>
      </w:r>
      <w:r>
        <w:rPr>
          <w:rFonts w:ascii="宋体" w:hAnsi="宋体"/>
          <w:szCs w:val="21"/>
        </w:rPr>
        <w:t>.</w:t>
      </w:r>
      <w:r>
        <w:rPr>
          <w:rFonts w:hint="eastAsia" w:ascii="宋体" w:hAnsi="宋体"/>
          <w:szCs w:val="21"/>
        </w:rPr>
        <w:t>1深圳公共资源交易中心（深圳交易集团有限公司罗湖分公司）将在投标截止时间后，对投标文件进行开标，并在网上公布开标结果。</w:t>
      </w:r>
      <w:bookmarkStart w:id="153" w:name="bt评标"/>
      <w:bookmarkEnd w:id="153"/>
      <w:bookmarkStart w:id="154" w:name="bt评标会议"/>
      <w:bookmarkEnd w:id="154"/>
      <w:bookmarkStart w:id="155" w:name="_Toc73517669"/>
      <w:bookmarkStart w:id="156" w:name="_Toc73521577"/>
      <w:bookmarkStart w:id="157" w:name="_Toc73518147"/>
      <w:bookmarkStart w:id="158" w:name="_Toc73521665"/>
      <w:bookmarkStart w:id="159" w:name="_Toc100052394"/>
    </w:p>
    <w:p w14:paraId="364D7A6A">
      <w:pPr>
        <w:rPr>
          <w:rFonts w:ascii="黑体" w:hAnsi="宋体" w:eastAsia="黑体"/>
          <w:sz w:val="24"/>
        </w:rPr>
      </w:pPr>
      <w:r>
        <w:rPr>
          <w:rFonts w:hint="eastAsia" w:ascii="黑体" w:hAnsi="宋体" w:eastAsia="黑体"/>
          <w:sz w:val="24"/>
        </w:rPr>
        <w:t>14．评标会议</w:t>
      </w:r>
    </w:p>
    <w:p w14:paraId="134D8AA6">
      <w:pPr>
        <w:ind w:firstLine="411" w:firstLineChars="196"/>
        <w:rPr>
          <w:rFonts w:ascii="宋体" w:hAnsi="宋体"/>
        </w:rPr>
      </w:pPr>
      <w:r>
        <w:rPr>
          <w:rFonts w:hint="eastAsia" w:ascii="宋体" w:hAnsi="宋体"/>
        </w:rPr>
        <w:t>14.1评标定标应当遵循公平、公正、科学、择优的原则。</w:t>
      </w:r>
    </w:p>
    <w:p w14:paraId="20D476D4">
      <w:pPr>
        <w:ind w:firstLine="411" w:firstLineChars="196"/>
        <w:rPr>
          <w:rFonts w:ascii="宋体" w:hAnsi="宋体"/>
        </w:rPr>
      </w:pPr>
      <w:r>
        <w:rPr>
          <w:rFonts w:hint="eastAsia" w:ascii="宋体" w:hAnsi="宋体"/>
        </w:rPr>
        <w:t>14.2评标活动依法进行，任何单位和个人不得非法干预评标过程和结果。</w:t>
      </w:r>
    </w:p>
    <w:p w14:paraId="50980B17">
      <w:pPr>
        <w:ind w:firstLine="411" w:firstLineChars="196"/>
        <w:rPr>
          <w:rFonts w:ascii="宋体" w:hAnsi="宋体"/>
        </w:rPr>
      </w:pPr>
      <w:r>
        <w:rPr>
          <w:rFonts w:hint="eastAsia" w:ascii="宋体" w:hAnsi="宋体"/>
        </w:rPr>
        <w:t>14.3评标过程中不允许违背评标程序或采用招标文件未载明的评标方法或评标因素进行评标。</w:t>
      </w:r>
    </w:p>
    <w:p w14:paraId="1DFC24EE">
      <w:pPr>
        <w:rPr>
          <w:rFonts w:ascii="宋体" w:hAnsi="宋体"/>
        </w:rPr>
      </w:pPr>
      <w:r>
        <w:rPr>
          <w:rFonts w:hint="eastAsia" w:ascii="黑体" w:hAnsi="宋体" w:eastAsia="黑体"/>
          <w:sz w:val="24"/>
        </w:rPr>
        <w:t>15．独立评标及评标程序</w:t>
      </w:r>
    </w:p>
    <w:p w14:paraId="1BA53F7B">
      <w:pPr>
        <w:ind w:firstLine="411" w:firstLineChars="196"/>
        <w:rPr>
          <w:rFonts w:ascii="宋体" w:hAnsi="宋体"/>
        </w:rPr>
      </w:pPr>
      <w:r>
        <w:rPr>
          <w:rFonts w:hint="eastAsia" w:ascii="宋体" w:hAnsi="宋体"/>
        </w:rPr>
        <w:t>15.1评标委员会成员的评标活动应当独立进行，并应遵循投标文件初审、澄清有关问题、比较与评价、确定中标供应商、编写评标报告的工作程序。</w:t>
      </w:r>
      <w:bookmarkEnd w:id="155"/>
      <w:bookmarkEnd w:id="156"/>
      <w:bookmarkEnd w:id="157"/>
      <w:bookmarkEnd w:id="158"/>
      <w:bookmarkEnd w:id="159"/>
      <w:bookmarkStart w:id="160" w:name="bt错误的修正"/>
      <w:bookmarkEnd w:id="160"/>
      <w:bookmarkStart w:id="161" w:name="bt评标过程的保密"/>
      <w:bookmarkEnd w:id="161"/>
    </w:p>
    <w:p w14:paraId="5BC22F99">
      <w:pPr>
        <w:spacing w:line="360" w:lineRule="auto"/>
        <w:rPr>
          <w:rFonts w:ascii="黑体" w:hAnsi="宋体" w:eastAsia="黑体"/>
          <w:sz w:val="24"/>
        </w:rPr>
      </w:pPr>
      <w:bookmarkStart w:id="162" w:name="_Toc100052398"/>
      <w:bookmarkStart w:id="163" w:name="_Toc73521667"/>
      <w:bookmarkStart w:id="164" w:name="_Toc73517671"/>
      <w:bookmarkStart w:id="165" w:name="_Toc73521579"/>
      <w:bookmarkStart w:id="166" w:name="_Toc73518149"/>
      <w:r>
        <w:rPr>
          <w:rFonts w:hint="eastAsia" w:ascii="黑体" w:hAnsi="宋体" w:eastAsia="黑体"/>
          <w:sz w:val="24"/>
        </w:rPr>
        <w:t>16．投标文件初审</w:t>
      </w:r>
      <w:bookmarkEnd w:id="162"/>
    </w:p>
    <w:bookmarkEnd w:id="163"/>
    <w:bookmarkEnd w:id="164"/>
    <w:bookmarkEnd w:id="165"/>
    <w:bookmarkEnd w:id="166"/>
    <w:p w14:paraId="48B046B2">
      <w:pPr>
        <w:ind w:firstLine="411" w:firstLineChars="196"/>
        <w:rPr>
          <w:rFonts w:ascii="宋体" w:hAnsi="宋体"/>
        </w:rPr>
      </w:pPr>
      <w:bookmarkStart w:id="167" w:name="_Toc100052399"/>
      <w:r>
        <w:rPr>
          <w:rFonts w:hint="eastAsia" w:ascii="宋体" w:hAnsi="宋体"/>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作出响应。</w:t>
      </w:r>
    </w:p>
    <w:p w14:paraId="2E8DA90C">
      <w:pPr>
        <w:ind w:firstLine="411" w:firstLineChars="196"/>
        <w:rPr>
          <w:rFonts w:ascii="宋体" w:hAnsi="宋体"/>
        </w:rPr>
      </w:pPr>
      <w:r>
        <w:rPr>
          <w:rFonts w:hint="eastAsia" w:ascii="宋体" w:hAnsi="宋体"/>
        </w:rPr>
        <w:t>16.2投标文件初审内容请详见“关键信息”中的《资格性审查表》和《符合性审查表》部分。投标供应商若有一条审查不通过则按投标无效处理。</w:t>
      </w:r>
    </w:p>
    <w:p w14:paraId="34F8D128">
      <w:pPr>
        <w:ind w:firstLine="411" w:firstLineChars="196"/>
        <w:rPr>
          <w:rFonts w:ascii="宋体" w:hAnsi="宋体"/>
        </w:rPr>
      </w:pPr>
      <w:r>
        <w:rPr>
          <w:rFonts w:hint="eastAsia" w:ascii="宋体" w:hAnsi="宋体"/>
        </w:rPr>
        <w:t>16.3对不属于《资格性审查表》和《符合性审查表》所列的其他情形，除法律法规另有规定外，不得作为投标无效的理由。</w:t>
      </w:r>
    </w:p>
    <w:p w14:paraId="6F24F5BC">
      <w:pPr>
        <w:spacing w:line="360" w:lineRule="auto"/>
        <w:rPr>
          <w:rFonts w:ascii="黑体" w:hAnsi="宋体" w:eastAsia="黑体"/>
          <w:sz w:val="24"/>
        </w:rPr>
      </w:pPr>
      <w:r>
        <w:rPr>
          <w:rFonts w:hint="eastAsia" w:ascii="黑体" w:hAnsi="宋体" w:eastAsia="黑体"/>
          <w:sz w:val="24"/>
        </w:rPr>
        <w:t>17．澄清有关问题</w:t>
      </w:r>
      <w:bookmarkEnd w:id="167"/>
    </w:p>
    <w:p w14:paraId="6B8990FB">
      <w:pPr>
        <w:ind w:firstLine="411" w:firstLineChars="196"/>
        <w:rPr>
          <w:rFonts w:ascii="宋体" w:hAnsi="宋体"/>
        </w:rPr>
      </w:pPr>
      <w:bookmarkStart w:id="168" w:name="bt废标"/>
      <w:bookmarkEnd w:id="168"/>
      <w:bookmarkStart w:id="169" w:name="bt投标文件的澄清"/>
      <w:bookmarkEnd w:id="169"/>
      <w:bookmarkStart w:id="170" w:name="bt投标文件的评估和比较"/>
      <w:bookmarkEnd w:id="170"/>
      <w:bookmarkStart w:id="171" w:name="_Hlk71407321"/>
      <w:bookmarkStart w:id="172" w:name="_Toc73521669"/>
      <w:bookmarkStart w:id="173" w:name="_Toc100052400"/>
      <w:bookmarkStart w:id="174" w:name="_Toc73521581"/>
      <w:bookmarkStart w:id="175" w:name="_Toc73517673"/>
      <w:bookmarkStart w:id="176" w:name="_Toc73518151"/>
      <w:bookmarkStart w:id="177" w:name="_Toc73518153"/>
      <w:bookmarkStart w:id="178" w:name="_Toc73521583"/>
      <w:bookmarkStart w:id="179" w:name="_Toc73517675"/>
      <w:bookmarkStart w:id="180" w:name="_Toc73521671"/>
      <w:r>
        <w:rPr>
          <w:rFonts w:hint="eastAsia" w:ascii="宋体" w:hAnsi="宋体"/>
        </w:rPr>
        <w:t>17</w:t>
      </w:r>
      <w:r>
        <w:rPr>
          <w:rFonts w:ascii="宋体" w:hAnsi="宋体"/>
        </w:rPr>
        <w:t>.1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71"/>
    </w:p>
    <w:p w14:paraId="3C1F2111">
      <w:pPr>
        <w:ind w:firstLine="411" w:firstLineChars="196"/>
        <w:rPr>
          <w:rFonts w:ascii="宋体" w:hAnsi="宋体"/>
        </w:rPr>
      </w:pPr>
      <w:r>
        <w:rPr>
          <w:rFonts w:hint="eastAsia" w:ascii="宋体" w:hAnsi="宋体"/>
        </w:rPr>
        <w:t>17</w:t>
      </w:r>
      <w:r>
        <w:rPr>
          <w:rFonts w:ascii="宋体" w:hAnsi="宋体"/>
        </w:rPr>
        <w:t>.</w:t>
      </w:r>
      <w:r>
        <w:rPr>
          <w:rFonts w:hint="eastAsia" w:ascii="宋体" w:hAnsi="宋体"/>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ascii="宋体" w:hAnsi="宋体"/>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7F4DE081">
      <w:pPr>
        <w:ind w:firstLine="411" w:firstLineChars="196"/>
        <w:rPr>
          <w:rFonts w:ascii="宋体" w:hAnsi="宋体"/>
          <w:color w:val="FF0000"/>
        </w:rPr>
      </w:pPr>
      <w:r>
        <w:rPr>
          <w:rFonts w:hint="eastAsia" w:ascii="宋体" w:hAnsi="宋体"/>
        </w:rPr>
        <w:t>17</w:t>
      </w:r>
      <w:r>
        <w:rPr>
          <w:rFonts w:ascii="宋体" w:hAnsi="宋体"/>
        </w:rPr>
        <w:t>.</w:t>
      </w:r>
      <w:r>
        <w:rPr>
          <w:rFonts w:hint="eastAsia" w:ascii="宋体" w:hAnsi="宋体"/>
        </w:rPr>
        <w:t>3</w:t>
      </w:r>
      <w:r>
        <w:rPr>
          <w:rFonts w:hint="eastAsia" w:ascii="宋体" w:hAnsi="宋体"/>
          <w:szCs w:val="21"/>
        </w:rPr>
        <w:t>对于投标文件中含义不明确、同类问题表述不一致或者有明显文字和计算错误的内容，评标委员会应当以书面形式要求投标供应商作出必要的澄清、说明或者补正。</w:t>
      </w:r>
    </w:p>
    <w:p w14:paraId="11D3EA04">
      <w:pPr>
        <w:ind w:firstLine="411" w:firstLineChars="196"/>
        <w:rPr>
          <w:rFonts w:ascii="宋体" w:hAnsi="宋体"/>
          <w:szCs w:val="21"/>
        </w:rPr>
      </w:pPr>
      <w:r>
        <w:rPr>
          <w:rFonts w:hint="eastAsia" w:ascii="宋体" w:hAnsi="宋体"/>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14:paraId="7AEC9545">
      <w:pPr>
        <w:pStyle w:val="32"/>
        <w:ind w:left="0" w:leftChars="0"/>
      </w:pPr>
      <w:r>
        <w:rPr>
          <w:rFonts w:hint="eastAsia"/>
        </w:rPr>
        <w:t>根据本通用条款第18条，凡属于评审委员会在评审中发现的算术错误进行核实的修改不在此列。</w:t>
      </w:r>
    </w:p>
    <w:p w14:paraId="2055B221">
      <w:pPr>
        <w:spacing w:line="360" w:lineRule="auto"/>
        <w:rPr>
          <w:rFonts w:ascii="黑体" w:hAnsi="宋体" w:eastAsia="黑体"/>
          <w:sz w:val="24"/>
        </w:rPr>
      </w:pPr>
      <w:r>
        <w:rPr>
          <w:rFonts w:hint="eastAsia" w:ascii="黑体" w:hAnsi="宋体" w:eastAsia="黑体"/>
          <w:sz w:val="24"/>
        </w:rPr>
        <w:t>18．错误的修正</w:t>
      </w:r>
      <w:bookmarkEnd w:id="172"/>
      <w:bookmarkEnd w:id="173"/>
      <w:bookmarkEnd w:id="174"/>
      <w:bookmarkEnd w:id="175"/>
      <w:bookmarkEnd w:id="176"/>
    </w:p>
    <w:p w14:paraId="79A33412">
      <w:pPr>
        <w:ind w:firstLine="411" w:firstLineChars="196"/>
        <w:rPr>
          <w:rFonts w:ascii="宋体" w:hAnsi="宋体"/>
          <w:szCs w:val="21"/>
        </w:rPr>
      </w:pPr>
      <w:r>
        <w:rPr>
          <w:rFonts w:hint="eastAsia" w:ascii="宋体" w:hAnsi="宋体"/>
          <w:szCs w:val="21"/>
        </w:rPr>
        <w:t>投标文件报价出现前后不一致的，除招标文件另有规定外，按照下列规定修正：</w:t>
      </w:r>
    </w:p>
    <w:p w14:paraId="7E81BE25">
      <w:pPr>
        <w:ind w:firstLine="411" w:firstLineChars="196"/>
        <w:rPr>
          <w:rFonts w:ascii="宋体" w:hAnsi="宋体"/>
          <w:szCs w:val="21"/>
        </w:rPr>
      </w:pPr>
      <w:r>
        <w:rPr>
          <w:rFonts w:hint="eastAsia" w:ascii="宋体" w:hAnsi="宋体"/>
          <w:szCs w:val="21"/>
        </w:rPr>
        <w:t>18.1投标文件中开标一览表内容与投标文件中相应内容不一致的，以开标一览表为准；</w:t>
      </w:r>
    </w:p>
    <w:p w14:paraId="6859228F">
      <w:pPr>
        <w:ind w:firstLine="411" w:firstLineChars="196"/>
        <w:rPr>
          <w:rFonts w:ascii="宋体" w:hAnsi="宋体"/>
          <w:szCs w:val="21"/>
        </w:rPr>
      </w:pPr>
      <w:r>
        <w:rPr>
          <w:rFonts w:hint="eastAsia" w:ascii="宋体" w:hAnsi="宋体"/>
          <w:szCs w:val="21"/>
        </w:rPr>
        <w:t>18.2大写金额和小写金额不一致的，以大写金额为准；</w:t>
      </w:r>
    </w:p>
    <w:p w14:paraId="045EDA52">
      <w:pPr>
        <w:ind w:firstLine="411" w:firstLineChars="196"/>
        <w:rPr>
          <w:rFonts w:ascii="宋体" w:hAnsi="宋体"/>
          <w:szCs w:val="21"/>
        </w:rPr>
      </w:pPr>
      <w:r>
        <w:rPr>
          <w:rFonts w:hint="eastAsia" w:ascii="宋体" w:hAnsi="宋体"/>
          <w:szCs w:val="21"/>
        </w:rPr>
        <w:t>18.3单价金额小数点或者百分比有明显错位，以开标一览表的总价为准，并修改单价；</w:t>
      </w:r>
    </w:p>
    <w:p w14:paraId="5921E75A">
      <w:pPr>
        <w:ind w:firstLine="411" w:firstLineChars="196"/>
        <w:rPr>
          <w:rFonts w:ascii="宋体" w:hAnsi="宋体"/>
          <w:szCs w:val="21"/>
        </w:rPr>
      </w:pPr>
      <w:r>
        <w:rPr>
          <w:rFonts w:hint="eastAsia" w:ascii="宋体" w:hAnsi="宋体"/>
          <w:szCs w:val="21"/>
        </w:rPr>
        <w:t>18.4总价金额与按单价汇总金额不一致的，以单价金额计算结果为准。</w:t>
      </w:r>
    </w:p>
    <w:p w14:paraId="5F7299E3">
      <w:pPr>
        <w:ind w:firstLine="411" w:firstLineChars="196"/>
        <w:rPr>
          <w:rFonts w:ascii="宋体" w:hAnsi="宋体"/>
          <w:szCs w:val="21"/>
        </w:rPr>
      </w:pPr>
      <w:r>
        <w:rPr>
          <w:rFonts w:hint="eastAsia" w:ascii="宋体" w:hAnsi="宋体"/>
          <w:szCs w:val="21"/>
        </w:rPr>
        <w:t>18.5同时出现两种以上不一致的，按照前款规定的顺序修正。修正后的报价按照第17条规定，经投标供应商确认后产生约束力，投标人不确认的，其投标无效。</w:t>
      </w:r>
      <w:bookmarkEnd w:id="177"/>
      <w:bookmarkEnd w:id="178"/>
      <w:bookmarkEnd w:id="179"/>
      <w:bookmarkEnd w:id="180"/>
      <w:bookmarkStart w:id="181" w:name="_Toc100052402"/>
    </w:p>
    <w:p w14:paraId="65C0D1F1">
      <w:pPr>
        <w:spacing w:line="360" w:lineRule="auto"/>
        <w:rPr>
          <w:rFonts w:ascii="黑体" w:hAnsi="宋体" w:eastAsia="黑体"/>
          <w:sz w:val="24"/>
        </w:rPr>
      </w:pPr>
      <w:r>
        <w:rPr>
          <w:rFonts w:hint="eastAsia" w:ascii="黑体" w:hAnsi="宋体" w:eastAsia="黑体"/>
          <w:sz w:val="24"/>
        </w:rPr>
        <w:t>19．评标方法</w:t>
      </w:r>
      <w:bookmarkEnd w:id="181"/>
      <w:bookmarkStart w:id="182" w:name="_Toc100052403"/>
      <w:bookmarkStart w:id="183" w:name="_Toc73521673"/>
      <w:bookmarkStart w:id="184" w:name="_Toc60631660"/>
      <w:bookmarkStart w:id="185" w:name="_Toc73521585"/>
      <w:bookmarkStart w:id="186" w:name="_Toc73517677"/>
      <w:bookmarkStart w:id="187" w:name="_Toc60560665"/>
      <w:bookmarkStart w:id="188" w:name="_Toc73518155"/>
    </w:p>
    <w:p w14:paraId="2CC796CD">
      <w:pPr>
        <w:spacing w:line="360" w:lineRule="auto"/>
        <w:ind w:firstLine="420" w:firstLineChars="200"/>
        <w:rPr>
          <w:rFonts w:ascii="宋体" w:hAnsi="宋体"/>
          <w:szCs w:val="21"/>
        </w:rPr>
      </w:pPr>
      <w:r>
        <w:rPr>
          <w:rFonts w:hint="eastAsia" w:ascii="宋体" w:hAnsi="宋体"/>
          <w:szCs w:val="21"/>
        </w:rPr>
        <w:t>本项目采用评标方法详见招标文件中的《评标信息》部分。</w:t>
      </w:r>
    </w:p>
    <w:p w14:paraId="4FB88FCF">
      <w:pPr>
        <w:spacing w:line="360" w:lineRule="auto"/>
        <w:rPr>
          <w:rFonts w:ascii="黑体" w:hAnsi="宋体" w:eastAsia="黑体"/>
          <w:sz w:val="24"/>
        </w:rPr>
      </w:pPr>
      <w:r>
        <w:rPr>
          <w:rFonts w:hint="eastAsia" w:ascii="黑体" w:hAnsi="宋体" w:eastAsia="黑体"/>
          <w:sz w:val="24"/>
        </w:rPr>
        <w:t>20．定标</w:t>
      </w:r>
      <w:bookmarkEnd w:id="182"/>
      <w:bookmarkEnd w:id="183"/>
      <w:bookmarkEnd w:id="184"/>
      <w:bookmarkEnd w:id="185"/>
      <w:bookmarkEnd w:id="186"/>
      <w:bookmarkEnd w:id="187"/>
      <w:bookmarkEnd w:id="188"/>
    </w:p>
    <w:p w14:paraId="4193380C">
      <w:pPr>
        <w:ind w:firstLine="411" w:firstLineChars="196"/>
        <w:rPr>
          <w:rFonts w:ascii="宋体" w:hAnsi="宋体"/>
          <w:szCs w:val="21"/>
        </w:rPr>
      </w:pPr>
      <w:bookmarkStart w:id="189" w:name="_Toc100052404"/>
      <w:r>
        <w:rPr>
          <w:rFonts w:hint="eastAsia" w:ascii="宋体" w:hAnsi="宋体"/>
          <w:szCs w:val="21"/>
        </w:rPr>
        <w:t>本项目采用定标方法详见招标文件中的《定标方法》部分。</w:t>
      </w:r>
    </w:p>
    <w:p w14:paraId="2C2612C1">
      <w:pPr>
        <w:spacing w:line="360" w:lineRule="auto"/>
        <w:rPr>
          <w:rFonts w:ascii="黑体" w:hAnsi="宋体" w:eastAsia="黑体"/>
          <w:sz w:val="24"/>
        </w:rPr>
      </w:pPr>
      <w:r>
        <w:rPr>
          <w:rFonts w:hint="eastAsia" w:ascii="黑体" w:hAnsi="宋体" w:eastAsia="黑体"/>
          <w:sz w:val="24"/>
        </w:rPr>
        <w:t>21．编写评标报告</w:t>
      </w:r>
      <w:bookmarkEnd w:id="189"/>
    </w:p>
    <w:p w14:paraId="113EF4A3">
      <w:pPr>
        <w:ind w:firstLine="411" w:firstLineChars="196"/>
        <w:rPr>
          <w:rFonts w:ascii="宋体" w:hAnsi="宋体"/>
          <w:szCs w:val="21"/>
        </w:rPr>
      </w:pPr>
      <w:r>
        <w:rPr>
          <w:rFonts w:hint="eastAsia" w:ascii="宋体" w:hAnsi="宋体"/>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14:paraId="2E8C0D25">
      <w:pPr>
        <w:spacing w:line="360" w:lineRule="auto"/>
        <w:rPr>
          <w:rFonts w:ascii="黑体" w:hAnsi="宋体" w:eastAsia="黑体"/>
          <w:sz w:val="24"/>
        </w:rPr>
      </w:pPr>
      <w:bookmarkStart w:id="190" w:name="_Toc73521588"/>
      <w:bookmarkStart w:id="191" w:name="_Toc73521676"/>
      <w:bookmarkStart w:id="192" w:name="_Toc73518159"/>
      <w:bookmarkStart w:id="193" w:name="_Toc100052405"/>
      <w:bookmarkStart w:id="194" w:name="_Toc73517681"/>
      <w:r>
        <w:rPr>
          <w:rFonts w:hint="eastAsia" w:ascii="黑体" w:hAnsi="宋体" w:eastAsia="黑体"/>
          <w:sz w:val="24"/>
        </w:rPr>
        <w:t>22．</w:t>
      </w:r>
      <w:bookmarkEnd w:id="190"/>
      <w:bookmarkEnd w:id="191"/>
      <w:bookmarkEnd w:id="192"/>
      <w:bookmarkEnd w:id="193"/>
      <w:bookmarkEnd w:id="194"/>
      <w:r>
        <w:rPr>
          <w:rFonts w:hint="eastAsia" w:ascii="黑体" w:hAnsi="宋体" w:eastAsia="黑体"/>
          <w:sz w:val="24"/>
        </w:rPr>
        <w:t>中标（成交）公告</w:t>
      </w:r>
    </w:p>
    <w:p w14:paraId="19260B71">
      <w:pPr>
        <w:ind w:firstLine="411" w:firstLineChars="196"/>
        <w:rPr>
          <w:rFonts w:ascii="宋体" w:hAnsi="宋体"/>
          <w:szCs w:val="21"/>
        </w:rPr>
      </w:pPr>
      <w:r>
        <w:rPr>
          <w:rFonts w:hint="eastAsia" w:ascii="宋体" w:hAnsi="宋体"/>
          <w:szCs w:val="21"/>
        </w:rPr>
        <w:t>22.1</w:t>
      </w:r>
      <w:bookmarkStart w:id="195" w:name="OLE_LINK5"/>
      <w:r>
        <w:rPr>
          <w:rFonts w:hint="eastAsia" w:ascii="宋体" w:hAnsi="宋体"/>
          <w:szCs w:val="21"/>
        </w:rPr>
        <w:t>为体现“公开、公平、公正”的原则，评标结束后，深圳公共资源交易中心（深圳交易集团有限公司罗湖分公司）将在</w:t>
      </w:r>
      <w:r>
        <w:rPr>
          <w:rFonts w:hint="eastAsia" w:ascii="宋体" w:hAnsi="宋体"/>
          <w:color w:val="FF0000"/>
          <w:szCs w:val="21"/>
        </w:rPr>
        <w:t>深圳交易集团罗湖分公司官网（https://lh.szexgrp.com/jyfw/zfcg-view.html?id=zfcg）</w:t>
      </w:r>
      <w:r>
        <w:rPr>
          <w:rFonts w:hint="eastAsia" w:ascii="宋体" w:hAnsi="宋体"/>
          <w:szCs w:val="21"/>
        </w:rPr>
        <w:t>上发布中标（成交）结果公告。</w:t>
      </w:r>
      <w:bookmarkEnd w:id="195"/>
    </w:p>
    <w:p w14:paraId="67EFFCA4">
      <w:pPr>
        <w:spacing w:line="360" w:lineRule="auto"/>
        <w:rPr>
          <w:rFonts w:ascii="黑体" w:hAnsi="宋体" w:eastAsia="黑体"/>
          <w:sz w:val="24"/>
        </w:rPr>
      </w:pPr>
      <w:bookmarkStart w:id="196" w:name="_Toc100052406"/>
      <w:r>
        <w:rPr>
          <w:rFonts w:hint="eastAsia" w:ascii="黑体" w:hAnsi="宋体" w:eastAsia="黑体"/>
          <w:sz w:val="24"/>
        </w:rPr>
        <w:t>23．中标（成交）通知书</w:t>
      </w:r>
      <w:bookmarkEnd w:id="196"/>
    </w:p>
    <w:p w14:paraId="287A71BD">
      <w:pPr>
        <w:ind w:firstLine="411" w:firstLineChars="196"/>
        <w:rPr>
          <w:rFonts w:ascii="宋体" w:hAnsi="宋体"/>
          <w:szCs w:val="21"/>
        </w:rPr>
      </w:pPr>
      <w:r>
        <w:rPr>
          <w:rFonts w:hint="eastAsia" w:ascii="宋体" w:hAnsi="宋体"/>
          <w:szCs w:val="21"/>
        </w:rPr>
        <w:t>23</w:t>
      </w:r>
      <w:r>
        <w:rPr>
          <w:rFonts w:ascii="宋体" w:hAnsi="宋体"/>
          <w:szCs w:val="21"/>
        </w:rPr>
        <w:t>.</w:t>
      </w:r>
      <w:r>
        <w:rPr>
          <w:rFonts w:hint="eastAsia" w:ascii="宋体" w:hAnsi="宋体"/>
          <w:szCs w:val="21"/>
        </w:rPr>
        <w:t>1</w:t>
      </w:r>
      <w:bookmarkStart w:id="197" w:name="OLE_LINK40"/>
      <w:r>
        <w:rPr>
          <w:rFonts w:hint="eastAsia" w:ascii="宋体" w:hAnsi="宋体" w:cs="宋体"/>
          <w:color w:val="000000"/>
          <w:kern w:val="0"/>
          <w:szCs w:val="21"/>
        </w:rPr>
        <w:t>中标（成交）公告发布并公示1个工作日后，</w:t>
      </w:r>
      <w:bookmarkEnd w:id="197"/>
      <w:r>
        <w:rPr>
          <w:rFonts w:hint="eastAsia" w:ascii="宋体" w:hAnsi="宋体" w:cs="宋体"/>
          <w:color w:val="000000"/>
          <w:kern w:val="0"/>
          <w:szCs w:val="21"/>
        </w:rPr>
        <w:t>公示期满无异议或者异议不成立的，中标人向深圳公共资源交易中心（深圳交易集团有限公司罗湖分公司）缴纳代理服务费后</w:t>
      </w:r>
      <w:r>
        <w:rPr>
          <w:rFonts w:hint="eastAsia" w:ascii="宋体" w:hAnsi="宋体" w:cs="宋体"/>
          <w:kern w:val="0"/>
          <w:szCs w:val="21"/>
        </w:rPr>
        <w:t>，</w:t>
      </w:r>
      <w:r>
        <w:rPr>
          <w:rFonts w:hint="eastAsia" w:ascii="宋体" w:hAnsi="宋体" w:cs="宋体"/>
          <w:szCs w:val="21"/>
        </w:rPr>
        <w:t>方可领取《中标（成交）通知书》</w:t>
      </w:r>
      <w:r>
        <w:rPr>
          <w:rFonts w:hint="eastAsia" w:ascii="宋体" w:hAnsi="宋体" w:cs="宋体"/>
          <w:kern w:val="0"/>
          <w:szCs w:val="21"/>
        </w:rPr>
        <w:t>。</w:t>
      </w:r>
    </w:p>
    <w:p w14:paraId="077D9BF7">
      <w:pPr>
        <w:ind w:firstLine="411" w:firstLineChars="196"/>
        <w:rPr>
          <w:rFonts w:ascii="宋体" w:hAnsi="宋体"/>
          <w:szCs w:val="21"/>
        </w:rPr>
      </w:pPr>
      <w:r>
        <w:rPr>
          <w:rFonts w:hint="eastAsia" w:ascii="宋体" w:hAnsi="宋体"/>
          <w:color w:val="FF0000"/>
          <w:szCs w:val="21"/>
        </w:rPr>
        <w:t>23.2因质疑投诉或其它原因导致项目结果变更或采购终止的，深圳公共资源交易中心（深圳交易集团有限公司罗湖分公司）有权收回中标（成交）通知书。</w:t>
      </w:r>
    </w:p>
    <w:p w14:paraId="51C59B55">
      <w:pPr>
        <w:jc w:val="center"/>
      </w:pPr>
      <w:bookmarkStart w:id="198" w:name="bt合同的授予"/>
      <w:bookmarkEnd w:id="198"/>
      <w:r>
        <w:t>---- END ----</w:t>
      </w:r>
    </w:p>
    <w:p w14:paraId="24E370D4"/>
    <w:sectPr>
      <w:footerReference r:id="rId3" w:type="default"/>
      <w:pgSz w:w="11850" w:h="16783"/>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61202">
    <w:pPr>
      <w:pStyle w:val="2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p w14:paraId="0C9F963D">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E5FD357F"/>
    <w:multiLevelType w:val="singleLevel"/>
    <w:tmpl w:val="E5FD357F"/>
    <w:lvl w:ilvl="0" w:tentative="0">
      <w:start w:val="2"/>
      <w:numFmt w:val="decimal"/>
      <w:suff w:val="nothing"/>
      <w:lvlText w:val="（%1）"/>
      <w:lvlJc w:val="left"/>
    </w:lvl>
  </w:abstractNum>
  <w:abstractNum w:abstractNumId="2">
    <w:nsid w:val="F56F3652"/>
    <w:multiLevelType w:val="singleLevel"/>
    <w:tmpl w:val="F56F3652"/>
    <w:lvl w:ilvl="0" w:tentative="0">
      <w:start w:val="2"/>
      <w:numFmt w:val="chineseCounting"/>
      <w:suff w:val="nothing"/>
      <w:lvlText w:val="%1、"/>
      <w:lvlJc w:val="left"/>
      <w:rPr>
        <w:rFonts w:hint="eastAsia"/>
      </w:rPr>
    </w:lvl>
  </w:abstractNum>
  <w:abstractNum w:abstractNumId="3">
    <w:nsid w:val="223F8136"/>
    <w:multiLevelType w:val="singleLevel"/>
    <w:tmpl w:val="223F8136"/>
    <w:lvl w:ilvl="0" w:tentative="0">
      <w:start w:val="2"/>
      <w:numFmt w:val="chineseCounting"/>
      <w:suff w:val="nothing"/>
      <w:lvlText w:val="（%1）"/>
      <w:lvlJc w:val="left"/>
      <w:rPr>
        <w:rFonts w:hint="eastAsia"/>
      </w:rPr>
    </w:lvl>
  </w:abstractNum>
  <w:abstractNum w:abstractNumId="4">
    <w:nsid w:val="2CCFBEDA"/>
    <w:multiLevelType w:val="singleLevel"/>
    <w:tmpl w:val="2CCFBEDA"/>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8B57C1"/>
    <w:rsid w:val="00006DCC"/>
    <w:rsid w:val="00015FFC"/>
    <w:rsid w:val="000332F9"/>
    <w:rsid w:val="000447CC"/>
    <w:rsid w:val="0004556E"/>
    <w:rsid w:val="00046F51"/>
    <w:rsid w:val="000474BA"/>
    <w:rsid w:val="000553BC"/>
    <w:rsid w:val="00055E0E"/>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1625"/>
    <w:rsid w:val="000C39D5"/>
    <w:rsid w:val="000C418B"/>
    <w:rsid w:val="000D2A69"/>
    <w:rsid w:val="000E40B0"/>
    <w:rsid w:val="000E6620"/>
    <w:rsid w:val="000F1EAC"/>
    <w:rsid w:val="00101CAE"/>
    <w:rsid w:val="001035DF"/>
    <w:rsid w:val="0010789C"/>
    <w:rsid w:val="00115BE9"/>
    <w:rsid w:val="001228D7"/>
    <w:rsid w:val="00126A9D"/>
    <w:rsid w:val="001366C2"/>
    <w:rsid w:val="00136AA2"/>
    <w:rsid w:val="00141D10"/>
    <w:rsid w:val="0015723B"/>
    <w:rsid w:val="001750D1"/>
    <w:rsid w:val="0017658C"/>
    <w:rsid w:val="00181DFB"/>
    <w:rsid w:val="001A55D2"/>
    <w:rsid w:val="001A6BFB"/>
    <w:rsid w:val="001B26F0"/>
    <w:rsid w:val="001B6133"/>
    <w:rsid w:val="001C0B1F"/>
    <w:rsid w:val="001C101D"/>
    <w:rsid w:val="001C74B9"/>
    <w:rsid w:val="001D1C51"/>
    <w:rsid w:val="001D524F"/>
    <w:rsid w:val="001E2B18"/>
    <w:rsid w:val="001E3A48"/>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761B"/>
    <w:rsid w:val="002B09B2"/>
    <w:rsid w:val="002B38A4"/>
    <w:rsid w:val="002B3E9D"/>
    <w:rsid w:val="002B5E7E"/>
    <w:rsid w:val="002B60A9"/>
    <w:rsid w:val="002B6B39"/>
    <w:rsid w:val="002C1BBD"/>
    <w:rsid w:val="002C3220"/>
    <w:rsid w:val="002D2995"/>
    <w:rsid w:val="002F6203"/>
    <w:rsid w:val="0032056A"/>
    <w:rsid w:val="00321CF0"/>
    <w:rsid w:val="00322596"/>
    <w:rsid w:val="003247E6"/>
    <w:rsid w:val="0033274B"/>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A06F2"/>
    <w:rsid w:val="003A0F7D"/>
    <w:rsid w:val="003B25CB"/>
    <w:rsid w:val="003B415C"/>
    <w:rsid w:val="003C09D0"/>
    <w:rsid w:val="003C1A5A"/>
    <w:rsid w:val="003C23B3"/>
    <w:rsid w:val="003C726E"/>
    <w:rsid w:val="003C7FFD"/>
    <w:rsid w:val="003D36CF"/>
    <w:rsid w:val="003E0D03"/>
    <w:rsid w:val="003E1E7E"/>
    <w:rsid w:val="003E4A7B"/>
    <w:rsid w:val="003E7177"/>
    <w:rsid w:val="003F13B5"/>
    <w:rsid w:val="003F311E"/>
    <w:rsid w:val="003F40FA"/>
    <w:rsid w:val="0040557E"/>
    <w:rsid w:val="00410A72"/>
    <w:rsid w:val="0041701F"/>
    <w:rsid w:val="004220FC"/>
    <w:rsid w:val="00423DAC"/>
    <w:rsid w:val="004335DD"/>
    <w:rsid w:val="0043399E"/>
    <w:rsid w:val="00433DAD"/>
    <w:rsid w:val="00436BCA"/>
    <w:rsid w:val="00436F3B"/>
    <w:rsid w:val="00442F3A"/>
    <w:rsid w:val="004476B8"/>
    <w:rsid w:val="0045488F"/>
    <w:rsid w:val="00461F91"/>
    <w:rsid w:val="00464EAC"/>
    <w:rsid w:val="00470795"/>
    <w:rsid w:val="00472B96"/>
    <w:rsid w:val="004765C2"/>
    <w:rsid w:val="0048288E"/>
    <w:rsid w:val="0048372D"/>
    <w:rsid w:val="00483E24"/>
    <w:rsid w:val="0048695B"/>
    <w:rsid w:val="004878E3"/>
    <w:rsid w:val="00490DAC"/>
    <w:rsid w:val="00491CD6"/>
    <w:rsid w:val="004937AD"/>
    <w:rsid w:val="004A3413"/>
    <w:rsid w:val="004A7E88"/>
    <w:rsid w:val="004B023E"/>
    <w:rsid w:val="004B20CF"/>
    <w:rsid w:val="004B3D4D"/>
    <w:rsid w:val="004B4BB7"/>
    <w:rsid w:val="004B78CB"/>
    <w:rsid w:val="004C0098"/>
    <w:rsid w:val="004D449E"/>
    <w:rsid w:val="004D5B21"/>
    <w:rsid w:val="004F23A6"/>
    <w:rsid w:val="004F3E38"/>
    <w:rsid w:val="00500281"/>
    <w:rsid w:val="005031A0"/>
    <w:rsid w:val="00511D4E"/>
    <w:rsid w:val="00516293"/>
    <w:rsid w:val="00526FC5"/>
    <w:rsid w:val="00527ABB"/>
    <w:rsid w:val="00532F97"/>
    <w:rsid w:val="005461B9"/>
    <w:rsid w:val="00553C76"/>
    <w:rsid w:val="00554174"/>
    <w:rsid w:val="005541CC"/>
    <w:rsid w:val="00555335"/>
    <w:rsid w:val="00556FA0"/>
    <w:rsid w:val="005641B6"/>
    <w:rsid w:val="00567CE1"/>
    <w:rsid w:val="00574065"/>
    <w:rsid w:val="00576476"/>
    <w:rsid w:val="00582F3D"/>
    <w:rsid w:val="00584A41"/>
    <w:rsid w:val="00584AAA"/>
    <w:rsid w:val="005A0521"/>
    <w:rsid w:val="005A3859"/>
    <w:rsid w:val="005A72CF"/>
    <w:rsid w:val="005C2E8A"/>
    <w:rsid w:val="005C52A7"/>
    <w:rsid w:val="005C6DAA"/>
    <w:rsid w:val="005D0421"/>
    <w:rsid w:val="005D0F06"/>
    <w:rsid w:val="005D1CAA"/>
    <w:rsid w:val="005D3DCC"/>
    <w:rsid w:val="005E075E"/>
    <w:rsid w:val="005E397F"/>
    <w:rsid w:val="005E44F1"/>
    <w:rsid w:val="005E7AF0"/>
    <w:rsid w:val="005F1249"/>
    <w:rsid w:val="005F1C2C"/>
    <w:rsid w:val="005F3D27"/>
    <w:rsid w:val="005F63B3"/>
    <w:rsid w:val="005F6786"/>
    <w:rsid w:val="005F785D"/>
    <w:rsid w:val="00600944"/>
    <w:rsid w:val="00620E17"/>
    <w:rsid w:val="00622154"/>
    <w:rsid w:val="0062351E"/>
    <w:rsid w:val="00630D6A"/>
    <w:rsid w:val="00640119"/>
    <w:rsid w:val="006446B2"/>
    <w:rsid w:val="00644BD6"/>
    <w:rsid w:val="00647436"/>
    <w:rsid w:val="00651C90"/>
    <w:rsid w:val="00657E06"/>
    <w:rsid w:val="006626AF"/>
    <w:rsid w:val="00666D15"/>
    <w:rsid w:val="00676E64"/>
    <w:rsid w:val="006A11F3"/>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2018B"/>
    <w:rsid w:val="007313DB"/>
    <w:rsid w:val="0073343E"/>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F35"/>
    <w:rsid w:val="007E0E98"/>
    <w:rsid w:val="007E4543"/>
    <w:rsid w:val="007F75BF"/>
    <w:rsid w:val="00810818"/>
    <w:rsid w:val="00824E74"/>
    <w:rsid w:val="0083634D"/>
    <w:rsid w:val="00846914"/>
    <w:rsid w:val="00864CD6"/>
    <w:rsid w:val="00871D97"/>
    <w:rsid w:val="008724D1"/>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3414"/>
    <w:rsid w:val="00914754"/>
    <w:rsid w:val="009151E7"/>
    <w:rsid w:val="009238A9"/>
    <w:rsid w:val="00923953"/>
    <w:rsid w:val="009246B3"/>
    <w:rsid w:val="009316C1"/>
    <w:rsid w:val="0093237D"/>
    <w:rsid w:val="00945616"/>
    <w:rsid w:val="00951225"/>
    <w:rsid w:val="0095588D"/>
    <w:rsid w:val="009724DA"/>
    <w:rsid w:val="0097491F"/>
    <w:rsid w:val="00977ED6"/>
    <w:rsid w:val="00983644"/>
    <w:rsid w:val="009869B0"/>
    <w:rsid w:val="009919D7"/>
    <w:rsid w:val="009A6FE8"/>
    <w:rsid w:val="009C3A8D"/>
    <w:rsid w:val="009D37FB"/>
    <w:rsid w:val="009D49CC"/>
    <w:rsid w:val="009D6378"/>
    <w:rsid w:val="009F1D2D"/>
    <w:rsid w:val="009F36A7"/>
    <w:rsid w:val="009F4A67"/>
    <w:rsid w:val="009F53F4"/>
    <w:rsid w:val="00A0386F"/>
    <w:rsid w:val="00A11A0A"/>
    <w:rsid w:val="00A11E70"/>
    <w:rsid w:val="00A1259E"/>
    <w:rsid w:val="00A12818"/>
    <w:rsid w:val="00A20CC6"/>
    <w:rsid w:val="00A23D95"/>
    <w:rsid w:val="00A250C0"/>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5E47"/>
    <w:rsid w:val="00AD65CA"/>
    <w:rsid w:val="00AD6DDB"/>
    <w:rsid w:val="00AE4301"/>
    <w:rsid w:val="00AE6BEE"/>
    <w:rsid w:val="00AE78C6"/>
    <w:rsid w:val="00AE7EB8"/>
    <w:rsid w:val="00AF39C9"/>
    <w:rsid w:val="00AF677B"/>
    <w:rsid w:val="00B02442"/>
    <w:rsid w:val="00B07913"/>
    <w:rsid w:val="00B226A5"/>
    <w:rsid w:val="00B24B5B"/>
    <w:rsid w:val="00B262ED"/>
    <w:rsid w:val="00B303FA"/>
    <w:rsid w:val="00B30AA7"/>
    <w:rsid w:val="00B3544A"/>
    <w:rsid w:val="00B41358"/>
    <w:rsid w:val="00B420C8"/>
    <w:rsid w:val="00B42A8E"/>
    <w:rsid w:val="00B531C1"/>
    <w:rsid w:val="00B8646B"/>
    <w:rsid w:val="00B9196A"/>
    <w:rsid w:val="00B971AE"/>
    <w:rsid w:val="00B9722D"/>
    <w:rsid w:val="00B97965"/>
    <w:rsid w:val="00BA1F9F"/>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12D4"/>
    <w:rsid w:val="00CD400D"/>
    <w:rsid w:val="00CE367B"/>
    <w:rsid w:val="00CE712F"/>
    <w:rsid w:val="00CF1A15"/>
    <w:rsid w:val="00CF1C61"/>
    <w:rsid w:val="00CF257A"/>
    <w:rsid w:val="00CF38B9"/>
    <w:rsid w:val="00D00587"/>
    <w:rsid w:val="00D01618"/>
    <w:rsid w:val="00D03BE0"/>
    <w:rsid w:val="00D06282"/>
    <w:rsid w:val="00D21E72"/>
    <w:rsid w:val="00D23922"/>
    <w:rsid w:val="00D42356"/>
    <w:rsid w:val="00D56CB0"/>
    <w:rsid w:val="00D57709"/>
    <w:rsid w:val="00D60A72"/>
    <w:rsid w:val="00D613E8"/>
    <w:rsid w:val="00D63DE7"/>
    <w:rsid w:val="00D70074"/>
    <w:rsid w:val="00D82C20"/>
    <w:rsid w:val="00D850E9"/>
    <w:rsid w:val="00DA00E7"/>
    <w:rsid w:val="00DA08A6"/>
    <w:rsid w:val="00DA61D8"/>
    <w:rsid w:val="00DA64DE"/>
    <w:rsid w:val="00DA7D9B"/>
    <w:rsid w:val="00DB14AA"/>
    <w:rsid w:val="00DB2EA7"/>
    <w:rsid w:val="00DB310C"/>
    <w:rsid w:val="00DB449C"/>
    <w:rsid w:val="00DB6F92"/>
    <w:rsid w:val="00DB7E96"/>
    <w:rsid w:val="00DC0525"/>
    <w:rsid w:val="00DC2C6D"/>
    <w:rsid w:val="00DD205E"/>
    <w:rsid w:val="00DD75DA"/>
    <w:rsid w:val="00DE3CCC"/>
    <w:rsid w:val="00DE4DD1"/>
    <w:rsid w:val="00DE5805"/>
    <w:rsid w:val="00DF5157"/>
    <w:rsid w:val="00DF6CA0"/>
    <w:rsid w:val="00E02ED8"/>
    <w:rsid w:val="00E032D4"/>
    <w:rsid w:val="00E060EA"/>
    <w:rsid w:val="00E071BD"/>
    <w:rsid w:val="00E13137"/>
    <w:rsid w:val="00E33257"/>
    <w:rsid w:val="00E36272"/>
    <w:rsid w:val="00E462EC"/>
    <w:rsid w:val="00E569A5"/>
    <w:rsid w:val="00E6231A"/>
    <w:rsid w:val="00E64E7C"/>
    <w:rsid w:val="00E664DE"/>
    <w:rsid w:val="00E66776"/>
    <w:rsid w:val="00E72912"/>
    <w:rsid w:val="00E8032B"/>
    <w:rsid w:val="00E808A3"/>
    <w:rsid w:val="00E816C2"/>
    <w:rsid w:val="00E828B0"/>
    <w:rsid w:val="00E93783"/>
    <w:rsid w:val="00E96D09"/>
    <w:rsid w:val="00EA34A9"/>
    <w:rsid w:val="00EB066B"/>
    <w:rsid w:val="00EB1D26"/>
    <w:rsid w:val="00EC3819"/>
    <w:rsid w:val="00EC7433"/>
    <w:rsid w:val="00EE1945"/>
    <w:rsid w:val="00EE2A1D"/>
    <w:rsid w:val="00EE633E"/>
    <w:rsid w:val="00EE770F"/>
    <w:rsid w:val="00EF05F5"/>
    <w:rsid w:val="00F00071"/>
    <w:rsid w:val="00F01561"/>
    <w:rsid w:val="00F02E14"/>
    <w:rsid w:val="00F052FF"/>
    <w:rsid w:val="00F0782C"/>
    <w:rsid w:val="00F10EC2"/>
    <w:rsid w:val="00F12362"/>
    <w:rsid w:val="00F132F5"/>
    <w:rsid w:val="00F15F59"/>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5668"/>
    <w:rsid w:val="00F956C3"/>
    <w:rsid w:val="00FA0DC8"/>
    <w:rsid w:val="00FA482B"/>
    <w:rsid w:val="00FB1038"/>
    <w:rsid w:val="00FB2DA2"/>
    <w:rsid w:val="00FB4A04"/>
    <w:rsid w:val="00FB613A"/>
    <w:rsid w:val="00FC1FDE"/>
    <w:rsid w:val="00FC4E7D"/>
    <w:rsid w:val="00FD6A44"/>
    <w:rsid w:val="00FE23F0"/>
    <w:rsid w:val="00FE5A5F"/>
    <w:rsid w:val="00FE6EA7"/>
    <w:rsid w:val="00FE7357"/>
    <w:rsid w:val="01B41961"/>
    <w:rsid w:val="057212CF"/>
    <w:rsid w:val="084D655E"/>
    <w:rsid w:val="0A384B3E"/>
    <w:rsid w:val="0A5E559E"/>
    <w:rsid w:val="0CE3544F"/>
    <w:rsid w:val="0D146ECC"/>
    <w:rsid w:val="0D94585D"/>
    <w:rsid w:val="0E7C05F5"/>
    <w:rsid w:val="112920F6"/>
    <w:rsid w:val="11600F8C"/>
    <w:rsid w:val="130C4392"/>
    <w:rsid w:val="1527360F"/>
    <w:rsid w:val="15AA65C3"/>
    <w:rsid w:val="18430BA5"/>
    <w:rsid w:val="19506412"/>
    <w:rsid w:val="1A127670"/>
    <w:rsid w:val="1BD71B61"/>
    <w:rsid w:val="1C6A5EE2"/>
    <w:rsid w:val="1FFF336C"/>
    <w:rsid w:val="20460D45"/>
    <w:rsid w:val="20692B75"/>
    <w:rsid w:val="206C46C2"/>
    <w:rsid w:val="22273221"/>
    <w:rsid w:val="23841264"/>
    <w:rsid w:val="24287EDC"/>
    <w:rsid w:val="27701868"/>
    <w:rsid w:val="278527E0"/>
    <w:rsid w:val="2A175AC9"/>
    <w:rsid w:val="2A672719"/>
    <w:rsid w:val="2BD7AFFF"/>
    <w:rsid w:val="2CAF6062"/>
    <w:rsid w:val="2D470CD7"/>
    <w:rsid w:val="315C7741"/>
    <w:rsid w:val="31772D05"/>
    <w:rsid w:val="31D61D85"/>
    <w:rsid w:val="34787C09"/>
    <w:rsid w:val="351A4C9F"/>
    <w:rsid w:val="35380BBF"/>
    <w:rsid w:val="359D71DB"/>
    <w:rsid w:val="35C45EAA"/>
    <w:rsid w:val="37B76BD5"/>
    <w:rsid w:val="3A3D507A"/>
    <w:rsid w:val="3C5B6ABA"/>
    <w:rsid w:val="3C783EDA"/>
    <w:rsid w:val="3CF457D3"/>
    <w:rsid w:val="3E79553D"/>
    <w:rsid w:val="3F7E3083"/>
    <w:rsid w:val="3FA12FCF"/>
    <w:rsid w:val="3FFBFEB6"/>
    <w:rsid w:val="41330EEC"/>
    <w:rsid w:val="42E47326"/>
    <w:rsid w:val="454175A3"/>
    <w:rsid w:val="45CB4903"/>
    <w:rsid w:val="471C3104"/>
    <w:rsid w:val="492007D8"/>
    <w:rsid w:val="49B250F5"/>
    <w:rsid w:val="4CBD1C7E"/>
    <w:rsid w:val="4CFD78B0"/>
    <w:rsid w:val="4FB55B51"/>
    <w:rsid w:val="4FB70EE7"/>
    <w:rsid w:val="50EB6955"/>
    <w:rsid w:val="50FA74D8"/>
    <w:rsid w:val="55CB1115"/>
    <w:rsid w:val="57D21E90"/>
    <w:rsid w:val="59A44D82"/>
    <w:rsid w:val="59DD4FFD"/>
    <w:rsid w:val="5D1D6453"/>
    <w:rsid w:val="5DA13918"/>
    <w:rsid w:val="5DFF9679"/>
    <w:rsid w:val="5E573252"/>
    <w:rsid w:val="5EC24ED2"/>
    <w:rsid w:val="5F04653A"/>
    <w:rsid w:val="5FE061DD"/>
    <w:rsid w:val="60B77209"/>
    <w:rsid w:val="60C92CD4"/>
    <w:rsid w:val="61266B17"/>
    <w:rsid w:val="64403B24"/>
    <w:rsid w:val="664252A5"/>
    <w:rsid w:val="676747AD"/>
    <w:rsid w:val="6A963B9E"/>
    <w:rsid w:val="6BA87917"/>
    <w:rsid w:val="6DDE5690"/>
    <w:rsid w:val="6F411E14"/>
    <w:rsid w:val="704F7345"/>
    <w:rsid w:val="716C6931"/>
    <w:rsid w:val="725635C4"/>
    <w:rsid w:val="75F75DE3"/>
    <w:rsid w:val="75FBF7BD"/>
    <w:rsid w:val="76541108"/>
    <w:rsid w:val="7689005C"/>
    <w:rsid w:val="76EF35D8"/>
    <w:rsid w:val="775C50B8"/>
    <w:rsid w:val="78575546"/>
    <w:rsid w:val="7B4038F6"/>
    <w:rsid w:val="7B5752AF"/>
    <w:rsid w:val="7BFBDF2C"/>
    <w:rsid w:val="7CE50341"/>
    <w:rsid w:val="7DBF8C0E"/>
    <w:rsid w:val="7E341F64"/>
    <w:rsid w:val="7ECED00A"/>
    <w:rsid w:val="7EE36EA5"/>
    <w:rsid w:val="7F7931C8"/>
    <w:rsid w:val="966F4894"/>
    <w:rsid w:val="ACE704E8"/>
    <w:rsid w:val="B7DF88BA"/>
    <w:rsid w:val="BD7F263A"/>
    <w:rsid w:val="DAFF3482"/>
    <w:rsid w:val="DE6F9D57"/>
    <w:rsid w:val="E39FC5E5"/>
    <w:rsid w:val="EB7F0520"/>
    <w:rsid w:val="F3BFD3F3"/>
    <w:rsid w:val="F47F6877"/>
    <w:rsid w:val="F4FF98E6"/>
    <w:rsid w:val="F78FFE3A"/>
    <w:rsid w:val="F7F341B2"/>
    <w:rsid w:val="F9FFE966"/>
    <w:rsid w:val="FAFD62A7"/>
    <w:rsid w:val="FBBF0F2D"/>
    <w:rsid w:val="FBBF81FE"/>
    <w:rsid w:val="FDF754AF"/>
    <w:rsid w:val="FEBF2E03"/>
    <w:rsid w:val="FF778B2F"/>
    <w:rsid w:val="FF7E422A"/>
    <w:rsid w:val="FFAF4950"/>
    <w:rsid w:val="FFEDF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2"/>
    <w:qFormat/>
    <w:uiPriority w:val="0"/>
    <w:pPr>
      <w:spacing w:before="340" w:after="330" w:line="360" w:lineRule="auto"/>
      <w:jc w:val="center"/>
      <w:outlineLvl w:val="0"/>
    </w:pPr>
    <w:rPr>
      <w:rFonts w:eastAsia="黑体"/>
      <w:bCs/>
      <w:kern w:val="44"/>
      <w:szCs w:val="44"/>
    </w:rPr>
  </w:style>
  <w:style w:type="paragraph" w:styleId="6">
    <w:name w:val="heading 2"/>
    <w:basedOn w:val="4"/>
    <w:next w:val="5"/>
    <w:link w:val="43"/>
    <w:qFormat/>
    <w:uiPriority w:val="0"/>
    <w:pPr>
      <w:adjustRightInd w:val="0"/>
      <w:jc w:val="center"/>
      <w:outlineLvl w:val="1"/>
    </w:pPr>
    <w:rPr>
      <w:bCs/>
      <w:kern w:val="0"/>
      <w:sz w:val="24"/>
      <w:szCs w:val="20"/>
    </w:rPr>
  </w:style>
  <w:style w:type="paragraph" w:styleId="4">
    <w:name w:val="heading 3"/>
    <w:basedOn w:val="5"/>
    <w:next w:val="1"/>
    <w:link w:val="41"/>
    <w:qFormat/>
    <w:uiPriority w:val="0"/>
    <w:pPr>
      <w:spacing w:before="260" w:after="260" w:line="240" w:lineRule="auto"/>
      <w:outlineLvl w:val="2"/>
    </w:pPr>
    <w:rPr>
      <w:rFonts w:ascii="宋体" w:hAnsi="宋体" w:eastAsia="宋体" w:cs="宋体"/>
      <w:bCs w:val="0"/>
      <w:szCs w:val="32"/>
    </w:rPr>
  </w:style>
  <w:style w:type="paragraph" w:styleId="5">
    <w:name w:val="heading 4"/>
    <w:basedOn w:val="1"/>
    <w:next w:val="1"/>
    <w:link w:val="40"/>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8"/>
    <w:link w:val="44"/>
    <w:qFormat/>
    <w:uiPriority w:val="0"/>
    <w:pPr>
      <w:keepNext/>
      <w:keepLines/>
      <w:spacing w:before="280" w:after="290" w:line="374" w:lineRule="auto"/>
      <w:outlineLvl w:val="4"/>
    </w:pPr>
    <w:rPr>
      <w:b/>
      <w:sz w:val="28"/>
      <w:szCs w:val="20"/>
    </w:rPr>
  </w:style>
  <w:style w:type="paragraph" w:styleId="9">
    <w:name w:val="heading 6"/>
    <w:basedOn w:val="1"/>
    <w:next w:val="8"/>
    <w:link w:val="46"/>
    <w:qFormat/>
    <w:uiPriority w:val="0"/>
    <w:pPr>
      <w:keepNext/>
      <w:keepLines/>
      <w:spacing w:before="240" w:after="64" w:line="319" w:lineRule="auto"/>
      <w:outlineLvl w:val="5"/>
    </w:pPr>
    <w:rPr>
      <w:rFonts w:ascii="Arial" w:hAnsi="Arial" w:eastAsia="黑体"/>
      <w:b/>
      <w:sz w:val="24"/>
      <w:szCs w:val="20"/>
    </w:rPr>
  </w:style>
  <w:style w:type="paragraph" w:styleId="10">
    <w:name w:val="heading 7"/>
    <w:basedOn w:val="1"/>
    <w:next w:val="8"/>
    <w:link w:val="47"/>
    <w:qFormat/>
    <w:uiPriority w:val="0"/>
    <w:pPr>
      <w:keepNext/>
      <w:keepLines/>
      <w:spacing w:before="240" w:after="64" w:line="319" w:lineRule="auto"/>
      <w:outlineLvl w:val="6"/>
    </w:pPr>
    <w:rPr>
      <w:b/>
      <w:sz w:val="24"/>
      <w:szCs w:val="20"/>
    </w:rPr>
  </w:style>
  <w:style w:type="paragraph" w:styleId="11">
    <w:name w:val="heading 8"/>
    <w:basedOn w:val="1"/>
    <w:next w:val="8"/>
    <w:link w:val="48"/>
    <w:qFormat/>
    <w:uiPriority w:val="0"/>
    <w:pPr>
      <w:keepNext/>
      <w:keepLines/>
      <w:spacing w:before="240" w:after="64" w:line="319" w:lineRule="auto"/>
      <w:outlineLvl w:val="7"/>
    </w:pPr>
    <w:rPr>
      <w:rFonts w:ascii="Arial" w:hAnsi="Arial" w:eastAsia="黑体"/>
      <w:sz w:val="24"/>
      <w:szCs w:val="20"/>
    </w:rPr>
  </w:style>
  <w:style w:type="paragraph" w:styleId="12">
    <w:name w:val="heading 9"/>
    <w:basedOn w:val="1"/>
    <w:next w:val="8"/>
    <w:link w:val="49"/>
    <w:qFormat/>
    <w:uiPriority w:val="0"/>
    <w:pPr>
      <w:keepNext/>
      <w:keepLines/>
      <w:spacing w:before="240" w:after="64" w:line="319"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link w:val="45"/>
    <w:qFormat/>
    <w:uiPriority w:val="0"/>
    <w:pPr>
      <w:ind w:firstLine="420"/>
    </w:pPr>
    <w:rPr>
      <w:rFonts w:ascii="Calibri" w:hAnsi="Calibri"/>
      <w:szCs w:val="22"/>
    </w:rPr>
  </w:style>
  <w:style w:type="paragraph" w:styleId="13">
    <w:name w:val="List Bullet"/>
    <w:basedOn w:val="1"/>
    <w:qFormat/>
    <w:uiPriority w:val="0"/>
    <w:pPr>
      <w:tabs>
        <w:tab w:val="left" w:pos="360"/>
      </w:tabs>
      <w:ind w:left="360" w:hanging="360"/>
    </w:pPr>
    <w:rPr>
      <w:szCs w:val="20"/>
    </w:rPr>
  </w:style>
  <w:style w:type="paragraph" w:styleId="14">
    <w:name w:val="Document Map"/>
    <w:basedOn w:val="1"/>
    <w:link w:val="50"/>
    <w:semiHidden/>
    <w:qFormat/>
    <w:uiPriority w:val="0"/>
    <w:pPr>
      <w:shd w:val="clear" w:color="auto" w:fill="000080"/>
    </w:pPr>
  </w:style>
  <w:style w:type="paragraph" w:styleId="15">
    <w:name w:val="annotation text"/>
    <w:basedOn w:val="1"/>
    <w:link w:val="51"/>
    <w:qFormat/>
    <w:uiPriority w:val="99"/>
    <w:pPr>
      <w:jc w:val="left"/>
    </w:pPr>
  </w:style>
  <w:style w:type="paragraph" w:styleId="16">
    <w:name w:val="Body Text 3"/>
    <w:basedOn w:val="1"/>
    <w:link w:val="52"/>
    <w:qFormat/>
    <w:uiPriority w:val="0"/>
    <w:pPr>
      <w:spacing w:after="120"/>
    </w:pPr>
    <w:rPr>
      <w:sz w:val="16"/>
      <w:szCs w:val="16"/>
    </w:rPr>
  </w:style>
  <w:style w:type="paragraph" w:styleId="17">
    <w:name w:val="Body Text"/>
    <w:basedOn w:val="1"/>
    <w:next w:val="18"/>
    <w:link w:val="53"/>
    <w:qFormat/>
    <w:uiPriority w:val="0"/>
    <w:pPr>
      <w:spacing w:line="360" w:lineRule="auto"/>
    </w:pPr>
    <w:rPr>
      <w:b/>
      <w:bCs/>
      <w:sz w:val="24"/>
    </w:rPr>
  </w:style>
  <w:style w:type="paragraph" w:styleId="18">
    <w:name w:val="Body Text 2"/>
    <w:basedOn w:val="1"/>
    <w:link w:val="54"/>
    <w:qFormat/>
    <w:uiPriority w:val="0"/>
    <w:pPr>
      <w:spacing w:line="360" w:lineRule="auto"/>
    </w:pPr>
    <w:rPr>
      <w:sz w:val="24"/>
    </w:rPr>
  </w:style>
  <w:style w:type="paragraph" w:styleId="19">
    <w:name w:val="Body Text Indent"/>
    <w:basedOn w:val="1"/>
    <w:link w:val="55"/>
    <w:qFormat/>
    <w:uiPriority w:val="0"/>
    <w:pPr>
      <w:spacing w:line="360" w:lineRule="auto"/>
      <w:ind w:firstLine="420" w:firstLineChars="200"/>
    </w:pPr>
  </w:style>
  <w:style w:type="paragraph" w:styleId="20">
    <w:name w:val="Plain Text"/>
    <w:basedOn w:val="1"/>
    <w:link w:val="56"/>
    <w:qFormat/>
    <w:uiPriority w:val="0"/>
    <w:rPr>
      <w:rFonts w:ascii="宋体" w:hAnsi="Courier New"/>
      <w:szCs w:val="20"/>
    </w:rPr>
  </w:style>
  <w:style w:type="paragraph" w:styleId="21">
    <w:name w:val="Date"/>
    <w:basedOn w:val="1"/>
    <w:next w:val="1"/>
    <w:link w:val="57"/>
    <w:qFormat/>
    <w:uiPriority w:val="0"/>
    <w:rPr>
      <w:rFonts w:ascii="宋体" w:hAnsi="Courier New"/>
      <w:sz w:val="32"/>
      <w:szCs w:val="20"/>
    </w:rPr>
  </w:style>
  <w:style w:type="paragraph" w:styleId="22">
    <w:name w:val="Body Text Indent 2"/>
    <w:basedOn w:val="1"/>
    <w:link w:val="58"/>
    <w:qFormat/>
    <w:uiPriority w:val="0"/>
    <w:pPr>
      <w:spacing w:beforeLines="50" w:afterLines="50" w:line="120" w:lineRule="auto"/>
      <w:ind w:firstLine="840" w:firstLineChars="400"/>
      <w:jc w:val="left"/>
    </w:pPr>
    <w:rPr>
      <w:rFonts w:ascii="宋体" w:hAnsi="宋体"/>
    </w:rPr>
  </w:style>
  <w:style w:type="paragraph" w:styleId="23">
    <w:name w:val="Balloon Text"/>
    <w:basedOn w:val="1"/>
    <w:link w:val="59"/>
    <w:semiHidden/>
    <w:qFormat/>
    <w:uiPriority w:val="0"/>
    <w:rPr>
      <w:sz w:val="18"/>
      <w:szCs w:val="18"/>
    </w:rPr>
  </w:style>
  <w:style w:type="paragraph" w:styleId="24">
    <w:name w:val="footer"/>
    <w:basedOn w:val="1"/>
    <w:link w:val="60"/>
    <w:qFormat/>
    <w:uiPriority w:val="99"/>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spacing w:before="120" w:after="120"/>
      <w:ind w:firstLine="359" w:firstLineChars="171"/>
      <w:jc w:val="left"/>
    </w:pPr>
    <w:rPr>
      <w:caps/>
    </w:rPr>
  </w:style>
  <w:style w:type="paragraph" w:styleId="27">
    <w:name w:val="Body Text Indent 3"/>
    <w:basedOn w:val="1"/>
    <w:link w:val="62"/>
    <w:qFormat/>
    <w:uiPriority w:val="0"/>
    <w:pPr>
      <w:spacing w:line="360" w:lineRule="auto"/>
      <w:ind w:firstLine="482" w:firstLineChars="200"/>
    </w:pPr>
    <w:rPr>
      <w:rFonts w:ascii="宋体"/>
      <w:b/>
      <w:bCs/>
      <w:sz w:val="24"/>
    </w:rPr>
  </w:style>
  <w:style w:type="paragraph" w:styleId="28">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29">
    <w:name w:val="Normal (Web)"/>
    <w:basedOn w:val="1"/>
    <w:qFormat/>
    <w:uiPriority w:val="0"/>
    <w:rPr>
      <w:sz w:val="24"/>
    </w:rPr>
  </w:style>
  <w:style w:type="paragraph" w:styleId="30">
    <w:name w:val="Title"/>
    <w:basedOn w:val="1"/>
    <w:link w:val="64"/>
    <w:qFormat/>
    <w:uiPriority w:val="0"/>
    <w:pPr>
      <w:spacing w:before="240" w:after="60"/>
      <w:jc w:val="center"/>
      <w:outlineLvl w:val="0"/>
    </w:pPr>
    <w:rPr>
      <w:rFonts w:ascii="Arial" w:hAnsi="Arial" w:eastAsia="隶书" w:cs="Arial"/>
      <w:b/>
      <w:bCs/>
      <w:sz w:val="32"/>
      <w:szCs w:val="32"/>
    </w:rPr>
  </w:style>
  <w:style w:type="paragraph" w:styleId="31">
    <w:name w:val="annotation subject"/>
    <w:basedOn w:val="15"/>
    <w:next w:val="15"/>
    <w:link w:val="65"/>
    <w:semiHidden/>
    <w:qFormat/>
    <w:uiPriority w:val="0"/>
    <w:rPr>
      <w:b/>
      <w:bCs/>
    </w:rPr>
  </w:style>
  <w:style w:type="paragraph" w:styleId="32">
    <w:name w:val="Body Text First Indent 2"/>
    <w:basedOn w:val="19"/>
    <w:qFormat/>
    <w:uiPriority w:val="0"/>
    <w:pPr>
      <w:spacing w:after="120" w:line="240" w:lineRule="auto"/>
      <w:ind w:left="420" w:left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age number"/>
    <w:basedOn w:val="35"/>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basedOn w:val="35"/>
    <w:qFormat/>
    <w:uiPriority w:val="99"/>
    <w:rPr>
      <w:sz w:val="21"/>
      <w:szCs w:val="21"/>
    </w:rPr>
  </w:style>
  <w:style w:type="character" w:customStyle="1" w:styleId="40">
    <w:name w:val="标题 4 Char"/>
    <w:basedOn w:val="35"/>
    <w:link w:val="5"/>
    <w:qFormat/>
    <w:uiPriority w:val="0"/>
    <w:rPr>
      <w:rFonts w:ascii="Arial" w:hAnsi="Arial" w:eastAsia="黑体" w:cs="Times New Roman"/>
      <w:b/>
      <w:bCs/>
      <w:sz w:val="28"/>
      <w:szCs w:val="28"/>
    </w:rPr>
  </w:style>
  <w:style w:type="character" w:customStyle="1" w:styleId="41">
    <w:name w:val="标题 3 Char"/>
    <w:basedOn w:val="35"/>
    <w:link w:val="4"/>
    <w:qFormat/>
    <w:uiPriority w:val="0"/>
    <w:rPr>
      <w:rFonts w:ascii="宋体" w:hAnsi="宋体" w:eastAsia="宋体" w:cs="宋体"/>
      <w:b/>
      <w:sz w:val="28"/>
      <w:szCs w:val="32"/>
    </w:rPr>
  </w:style>
  <w:style w:type="character" w:customStyle="1" w:styleId="42">
    <w:name w:val="标题 1 Char"/>
    <w:basedOn w:val="35"/>
    <w:link w:val="3"/>
    <w:qFormat/>
    <w:uiPriority w:val="0"/>
    <w:rPr>
      <w:rFonts w:ascii="宋体" w:hAnsi="宋体" w:eastAsia="黑体" w:cs="宋体"/>
      <w:b/>
      <w:bCs/>
      <w:kern w:val="44"/>
      <w:sz w:val="28"/>
      <w:szCs w:val="44"/>
    </w:rPr>
  </w:style>
  <w:style w:type="character" w:customStyle="1" w:styleId="43">
    <w:name w:val="标题 2 Char"/>
    <w:basedOn w:val="35"/>
    <w:link w:val="6"/>
    <w:qFormat/>
    <w:uiPriority w:val="0"/>
    <w:rPr>
      <w:rFonts w:ascii="宋体" w:hAnsi="宋体" w:eastAsia="宋体" w:cs="宋体"/>
      <w:b/>
      <w:bCs/>
      <w:kern w:val="0"/>
      <w:sz w:val="24"/>
      <w:szCs w:val="20"/>
    </w:rPr>
  </w:style>
  <w:style w:type="character" w:customStyle="1" w:styleId="44">
    <w:name w:val="标题 5 Char"/>
    <w:basedOn w:val="35"/>
    <w:link w:val="7"/>
    <w:qFormat/>
    <w:uiPriority w:val="0"/>
    <w:rPr>
      <w:rFonts w:ascii="Times New Roman" w:hAnsi="Times New Roman" w:eastAsia="宋体" w:cs="Times New Roman"/>
      <w:b/>
      <w:sz w:val="28"/>
      <w:szCs w:val="20"/>
    </w:rPr>
  </w:style>
  <w:style w:type="character" w:customStyle="1" w:styleId="45">
    <w:name w:val="正文缩进 Char"/>
    <w:link w:val="8"/>
    <w:qFormat/>
    <w:locked/>
    <w:uiPriority w:val="0"/>
  </w:style>
  <w:style w:type="character" w:customStyle="1" w:styleId="46">
    <w:name w:val="标题 6 Char"/>
    <w:basedOn w:val="35"/>
    <w:link w:val="9"/>
    <w:qFormat/>
    <w:uiPriority w:val="0"/>
    <w:rPr>
      <w:rFonts w:ascii="Arial" w:hAnsi="Arial" w:eastAsia="黑体" w:cs="Times New Roman"/>
      <w:b/>
      <w:sz w:val="24"/>
      <w:szCs w:val="20"/>
    </w:rPr>
  </w:style>
  <w:style w:type="character" w:customStyle="1" w:styleId="47">
    <w:name w:val="标题 7 Char"/>
    <w:basedOn w:val="35"/>
    <w:link w:val="10"/>
    <w:qFormat/>
    <w:uiPriority w:val="0"/>
    <w:rPr>
      <w:rFonts w:ascii="Times New Roman" w:hAnsi="Times New Roman" w:eastAsia="宋体" w:cs="Times New Roman"/>
      <w:b/>
      <w:sz w:val="24"/>
      <w:szCs w:val="20"/>
    </w:rPr>
  </w:style>
  <w:style w:type="character" w:customStyle="1" w:styleId="48">
    <w:name w:val="标题 8 Char"/>
    <w:basedOn w:val="35"/>
    <w:link w:val="11"/>
    <w:qFormat/>
    <w:uiPriority w:val="0"/>
    <w:rPr>
      <w:rFonts w:ascii="Arial" w:hAnsi="Arial" w:eastAsia="黑体" w:cs="Times New Roman"/>
      <w:sz w:val="24"/>
      <w:szCs w:val="20"/>
    </w:rPr>
  </w:style>
  <w:style w:type="character" w:customStyle="1" w:styleId="49">
    <w:name w:val="标题 9 Char"/>
    <w:basedOn w:val="35"/>
    <w:link w:val="12"/>
    <w:qFormat/>
    <w:uiPriority w:val="0"/>
    <w:rPr>
      <w:rFonts w:ascii="Arial" w:hAnsi="Arial" w:eastAsia="黑体" w:cs="Times New Roman"/>
      <w:szCs w:val="20"/>
    </w:rPr>
  </w:style>
  <w:style w:type="character" w:customStyle="1" w:styleId="50">
    <w:name w:val="文档结构图 Char"/>
    <w:basedOn w:val="35"/>
    <w:link w:val="14"/>
    <w:semiHidden/>
    <w:qFormat/>
    <w:uiPriority w:val="0"/>
    <w:rPr>
      <w:rFonts w:ascii="Times New Roman" w:hAnsi="Times New Roman" w:eastAsia="宋体" w:cs="Times New Roman"/>
      <w:szCs w:val="24"/>
      <w:shd w:val="clear" w:color="auto" w:fill="000080"/>
    </w:rPr>
  </w:style>
  <w:style w:type="character" w:customStyle="1" w:styleId="51">
    <w:name w:val="批注文字 Char"/>
    <w:basedOn w:val="35"/>
    <w:link w:val="15"/>
    <w:qFormat/>
    <w:uiPriority w:val="99"/>
    <w:rPr>
      <w:rFonts w:ascii="Times New Roman" w:hAnsi="Times New Roman" w:eastAsia="宋体" w:cs="Times New Roman"/>
      <w:szCs w:val="24"/>
    </w:rPr>
  </w:style>
  <w:style w:type="character" w:customStyle="1" w:styleId="52">
    <w:name w:val="正文文本 3 Char"/>
    <w:basedOn w:val="35"/>
    <w:link w:val="16"/>
    <w:qFormat/>
    <w:uiPriority w:val="0"/>
    <w:rPr>
      <w:rFonts w:ascii="Times New Roman" w:hAnsi="Times New Roman" w:eastAsia="宋体" w:cs="Times New Roman"/>
      <w:sz w:val="16"/>
      <w:szCs w:val="16"/>
    </w:rPr>
  </w:style>
  <w:style w:type="character" w:customStyle="1" w:styleId="53">
    <w:name w:val="正文文本 Char"/>
    <w:basedOn w:val="35"/>
    <w:link w:val="17"/>
    <w:qFormat/>
    <w:uiPriority w:val="0"/>
    <w:rPr>
      <w:rFonts w:ascii="Times New Roman" w:hAnsi="Times New Roman" w:eastAsia="宋体" w:cs="Times New Roman"/>
      <w:b/>
      <w:bCs/>
      <w:sz w:val="24"/>
      <w:szCs w:val="24"/>
    </w:rPr>
  </w:style>
  <w:style w:type="character" w:customStyle="1" w:styleId="54">
    <w:name w:val="正文文本 2 Char"/>
    <w:basedOn w:val="35"/>
    <w:link w:val="18"/>
    <w:qFormat/>
    <w:uiPriority w:val="0"/>
    <w:rPr>
      <w:rFonts w:ascii="Times New Roman" w:hAnsi="Times New Roman" w:eastAsia="宋体" w:cs="Times New Roman"/>
      <w:sz w:val="24"/>
      <w:szCs w:val="24"/>
    </w:rPr>
  </w:style>
  <w:style w:type="character" w:customStyle="1" w:styleId="55">
    <w:name w:val="正文文本缩进 Char"/>
    <w:basedOn w:val="35"/>
    <w:link w:val="19"/>
    <w:qFormat/>
    <w:uiPriority w:val="0"/>
    <w:rPr>
      <w:rFonts w:ascii="Times New Roman" w:hAnsi="Times New Roman" w:eastAsia="宋体" w:cs="Times New Roman"/>
      <w:szCs w:val="24"/>
    </w:rPr>
  </w:style>
  <w:style w:type="character" w:customStyle="1" w:styleId="56">
    <w:name w:val="纯文本 Char"/>
    <w:basedOn w:val="35"/>
    <w:link w:val="20"/>
    <w:qFormat/>
    <w:uiPriority w:val="0"/>
    <w:rPr>
      <w:rFonts w:ascii="宋体" w:hAnsi="Courier New" w:eastAsia="宋体" w:cs="Times New Roman"/>
      <w:szCs w:val="20"/>
    </w:rPr>
  </w:style>
  <w:style w:type="character" w:customStyle="1" w:styleId="57">
    <w:name w:val="日期 Char"/>
    <w:basedOn w:val="35"/>
    <w:link w:val="21"/>
    <w:qFormat/>
    <w:uiPriority w:val="0"/>
    <w:rPr>
      <w:rFonts w:ascii="宋体" w:hAnsi="Courier New" w:eastAsia="宋体" w:cs="Times New Roman"/>
      <w:sz w:val="32"/>
      <w:szCs w:val="20"/>
    </w:rPr>
  </w:style>
  <w:style w:type="character" w:customStyle="1" w:styleId="58">
    <w:name w:val="正文文本缩进 2 Char"/>
    <w:basedOn w:val="35"/>
    <w:link w:val="22"/>
    <w:qFormat/>
    <w:uiPriority w:val="0"/>
    <w:rPr>
      <w:rFonts w:ascii="宋体" w:hAnsi="宋体" w:eastAsia="宋体" w:cs="Times New Roman"/>
      <w:szCs w:val="24"/>
    </w:rPr>
  </w:style>
  <w:style w:type="character" w:customStyle="1" w:styleId="59">
    <w:name w:val="批注框文本 Char"/>
    <w:basedOn w:val="35"/>
    <w:link w:val="23"/>
    <w:semiHidden/>
    <w:qFormat/>
    <w:uiPriority w:val="0"/>
    <w:rPr>
      <w:rFonts w:ascii="Times New Roman" w:hAnsi="Times New Roman" w:eastAsia="宋体" w:cs="Times New Roman"/>
      <w:sz w:val="18"/>
      <w:szCs w:val="18"/>
    </w:rPr>
  </w:style>
  <w:style w:type="character" w:customStyle="1" w:styleId="60">
    <w:name w:val="页脚 Char"/>
    <w:basedOn w:val="35"/>
    <w:link w:val="24"/>
    <w:qFormat/>
    <w:uiPriority w:val="99"/>
    <w:rPr>
      <w:rFonts w:ascii="Times New Roman" w:hAnsi="Times New Roman" w:eastAsia="宋体" w:cs="Times New Roman"/>
      <w:sz w:val="18"/>
      <w:szCs w:val="18"/>
    </w:rPr>
  </w:style>
  <w:style w:type="character" w:customStyle="1" w:styleId="61">
    <w:name w:val="页眉 Char"/>
    <w:basedOn w:val="35"/>
    <w:link w:val="25"/>
    <w:qFormat/>
    <w:uiPriority w:val="0"/>
    <w:rPr>
      <w:rFonts w:ascii="Times New Roman" w:hAnsi="Times New Roman" w:eastAsia="宋体" w:cs="Times New Roman"/>
      <w:sz w:val="18"/>
      <w:szCs w:val="18"/>
    </w:rPr>
  </w:style>
  <w:style w:type="character" w:customStyle="1" w:styleId="62">
    <w:name w:val="正文文本缩进 3 Char"/>
    <w:basedOn w:val="35"/>
    <w:link w:val="27"/>
    <w:qFormat/>
    <w:uiPriority w:val="0"/>
    <w:rPr>
      <w:rFonts w:ascii="宋体" w:hAnsi="Times New Roman" w:eastAsia="宋体" w:cs="Times New Roman"/>
      <w:b/>
      <w:bCs/>
      <w:sz w:val="24"/>
      <w:szCs w:val="24"/>
    </w:rPr>
  </w:style>
  <w:style w:type="character" w:customStyle="1" w:styleId="63">
    <w:name w:val="HTML 预设格式 Char"/>
    <w:basedOn w:val="35"/>
    <w:link w:val="28"/>
    <w:qFormat/>
    <w:uiPriority w:val="0"/>
    <w:rPr>
      <w:rFonts w:ascii="Arial Unicode MS" w:hAnsi="Arial Unicode MS" w:eastAsia="Arial Unicode MS" w:cs="Times New Roman"/>
      <w:color w:val="000000"/>
      <w:kern w:val="0"/>
      <w:sz w:val="20"/>
      <w:szCs w:val="20"/>
    </w:rPr>
  </w:style>
  <w:style w:type="character" w:customStyle="1" w:styleId="64">
    <w:name w:val="标题 Char"/>
    <w:basedOn w:val="35"/>
    <w:link w:val="30"/>
    <w:qFormat/>
    <w:uiPriority w:val="0"/>
    <w:rPr>
      <w:rFonts w:ascii="Arial" w:hAnsi="Arial" w:eastAsia="隶书" w:cs="Arial"/>
      <w:b/>
      <w:bCs/>
      <w:sz w:val="32"/>
      <w:szCs w:val="32"/>
    </w:rPr>
  </w:style>
  <w:style w:type="character" w:customStyle="1" w:styleId="65">
    <w:name w:val="批注主题 Char"/>
    <w:basedOn w:val="51"/>
    <w:link w:val="31"/>
    <w:semiHidden/>
    <w:qFormat/>
    <w:uiPriority w:val="0"/>
    <w:rPr>
      <w:rFonts w:ascii="Times New Roman" w:hAnsi="Times New Roman" w:eastAsia="宋体" w:cs="Times New Roman"/>
      <w:b/>
      <w:bCs/>
      <w:szCs w:val="24"/>
    </w:rPr>
  </w:style>
  <w:style w:type="character" w:customStyle="1" w:styleId="66">
    <w:name w:val="标题 3 Char1"/>
    <w:qFormat/>
    <w:uiPriority w:val="0"/>
    <w:rPr>
      <w:rFonts w:hint="eastAsia" w:ascii="宋体" w:hAnsi="宋体" w:eastAsia="宋体" w:cs="Arial"/>
      <w:b/>
      <w:bCs/>
      <w:kern w:val="2"/>
      <w:sz w:val="28"/>
      <w:szCs w:val="32"/>
      <w:lang w:val="en-US" w:eastAsia="zh-CN" w:bidi="ar-SA"/>
    </w:rPr>
  </w:style>
  <w:style w:type="paragraph" w:customStyle="1" w:styleId="67">
    <w:name w:val="Char5 Char Char Char Char Char Char"/>
    <w:basedOn w:val="1"/>
    <w:qFormat/>
    <w:uiPriority w:val="0"/>
    <w:pPr>
      <w:widowControl/>
      <w:spacing w:after="160" w:line="320" w:lineRule="exact"/>
      <w:ind w:firstLine="480"/>
      <w:jc w:val="center"/>
    </w:pPr>
    <w:rPr>
      <w:rFonts w:ascii="宋体" w:hAnsi="宋体"/>
      <w:kern w:val="0"/>
      <w:sz w:val="24"/>
      <w:lang w:eastAsia="en-US"/>
    </w:rPr>
  </w:style>
  <w:style w:type="paragraph" w:customStyle="1" w:styleId="68">
    <w:name w:val="_Style 3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1">
    <w:name w:val="Char Char Char2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7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列出段落1"/>
    <w:basedOn w:val="1"/>
    <w:qFormat/>
    <w:uiPriority w:val="0"/>
    <w:pPr>
      <w:ind w:firstLine="420" w:firstLineChars="200"/>
    </w:pPr>
    <w:rPr>
      <w:rFonts w:ascii="Calibri" w:hAnsi="Calibri"/>
      <w:szCs w:val="22"/>
    </w:rPr>
  </w:style>
  <w:style w:type="paragraph" w:customStyle="1" w:styleId="75">
    <w:name w:val="_Style 331"/>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6">
    <w:name w:val="样式3"/>
    <w:basedOn w:val="17"/>
    <w:qFormat/>
    <w:uiPriority w:val="0"/>
    <w:pPr>
      <w:spacing w:after="120"/>
    </w:pPr>
    <w:rPr>
      <w:rFonts w:ascii="宋体"/>
      <w:b w:val="0"/>
      <w:bCs w:val="0"/>
      <w:sz w:val="21"/>
    </w:rPr>
  </w:style>
  <w:style w:type="paragraph" w:customStyle="1" w:styleId="77">
    <w:name w:val="默认段落字体 Para Char Char Char Char Char Char Char"/>
    <w:basedOn w:val="1"/>
    <w:qFormat/>
    <w:uiPriority w:val="0"/>
    <w:pPr>
      <w:adjustRightInd w:val="0"/>
      <w:spacing w:line="360" w:lineRule="auto"/>
    </w:pPr>
    <w:rPr>
      <w:kern w:val="0"/>
      <w:sz w:val="24"/>
      <w:szCs w:val="20"/>
    </w:rPr>
  </w:style>
  <w:style w:type="paragraph" w:customStyle="1" w:styleId="78">
    <w:name w:val="无间隔1"/>
    <w:qFormat/>
    <w:uiPriority w:val="0"/>
    <w:pPr>
      <w:adjustRightInd w:val="0"/>
      <w:snapToGrid w:val="0"/>
    </w:pPr>
    <w:rPr>
      <w:rFonts w:ascii="Tahoma" w:hAnsi="Tahoma" w:eastAsia="微软雅黑" w:cs="Tahoma"/>
      <w:sz w:val="22"/>
      <w:szCs w:val="22"/>
      <w:lang w:val="en-US" w:eastAsia="zh-CN" w:bidi="ar-SA"/>
    </w:rPr>
  </w:style>
  <w:style w:type="paragraph" w:customStyle="1" w:styleId="79">
    <w:name w:val="样式41"/>
    <w:basedOn w:val="1"/>
    <w:qFormat/>
    <w:uiPriority w:val="0"/>
    <w:pPr>
      <w:tabs>
        <w:tab w:val="left" w:pos="420"/>
        <w:tab w:val="left" w:pos="945"/>
      </w:tabs>
      <w:spacing w:line="360" w:lineRule="auto"/>
      <w:ind w:left="420" w:hanging="420"/>
    </w:pPr>
    <w:rPr>
      <w:b/>
      <w:color w:val="000000"/>
      <w:sz w:val="24"/>
      <w:szCs w:val="20"/>
    </w:rPr>
  </w:style>
  <w:style w:type="paragraph" w:customStyle="1" w:styleId="80">
    <w:name w:val="文档正文"/>
    <w:basedOn w:val="1"/>
    <w:qFormat/>
    <w:uiPriority w:val="0"/>
    <w:pPr>
      <w:adjustRightInd w:val="0"/>
      <w:spacing w:line="480" w:lineRule="atLeast"/>
      <w:ind w:firstLine="567" w:firstLineChars="200"/>
    </w:pPr>
    <w:rPr>
      <w:rFonts w:ascii="长城仿宋"/>
      <w:kern w:val="0"/>
      <w:szCs w:val="20"/>
    </w:rPr>
  </w:style>
  <w:style w:type="paragraph" w:styleId="81">
    <w:name w:val="List Paragraph"/>
    <w:basedOn w:val="1"/>
    <w:qFormat/>
    <w:uiPriority w:val="34"/>
    <w:pPr>
      <w:ind w:firstLine="420" w:firstLineChars="200"/>
    </w:pPr>
  </w:style>
  <w:style w:type="character" w:customStyle="1" w:styleId="82">
    <w:name w:val="批注文字 Char1"/>
    <w:basedOn w:val="35"/>
    <w:semiHidden/>
    <w:qFormat/>
    <w:uiPriority w:val="99"/>
    <w:rPr>
      <w:rFonts w:ascii="Times New Roman" w:hAnsi="Times New Roman" w:eastAsia="宋体" w:cs="Times New Roman"/>
      <w:szCs w:val="24"/>
    </w:rPr>
  </w:style>
  <w:style w:type="paragraph" w:customStyle="1" w:styleId="83">
    <w:name w:val="修订1"/>
    <w:unhideWhenUsed/>
    <w:qFormat/>
    <w:uiPriority w:val="99"/>
    <w:rPr>
      <w:rFonts w:ascii="Times New Roman" w:hAnsi="Times New Roman" w:eastAsia="宋体" w:cs="Times New Roman"/>
      <w:kern w:val="2"/>
      <w:sz w:val="21"/>
      <w:szCs w:val="24"/>
      <w:lang w:val="en-US" w:eastAsia="zh-CN" w:bidi="ar-SA"/>
    </w:rPr>
  </w:style>
  <w:style w:type="table" w:customStyle="1" w:styleId="84">
    <w:name w:val="网格型1"/>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5">
    <w:name w:val="网格型2"/>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6">
    <w:name w:val="网格型11"/>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7">
    <w:name w:val="网格型3"/>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8">
    <w:name w:val="fontstyle01"/>
    <w:basedOn w:val="35"/>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4278</Words>
  <Characters>24388</Characters>
  <Lines>203</Lines>
  <Paragraphs>57</Paragraphs>
  <TotalTime>301</TotalTime>
  <ScaleCrop>false</ScaleCrop>
  <LinksUpToDate>false</LinksUpToDate>
  <CharactersWithSpaces>28609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2022-01-21T19:41:00Z</dcterms:created>
  <dc:creator>陈思成</dc:creator>
  <cp:lastModifiedBy>joy</cp:lastModifiedBy>
  <cp:lastPrinted>2026-02-25T10:53:00Z</cp:lastPrinted>
  <dcterms:modified xsi:type="dcterms:W3CDTF">2026-02-27T17:39:38Z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14A178FDA23B7FBDE2CB8A692E5D55DF_43</vt:lpwstr>
  </property>
  <property fmtid="{D5CDD505-2E9C-101B-9397-08002B2CF9AE}" pid="4" name="KSOTemplateDocerSaveRecord">
    <vt:lpwstr>eyJoZGlkIjoiMWI4NWYzZGFkNDJiYTY1ODFjMTg3YjM5MmNjODNlNDkiLCJ1c2VySWQiOiIzNjQ4NzI3MDQifQ==</vt:lpwstr>
  </property>
</Properties>
</file>