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442F7">
      <w:pPr>
        <w:widowControl w:val="0"/>
        <w:jc w:val="both"/>
        <w:rPr>
          <w:rFonts w:ascii="宋体" w:hAnsi="宋体" w:eastAsia="黑体"/>
          <w:b/>
          <w:bCs/>
          <w:color w:val="FF0000"/>
          <w:kern w:val="44"/>
          <w:sz w:val="44"/>
          <w:szCs w:val="44"/>
          <w:lang w:eastAsia="zh-CN"/>
        </w:rPr>
      </w:pPr>
      <w:bookmarkStart w:id="0" w:name="OLE_LINK17"/>
      <w:bookmarkStart w:id="195" w:name="_GoBack"/>
      <w:bookmarkEnd w:id="195"/>
    </w:p>
    <w:p w14:paraId="24CC130F">
      <w:pPr>
        <w:widowControl w:val="0"/>
        <w:jc w:val="center"/>
        <w:rPr>
          <w:rFonts w:ascii="宋体" w:hAnsi="宋体" w:eastAsia="黑体"/>
          <w:b/>
          <w:bCs/>
          <w:color w:val="FF0000"/>
          <w:kern w:val="44"/>
          <w:sz w:val="32"/>
          <w:szCs w:val="32"/>
          <w:lang w:eastAsia="zh-CN"/>
        </w:rPr>
      </w:pPr>
      <w:r>
        <w:rPr>
          <w:rFonts w:hint="eastAsia" w:ascii="宋体" w:hAnsi="宋体" w:eastAsia="黑体"/>
          <w:b/>
          <w:bCs/>
          <w:color w:val="FF0000"/>
          <w:kern w:val="44"/>
          <w:sz w:val="32"/>
          <w:szCs w:val="32"/>
          <w:lang w:eastAsia="zh-CN"/>
        </w:rPr>
        <w:t>特别警示条款</w:t>
      </w:r>
    </w:p>
    <w:p w14:paraId="42210D36">
      <w:pPr>
        <w:widowControl w:val="0"/>
        <w:spacing w:after="240" w:afterLines="100" w:line="400" w:lineRule="exact"/>
        <w:ind w:firstLine="422" w:firstLineChars="200"/>
        <w:jc w:val="both"/>
        <w:rPr>
          <w:rFonts w:ascii="宋体" w:hAnsi="宋体" w:eastAsia="宋体" w:cs="宋体"/>
          <w:b/>
          <w:bCs/>
          <w:color w:val="FF0000"/>
          <w:kern w:val="2"/>
          <w:sz w:val="21"/>
          <w:szCs w:val="21"/>
          <w:lang w:eastAsia="zh-CN"/>
        </w:rPr>
      </w:pPr>
      <w:r>
        <w:rPr>
          <w:rFonts w:hint="eastAsia" w:ascii="宋体" w:hAnsi="宋体" w:eastAsia="宋体" w:cs="宋体"/>
          <w:b/>
          <w:bCs/>
          <w:color w:val="FF0000"/>
          <w:kern w:val="2"/>
          <w:sz w:val="21"/>
          <w:szCs w:val="21"/>
          <w:lang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8013"/>
      </w:tblGrid>
      <w:tr w14:paraId="6FF4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vAlign w:val="center"/>
          </w:tcPr>
          <w:p w14:paraId="6259BFF9">
            <w:pPr>
              <w:widowControl w:val="0"/>
              <w:spacing w:line="400" w:lineRule="exact"/>
              <w:jc w:val="center"/>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序号</w:t>
            </w:r>
          </w:p>
        </w:tc>
        <w:tc>
          <w:tcPr>
            <w:tcW w:w="7711" w:type="dxa"/>
            <w:vAlign w:val="center"/>
          </w:tcPr>
          <w:p w14:paraId="16407F08">
            <w:pPr>
              <w:widowControl w:val="0"/>
              <w:spacing w:line="400" w:lineRule="exact"/>
              <w:jc w:val="center"/>
              <w:rPr>
                <w:rFonts w:ascii="宋体" w:hAnsi="宋体" w:eastAsia="宋体" w:cs="宋体"/>
                <w:color w:val="FF0000"/>
                <w:kern w:val="2"/>
                <w:sz w:val="21"/>
                <w:szCs w:val="21"/>
                <w:lang w:eastAsia="zh-CN"/>
              </w:rPr>
            </w:pPr>
            <w:r>
              <w:rPr>
                <w:rFonts w:hint="eastAsia" w:ascii="宋体" w:hAnsi="宋体" w:eastAsia="宋体" w:cs="宋体"/>
                <w:b/>
                <w:bCs/>
                <w:color w:val="FF0000"/>
                <w:kern w:val="2"/>
                <w:sz w:val="21"/>
                <w:szCs w:val="21"/>
                <w:lang w:eastAsia="zh-CN"/>
              </w:rPr>
              <w:t>供应商参与响应禁止情形</w:t>
            </w:r>
          </w:p>
        </w:tc>
      </w:tr>
      <w:tr w14:paraId="4D13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2D370500">
            <w:pPr>
              <w:widowControl w:val="0"/>
              <w:spacing w:line="400" w:lineRule="exact"/>
              <w:jc w:val="center"/>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1</w:t>
            </w:r>
          </w:p>
        </w:tc>
        <w:tc>
          <w:tcPr>
            <w:tcW w:w="7711" w:type="dxa"/>
            <w:vAlign w:val="center"/>
          </w:tcPr>
          <w:p w14:paraId="14DE58AE">
            <w:pPr>
              <w:widowControl w:val="0"/>
              <w:spacing w:line="400" w:lineRule="exact"/>
              <w:jc w:val="left"/>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与其他响应供应商的法定代表人、主要经营负责人、响应授权代表人、项目负责人、主要技术人员为同一人、属同一单位或者在同一单位缴纳社会保险。</w:t>
            </w:r>
          </w:p>
        </w:tc>
      </w:tr>
      <w:tr w14:paraId="5F0B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14:paraId="3F1B67B7">
            <w:pPr>
              <w:widowControl w:val="0"/>
              <w:spacing w:line="400" w:lineRule="exact"/>
              <w:jc w:val="center"/>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2</w:t>
            </w:r>
          </w:p>
        </w:tc>
        <w:tc>
          <w:tcPr>
            <w:tcW w:w="7711" w:type="dxa"/>
            <w:vAlign w:val="center"/>
          </w:tcPr>
          <w:p w14:paraId="0FF1E73A">
            <w:pPr>
              <w:widowControl w:val="0"/>
              <w:spacing w:line="400" w:lineRule="exact"/>
              <w:jc w:val="left"/>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参与本项目采购活动时，与其他响应供应商存在单位负责人为同一人或直接控股、管理关系。</w:t>
            </w:r>
          </w:p>
        </w:tc>
      </w:tr>
      <w:tr w14:paraId="789E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3F60EC11">
            <w:pPr>
              <w:widowControl w:val="0"/>
              <w:spacing w:line="400" w:lineRule="exact"/>
              <w:jc w:val="center"/>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3</w:t>
            </w:r>
          </w:p>
        </w:tc>
        <w:tc>
          <w:tcPr>
            <w:tcW w:w="7711" w:type="dxa"/>
            <w:vAlign w:val="center"/>
          </w:tcPr>
          <w:p w14:paraId="4D3CA99E">
            <w:pPr>
              <w:widowControl w:val="0"/>
              <w:spacing w:line="400" w:lineRule="exact"/>
              <w:jc w:val="left"/>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与其他响应供应商的响应文件或部分响应文件相互混装或存在非正常一致。</w:t>
            </w:r>
          </w:p>
        </w:tc>
      </w:tr>
      <w:tr w14:paraId="1063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811" w:type="dxa"/>
            <w:vAlign w:val="center"/>
          </w:tcPr>
          <w:p w14:paraId="29653392">
            <w:pPr>
              <w:widowControl w:val="0"/>
              <w:spacing w:line="400" w:lineRule="exact"/>
              <w:jc w:val="center"/>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4</w:t>
            </w:r>
          </w:p>
        </w:tc>
        <w:tc>
          <w:tcPr>
            <w:tcW w:w="7711" w:type="dxa"/>
            <w:vAlign w:val="center"/>
          </w:tcPr>
          <w:p w14:paraId="2859EBA3">
            <w:pPr>
              <w:widowControl w:val="0"/>
              <w:spacing w:line="400" w:lineRule="exact"/>
              <w:jc w:val="left"/>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与其他响应供应商的响应文件由同一单位或者同一人编制，或者使用同一设备编制（“文件制作机器码”“文件创建标识码”一致）。</w:t>
            </w:r>
          </w:p>
        </w:tc>
      </w:tr>
      <w:tr w14:paraId="62A8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vAlign w:val="center"/>
          </w:tcPr>
          <w:p w14:paraId="7CD6CE16">
            <w:pPr>
              <w:widowControl w:val="0"/>
              <w:spacing w:line="400" w:lineRule="exact"/>
              <w:jc w:val="center"/>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5</w:t>
            </w:r>
          </w:p>
        </w:tc>
        <w:tc>
          <w:tcPr>
            <w:tcW w:w="7711" w:type="dxa"/>
            <w:vAlign w:val="center"/>
          </w:tcPr>
          <w:p w14:paraId="0661249A">
            <w:pPr>
              <w:widowControl w:val="0"/>
              <w:spacing w:line="400" w:lineRule="exact"/>
              <w:jc w:val="left"/>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提供未经出具机构核实的虚假的检验检测报告、业绩材料、社保缴纳证明、学历学位证书、职称认证证书等材料。</w:t>
            </w:r>
          </w:p>
        </w:tc>
      </w:tr>
      <w:tr w14:paraId="0F53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11" w:type="dxa"/>
            <w:vAlign w:val="center"/>
          </w:tcPr>
          <w:p w14:paraId="40780CEE">
            <w:pPr>
              <w:widowControl w:val="0"/>
              <w:spacing w:line="400" w:lineRule="exact"/>
              <w:jc w:val="center"/>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6</w:t>
            </w:r>
          </w:p>
        </w:tc>
        <w:tc>
          <w:tcPr>
            <w:tcW w:w="7711" w:type="dxa"/>
            <w:vAlign w:val="center"/>
          </w:tcPr>
          <w:p w14:paraId="44053D37">
            <w:pPr>
              <w:widowControl w:val="0"/>
              <w:spacing w:line="400" w:lineRule="exact"/>
              <w:jc w:val="left"/>
              <w:rPr>
                <w:rFonts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擅自将响应密钥或电子营业执照出借他人使用或未妥善保管。</w:t>
            </w:r>
          </w:p>
        </w:tc>
      </w:tr>
    </w:tbl>
    <w:p w14:paraId="593010C8">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一、</w:t>
      </w:r>
      <w:r>
        <w:rPr>
          <w:rFonts w:hint="eastAsia" w:ascii="宋体" w:hAnsi="宋体" w:eastAsia="宋体"/>
          <w:b/>
          <w:bCs/>
          <w:color w:val="FF0000"/>
          <w:kern w:val="2"/>
          <w:sz w:val="20"/>
          <w:szCs w:val="20"/>
          <w:lang w:eastAsia="zh-CN"/>
        </w:rPr>
        <w:t>《深圳经济特区政府采购条例》第五十七条</w:t>
      </w:r>
      <w:r>
        <w:rPr>
          <w:rFonts w:hint="eastAsia" w:ascii="宋体" w:hAnsi="宋体" w:eastAsia="宋体"/>
          <w:color w:val="FF0000"/>
          <w:kern w:val="2"/>
          <w:sz w:val="20"/>
          <w:szCs w:val="20"/>
          <w:lang w:eastAsia="zh-CN"/>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77BFB7E1">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（一）在采购活动中应当回避而未回避的；</w:t>
      </w:r>
    </w:p>
    <w:p w14:paraId="013B17CF">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（二）未按本条例规定签订、履行采购合同，造成严重后果的；</w:t>
      </w:r>
    </w:p>
    <w:p w14:paraId="6E27F7EC">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（三）隐瞒真实情况，提供虚假资料的；</w:t>
      </w:r>
    </w:p>
    <w:p w14:paraId="387CAC18">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（四）以非法手段排斥其他供应商参与竞争的；</w:t>
      </w:r>
    </w:p>
    <w:p w14:paraId="643A8CDF">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（五）与其他采购参加人串通响应的；</w:t>
      </w:r>
    </w:p>
    <w:p w14:paraId="36C662D3">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（六）恶意投诉的；</w:t>
      </w:r>
    </w:p>
    <w:p w14:paraId="3041BBEE">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（七）向采购项目相关人行贿或者提供其他不当利益的；</w:t>
      </w:r>
    </w:p>
    <w:p w14:paraId="0155CBBF">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（八）阻碍、抗拒主管部门监督检查的；</w:t>
      </w:r>
    </w:p>
    <w:p w14:paraId="50B59C62">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（九）其他违反本条例规定的行为。</w:t>
      </w:r>
    </w:p>
    <w:p w14:paraId="6BBB9D99">
      <w:pPr>
        <w:widowControl w:val="0"/>
        <w:pBdr>
          <w:top w:val="none" w:color="auto" w:sz="0" w:space="1"/>
          <w:left w:val="none" w:color="auto" w:sz="0" w:space="4"/>
          <w:bottom w:val="none" w:color="auto" w:sz="0" w:space="1"/>
          <w:right w:val="none" w:color="auto" w:sz="0" w:space="4"/>
        </w:pBdr>
        <w:ind w:firstLine="402" w:firstLineChars="200"/>
        <w:jc w:val="both"/>
        <w:rPr>
          <w:rFonts w:ascii="宋体" w:hAnsi="宋体" w:eastAsia="宋体"/>
          <w:color w:val="FF0000"/>
          <w:kern w:val="2"/>
          <w:sz w:val="20"/>
          <w:szCs w:val="20"/>
          <w:lang w:eastAsia="zh-CN"/>
        </w:rPr>
      </w:pPr>
      <w:r>
        <w:rPr>
          <w:rFonts w:hint="eastAsia" w:ascii="宋体" w:hAnsi="宋体" w:eastAsia="宋体"/>
          <w:b/>
          <w:bCs/>
          <w:color w:val="FF0000"/>
          <w:kern w:val="2"/>
          <w:sz w:val="20"/>
          <w:szCs w:val="20"/>
          <w:lang w:eastAsia="zh-CN"/>
        </w:rPr>
        <w:t xml:space="preserve">二、《深圳经济特区政府采购条例实施细则》第七十五条 </w:t>
      </w:r>
      <w:r>
        <w:rPr>
          <w:rFonts w:hint="eastAsia" w:ascii="宋体" w:hAnsi="宋体" w:eastAsia="宋体"/>
          <w:color w:val="FF0000"/>
          <w:kern w:val="2"/>
          <w:sz w:val="20"/>
          <w:szCs w:val="20"/>
          <w:lang w:eastAsia="zh-CN"/>
        </w:rPr>
        <w:t>供应商有下列情形之一的，属于采购条例所称的串通响应行为，按照采购条例第五十七条有关规定处理：（一）响应供应商之间相互约定给予未中标的供应商利益补偿。（二）不同响应供应商的法定代表人、主要经营负责人、项目响应授权代表人、项目负责人、主要技术人员为同一人、属同一单位或者在同一单位缴纳社会保险。（三）不同响应供应商的响应文件由同一单位或者同一人编制，或者由同一人分阶段参与编制的。（四）不同响应供应商的响应文件或部分响应文件相互混装。（五）不同响应供应商的响应文件内容存在非正常一致。（六）由同一单位工作人员为两家以上（含两家）供应商进行同一项响应活动的。（七）主管部门依照法律、法规认定的其他情形。</w:t>
      </w:r>
    </w:p>
    <w:p w14:paraId="75783CC4">
      <w:pPr>
        <w:widowControl w:val="0"/>
        <w:pBdr>
          <w:top w:val="none" w:color="auto" w:sz="0" w:space="1"/>
          <w:left w:val="none" w:color="auto" w:sz="0" w:space="4"/>
          <w:bottom w:val="none" w:color="auto" w:sz="0" w:space="1"/>
          <w:right w:val="none" w:color="auto" w:sz="0" w:space="4"/>
        </w:pBdr>
        <w:ind w:firstLine="402" w:firstLineChars="200"/>
        <w:jc w:val="both"/>
        <w:rPr>
          <w:rFonts w:ascii="宋体" w:hAnsi="宋体" w:eastAsia="宋体"/>
          <w:color w:val="FF0000"/>
          <w:kern w:val="2"/>
          <w:sz w:val="20"/>
          <w:szCs w:val="20"/>
          <w:lang w:eastAsia="zh-CN"/>
        </w:rPr>
      </w:pPr>
      <w:r>
        <w:rPr>
          <w:rFonts w:hint="eastAsia" w:ascii="宋体" w:hAnsi="宋体" w:eastAsia="宋体"/>
          <w:b/>
          <w:bCs/>
          <w:color w:val="FF0000"/>
          <w:kern w:val="2"/>
          <w:sz w:val="20"/>
          <w:szCs w:val="20"/>
          <w:lang w:eastAsia="zh-CN"/>
        </w:rPr>
        <w:t xml:space="preserve">三、《深圳经济特区政府采购条例实施细则》第七十七条 </w:t>
      </w:r>
      <w:r>
        <w:rPr>
          <w:rFonts w:hint="eastAsia" w:ascii="宋体" w:hAnsi="宋体" w:eastAsia="宋体"/>
          <w:color w:val="FF0000"/>
          <w:kern w:val="2"/>
          <w:sz w:val="20"/>
          <w:szCs w:val="20"/>
          <w:lang w:eastAsia="zh-CN"/>
        </w:rPr>
        <w:t>供应商有下列情形之一的，属于隐瞒真实情况，提供虚假资料，按照采购条例第五十七条的有关规定处理：（一）通过转让或者租借等方式从其他单位获取资格或者资质证书响应的。（二）由其他单位或者其他单位负责人在响应供应商编制的响应文件上加盖印章或者签字的。（三）项目负责人或者主要技术人员不是本单位人员的。（四）响应保证金不是从响应供应商基本账户转出的。（五）其他隐瞒真实情况、提供虚假资料的行为。</w:t>
      </w:r>
    </w:p>
    <w:p w14:paraId="4C24B004">
      <w:pPr>
        <w:widowControl w:val="0"/>
        <w:pBdr>
          <w:top w:val="none" w:color="auto" w:sz="0" w:space="1"/>
          <w:left w:val="none" w:color="auto" w:sz="0" w:space="4"/>
          <w:bottom w:val="none" w:color="auto" w:sz="0" w:space="1"/>
          <w:right w:val="none" w:color="auto" w:sz="0" w:space="4"/>
        </w:pBdr>
        <w:ind w:firstLine="400" w:firstLineChars="200"/>
        <w:jc w:val="both"/>
        <w:rPr>
          <w:rFonts w:ascii="宋体" w:hAnsi="宋体" w:eastAsia="宋体"/>
          <w:color w:val="FF0000"/>
          <w:kern w:val="2"/>
          <w:sz w:val="20"/>
          <w:szCs w:val="20"/>
          <w:lang w:eastAsia="zh-CN"/>
        </w:rPr>
      </w:pPr>
      <w:r>
        <w:rPr>
          <w:rFonts w:hint="eastAsia" w:ascii="宋体" w:hAnsi="宋体" w:eastAsia="宋体"/>
          <w:color w:val="FF0000"/>
          <w:kern w:val="2"/>
          <w:sz w:val="20"/>
          <w:szCs w:val="20"/>
          <w:lang w:eastAsia="zh-CN"/>
        </w:rPr>
        <w:t>响应供应商不能提供项目负责人或者主要技术人员的劳动合同、社会保险等劳动关系证明材料的，视为存在前款第（三）项规定的情形。</w:t>
      </w:r>
    </w:p>
    <w:p w14:paraId="07981554">
      <w:pPr>
        <w:widowControl w:val="0"/>
        <w:pBdr>
          <w:top w:val="none" w:color="auto" w:sz="0" w:space="1"/>
          <w:left w:val="none" w:color="auto" w:sz="0" w:space="4"/>
          <w:bottom w:val="none" w:color="auto" w:sz="0" w:space="1"/>
          <w:right w:val="none" w:color="auto" w:sz="0" w:space="4"/>
        </w:pBdr>
        <w:ind w:firstLine="400" w:firstLineChars="200"/>
        <w:jc w:val="both"/>
        <w:rPr>
          <w:rFonts w:eastAsia="宋体"/>
          <w:b/>
          <w:color w:val="FF0000"/>
          <w:kern w:val="2"/>
          <w:sz w:val="21"/>
          <w:lang w:eastAsia="zh-CN"/>
        </w:rPr>
      </w:pPr>
      <w:r>
        <w:rPr>
          <w:rFonts w:hint="eastAsia" w:eastAsia="宋体"/>
          <w:bCs/>
          <w:color w:val="FF0000"/>
          <w:kern w:val="2"/>
          <w:sz w:val="20"/>
          <w:szCs w:val="20"/>
          <w:lang w:eastAsia="zh-CN"/>
        </w:rPr>
        <w:t>四、</w:t>
      </w:r>
      <w:r>
        <w:rPr>
          <w:rFonts w:hint="eastAsia" w:eastAsia="宋体"/>
          <w:b/>
          <w:color w:val="FF0000"/>
          <w:kern w:val="2"/>
          <w:sz w:val="21"/>
          <w:lang w:eastAsia="zh-CN"/>
        </w:rPr>
        <w:t>响应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响应文件中提交伪造、变造的虚假检测报告而被相关部门予以行政处罚。</w:t>
      </w:r>
    </w:p>
    <w:p w14:paraId="2E24F7F5">
      <w:pPr>
        <w:widowControl w:val="0"/>
        <w:pBdr>
          <w:top w:val="none" w:color="auto" w:sz="0" w:space="1"/>
          <w:left w:val="none" w:color="auto" w:sz="0" w:space="4"/>
          <w:bottom w:val="none" w:color="auto" w:sz="0" w:space="1"/>
          <w:right w:val="none" w:color="auto" w:sz="0" w:space="4"/>
        </w:pBdr>
        <w:ind w:firstLine="400" w:firstLineChars="200"/>
        <w:jc w:val="both"/>
        <w:rPr>
          <w:rFonts w:eastAsia="宋体"/>
          <w:bCs/>
          <w:color w:val="FF0000"/>
          <w:kern w:val="2"/>
          <w:sz w:val="20"/>
          <w:szCs w:val="20"/>
          <w:lang w:eastAsia="zh-CN"/>
        </w:rPr>
      </w:pPr>
    </w:p>
    <w:p w14:paraId="05C7FD18">
      <w:pPr>
        <w:widowControl w:val="0"/>
        <w:pBdr>
          <w:top w:val="none" w:color="auto" w:sz="0" w:space="1"/>
          <w:left w:val="none" w:color="auto" w:sz="0" w:space="4"/>
          <w:bottom w:val="none" w:color="auto" w:sz="0" w:space="1"/>
          <w:right w:val="none" w:color="auto" w:sz="0" w:space="4"/>
        </w:pBdr>
        <w:ind w:firstLine="422" w:firstLineChars="200"/>
        <w:jc w:val="both"/>
        <w:rPr>
          <w:rFonts w:eastAsia="宋体"/>
          <w:b/>
          <w:color w:val="FF0000"/>
          <w:kern w:val="2"/>
          <w:sz w:val="21"/>
          <w:lang w:eastAsia="zh-CN"/>
        </w:rPr>
      </w:pPr>
      <w:r>
        <w:rPr>
          <w:rFonts w:hint="eastAsia" w:eastAsia="宋体"/>
          <w:b/>
          <w:color w:val="FF0000"/>
          <w:kern w:val="2"/>
          <w:sz w:val="21"/>
          <w:lang w:eastAsia="zh-CN"/>
        </w:rPr>
        <w:t>五、请响应供应商阅读《政府采购违法行为风险知悉确认书》（内容详见“第二册第一章响应文件格式”），并经各响应供应商负责人签字并加盖单位公章后，扫描上传至响应文件一并提交。</w:t>
      </w:r>
    </w:p>
    <w:p w14:paraId="7D2B783F">
      <w:pPr>
        <w:widowControl w:val="0"/>
        <w:jc w:val="both"/>
        <w:rPr>
          <w:rFonts w:ascii="Calibri" w:hAnsi="Calibri" w:eastAsia="宋体"/>
          <w:kern w:val="2"/>
          <w:sz w:val="21"/>
          <w:szCs w:val="22"/>
          <w:lang w:eastAsia="zh-CN"/>
        </w:rPr>
      </w:pPr>
    </w:p>
    <w:p w14:paraId="7A3F557F">
      <w:pPr>
        <w:widowControl w:val="0"/>
        <w:pBdr>
          <w:top w:val="none" w:color="auto" w:sz="0" w:space="1"/>
          <w:left w:val="none" w:color="auto" w:sz="0" w:space="4"/>
          <w:bottom w:val="none" w:color="auto" w:sz="0" w:space="1"/>
          <w:right w:val="none" w:color="auto" w:sz="0" w:space="4"/>
        </w:pBdr>
        <w:ind w:firstLine="422" w:firstLineChars="200"/>
        <w:jc w:val="both"/>
        <w:rPr>
          <w:rFonts w:eastAsia="宋体"/>
          <w:b/>
          <w:color w:val="FF0000"/>
          <w:kern w:val="2"/>
          <w:sz w:val="21"/>
          <w:lang w:eastAsia="zh-CN"/>
        </w:rPr>
      </w:pPr>
      <w:r>
        <w:rPr>
          <w:rFonts w:hint="eastAsia" w:eastAsia="宋体"/>
          <w:b/>
          <w:color w:val="FF0000"/>
          <w:kern w:val="2"/>
          <w:sz w:val="21"/>
          <w:lang w:eastAsia="zh-CN"/>
        </w:rPr>
        <w:t>注：“特别警示条款”和《政府采购违法行为风险知悉确认书》用于对供应商违法行为的提醒，不作为供应商资格性审查及符合性审查条件。</w:t>
      </w:r>
    </w:p>
    <w:p w14:paraId="22637FD7">
      <w:pPr>
        <w:rPr>
          <w:rFonts w:ascii="黑体" w:hAnsi="黑体" w:eastAsia="黑体"/>
          <w:kern w:val="2"/>
          <w:sz w:val="40"/>
          <w:szCs w:val="40"/>
          <w:lang w:eastAsia="zh-CN"/>
        </w:rPr>
      </w:pPr>
      <w:r>
        <w:rPr>
          <w:rFonts w:ascii="黑体" w:hAnsi="黑体" w:eastAsia="黑体"/>
          <w:kern w:val="2"/>
          <w:sz w:val="40"/>
          <w:szCs w:val="40"/>
          <w:lang w:eastAsia="zh-CN"/>
        </w:rPr>
        <w:br w:type="page"/>
      </w:r>
    </w:p>
    <w:bookmarkEnd w:id="0"/>
    <w:p w14:paraId="526B0C96">
      <w:pPr>
        <w:widowControl w:val="0"/>
        <w:jc w:val="center"/>
        <w:outlineLvl w:val="1"/>
        <w:rPr>
          <w:rFonts w:ascii="黑体" w:hAnsi="黑体" w:eastAsia="黑体"/>
          <w:kern w:val="2"/>
          <w:sz w:val="40"/>
          <w:szCs w:val="40"/>
          <w:lang w:eastAsia="zh-CN"/>
        </w:rPr>
      </w:pPr>
      <w:r>
        <w:rPr>
          <w:rFonts w:hint="eastAsia" w:ascii="黑体" w:hAnsi="黑体" w:eastAsia="黑体"/>
          <w:kern w:val="2"/>
          <w:sz w:val="40"/>
          <w:szCs w:val="40"/>
          <w:lang w:eastAsia="zh-CN"/>
        </w:rPr>
        <w:t>招标文件信息</w:t>
      </w:r>
    </w:p>
    <w:tbl>
      <w:tblPr>
        <w:tblStyle w:val="14"/>
        <w:tblW w:w="5000" w:type="pct"/>
        <w:jc w:val="center"/>
        <w:tblCellSpacing w:w="0" w:type="dxa"/>
        <w:tblLayout w:type="fixed"/>
        <w:tblCellMar>
          <w:top w:w="45" w:type="dxa"/>
          <w:left w:w="45" w:type="dxa"/>
          <w:bottom w:w="45" w:type="dxa"/>
          <w:right w:w="45" w:type="dxa"/>
        </w:tblCellMar>
      </w:tblPr>
      <w:tblGrid>
        <w:gridCol w:w="2994"/>
        <w:gridCol w:w="5736"/>
      </w:tblGrid>
      <w:tr w14:paraId="31089736">
        <w:tblPrEx>
          <w:tblCellMar>
            <w:top w:w="45" w:type="dxa"/>
            <w:left w:w="45" w:type="dxa"/>
            <w:bottom w:w="45" w:type="dxa"/>
            <w:right w:w="45" w:type="dxa"/>
          </w:tblCellMar>
        </w:tblPrEx>
        <w:trPr>
          <w:trHeight w:val="856" w:hRule="atLeast"/>
          <w:tblCellSpacing w:w="0" w:type="dxa"/>
          <w:jc w:val="center"/>
        </w:trPr>
        <w:tc>
          <w:tcPr>
            <w:tcW w:w="2722" w:type="dxa"/>
            <w:vAlign w:val="center"/>
          </w:tcPr>
          <w:p w14:paraId="7C9CB0DA">
            <w:pPr>
              <w:widowControl w:val="0"/>
              <w:jc w:val="right"/>
              <w:rPr>
                <w:rFonts w:ascii="宋体" w:hAnsi="宋体" w:eastAsia="宋体" w:cs="宋体"/>
                <w:kern w:val="2"/>
                <w:sz w:val="30"/>
                <w:szCs w:val="30"/>
                <w:lang w:eastAsia="zh-CN"/>
              </w:rPr>
            </w:pPr>
            <w:r>
              <w:rPr>
                <w:rFonts w:eastAsia="宋体"/>
                <w:kern w:val="2"/>
                <w:sz w:val="30"/>
                <w:szCs w:val="30"/>
                <w:lang w:eastAsia="zh-CN"/>
              </w:rPr>
              <w:t>项目编号：</w:t>
            </w:r>
          </w:p>
        </w:tc>
        <w:tc>
          <w:tcPr>
            <w:tcW w:w="5216" w:type="dxa"/>
            <w:vAlign w:val="center"/>
          </w:tcPr>
          <w:p w14:paraId="619FA1B4">
            <w:pPr>
              <w:widowControl w:val="0"/>
              <w:jc w:val="both"/>
              <w:rPr>
                <w:rFonts w:ascii="宋体" w:hAnsi="宋体" w:eastAsia="宋体" w:cs="宋体"/>
                <w:kern w:val="2"/>
                <w:sz w:val="30"/>
                <w:szCs w:val="30"/>
                <w:lang w:eastAsia="zh-CN"/>
              </w:rPr>
            </w:pPr>
            <w:r>
              <w:rPr>
                <w:rFonts w:hint="eastAsia" w:ascii="宋体" w:hAnsi="宋体" w:eastAsia="宋体" w:cs="宋体"/>
                <w:kern w:val="2"/>
                <w:sz w:val="30"/>
                <w:szCs w:val="30"/>
                <w:lang w:eastAsia="zh-CN"/>
              </w:rPr>
              <w:t>LHZXCG-2026-00060</w:t>
            </w:r>
          </w:p>
        </w:tc>
      </w:tr>
      <w:tr w14:paraId="0E00AC94">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50D55CA9">
            <w:pPr>
              <w:widowControl w:val="0"/>
              <w:jc w:val="right"/>
              <w:rPr>
                <w:rFonts w:ascii="宋体" w:hAnsi="宋体" w:eastAsia="宋体" w:cs="宋体"/>
                <w:kern w:val="2"/>
                <w:sz w:val="30"/>
                <w:szCs w:val="30"/>
                <w:lang w:eastAsia="zh-CN"/>
              </w:rPr>
            </w:pPr>
            <w:r>
              <w:rPr>
                <w:rFonts w:eastAsia="宋体"/>
                <w:kern w:val="2"/>
                <w:sz w:val="30"/>
                <w:szCs w:val="30"/>
                <w:lang w:eastAsia="zh-CN"/>
              </w:rPr>
              <w:t>项目名称：</w:t>
            </w:r>
          </w:p>
        </w:tc>
        <w:tc>
          <w:tcPr>
            <w:tcW w:w="5216" w:type="dxa"/>
            <w:vAlign w:val="center"/>
          </w:tcPr>
          <w:p w14:paraId="664B58B5">
            <w:pPr>
              <w:widowControl w:val="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2026年罗湖城区宣传片制作服务（第三次采购）</w:t>
            </w:r>
          </w:p>
        </w:tc>
      </w:tr>
      <w:tr w14:paraId="039DB49C">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042D6DC3">
            <w:pPr>
              <w:widowControl w:val="0"/>
              <w:jc w:val="right"/>
              <w:rPr>
                <w:rFonts w:ascii="宋体" w:hAnsi="宋体" w:eastAsia="宋体" w:cs="宋体"/>
                <w:kern w:val="2"/>
                <w:sz w:val="30"/>
                <w:szCs w:val="30"/>
                <w:lang w:eastAsia="zh-CN"/>
              </w:rPr>
            </w:pPr>
            <w:r>
              <w:rPr>
                <w:rFonts w:eastAsia="宋体"/>
                <w:kern w:val="2"/>
                <w:sz w:val="30"/>
                <w:szCs w:val="30"/>
                <w:lang w:eastAsia="zh-CN"/>
              </w:rPr>
              <w:t>项目类型：</w:t>
            </w:r>
          </w:p>
        </w:tc>
        <w:tc>
          <w:tcPr>
            <w:tcW w:w="5216" w:type="dxa"/>
            <w:vAlign w:val="center"/>
          </w:tcPr>
          <w:p w14:paraId="6D842391">
            <w:pPr>
              <w:widowControl w:val="0"/>
              <w:jc w:val="both"/>
              <w:rPr>
                <w:rFonts w:ascii="宋体" w:hAnsi="宋体" w:eastAsia="宋体" w:cs="宋体"/>
                <w:kern w:val="2"/>
                <w:sz w:val="30"/>
                <w:szCs w:val="30"/>
                <w:lang w:eastAsia="zh-CN"/>
              </w:rPr>
            </w:pPr>
            <w:r>
              <w:rPr>
                <w:rFonts w:eastAsia="宋体"/>
                <w:kern w:val="2"/>
                <w:sz w:val="30"/>
                <w:szCs w:val="30"/>
                <w:lang w:eastAsia="zh-CN"/>
              </w:rPr>
              <w:t>服务类</w:t>
            </w:r>
          </w:p>
        </w:tc>
      </w:tr>
      <w:tr w14:paraId="4C395A6D">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1BACE621">
            <w:pPr>
              <w:widowControl w:val="0"/>
              <w:jc w:val="right"/>
              <w:rPr>
                <w:rFonts w:ascii="宋体" w:hAnsi="宋体" w:eastAsia="宋体" w:cs="宋体"/>
                <w:kern w:val="2"/>
                <w:sz w:val="30"/>
                <w:szCs w:val="30"/>
                <w:lang w:eastAsia="zh-CN"/>
              </w:rPr>
            </w:pPr>
            <w:r>
              <w:rPr>
                <w:rFonts w:eastAsia="宋体"/>
                <w:kern w:val="2"/>
                <w:sz w:val="30"/>
                <w:szCs w:val="30"/>
                <w:lang w:eastAsia="zh-CN"/>
              </w:rPr>
              <w:t>采购</w:t>
            </w:r>
            <w:r>
              <w:rPr>
                <w:rFonts w:hint="eastAsia" w:eastAsia="宋体"/>
                <w:kern w:val="2"/>
                <w:sz w:val="30"/>
                <w:szCs w:val="30"/>
                <w:lang w:eastAsia="zh-CN"/>
              </w:rPr>
              <w:t>类型</w:t>
            </w:r>
            <w:r>
              <w:rPr>
                <w:rFonts w:eastAsia="宋体"/>
                <w:kern w:val="2"/>
                <w:sz w:val="30"/>
                <w:szCs w:val="30"/>
                <w:lang w:eastAsia="zh-CN"/>
              </w:rPr>
              <w:t>：</w:t>
            </w:r>
          </w:p>
        </w:tc>
        <w:tc>
          <w:tcPr>
            <w:tcW w:w="5216" w:type="dxa"/>
            <w:vAlign w:val="center"/>
          </w:tcPr>
          <w:p w14:paraId="7F158638">
            <w:pPr>
              <w:widowControl w:val="0"/>
              <w:jc w:val="both"/>
              <w:rPr>
                <w:rFonts w:ascii="宋体" w:hAnsi="宋体" w:eastAsia="宋体" w:cs="宋体"/>
                <w:kern w:val="2"/>
                <w:sz w:val="30"/>
                <w:szCs w:val="30"/>
                <w:lang w:eastAsia="zh-CN"/>
              </w:rPr>
            </w:pPr>
            <w:r>
              <w:rPr>
                <w:rFonts w:hint="eastAsia" w:ascii="宋体" w:hAnsi="宋体" w:eastAsia="宋体" w:cs="宋体"/>
                <w:kern w:val="2"/>
                <w:sz w:val="30"/>
                <w:szCs w:val="30"/>
                <w:lang w:eastAsia="zh-CN"/>
              </w:rPr>
              <w:t>自行采购</w:t>
            </w:r>
          </w:p>
        </w:tc>
      </w:tr>
      <w:tr w14:paraId="7649D9D0">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35B1E76A">
            <w:pPr>
              <w:widowControl w:val="0"/>
              <w:jc w:val="right"/>
              <w:rPr>
                <w:rFonts w:eastAsia="宋体"/>
                <w:kern w:val="2"/>
                <w:sz w:val="30"/>
                <w:szCs w:val="30"/>
                <w:lang w:eastAsia="zh-CN"/>
              </w:rPr>
            </w:pPr>
            <w:bookmarkStart w:id="1" w:name="OLE_LINK32"/>
            <w:r>
              <w:rPr>
                <w:rFonts w:hint="eastAsia" w:eastAsia="宋体"/>
                <w:kern w:val="2"/>
                <w:sz w:val="30"/>
                <w:szCs w:val="30"/>
                <w:lang w:eastAsia="zh-CN"/>
              </w:rPr>
              <w:t>采购方式：</w:t>
            </w:r>
            <w:bookmarkEnd w:id="1"/>
          </w:p>
        </w:tc>
        <w:tc>
          <w:tcPr>
            <w:tcW w:w="5216" w:type="dxa"/>
            <w:vAlign w:val="center"/>
          </w:tcPr>
          <w:p w14:paraId="17F5D008">
            <w:pPr>
              <w:widowControl w:val="0"/>
              <w:jc w:val="both"/>
              <w:rPr>
                <w:rFonts w:ascii="宋体" w:hAnsi="宋体" w:eastAsia="宋体" w:cs="宋体"/>
                <w:kern w:val="2"/>
                <w:sz w:val="30"/>
                <w:szCs w:val="30"/>
                <w:lang w:eastAsia="zh-CN"/>
              </w:rPr>
            </w:pPr>
            <w:r>
              <w:rPr>
                <w:rFonts w:hint="eastAsia" w:ascii="宋体" w:hAnsi="宋体" w:eastAsia="宋体" w:cs="宋体"/>
                <w:kern w:val="2"/>
                <w:sz w:val="30"/>
                <w:szCs w:val="30"/>
                <w:lang w:eastAsia="zh-CN"/>
              </w:rPr>
              <w:t>邀请竞标</w:t>
            </w:r>
          </w:p>
        </w:tc>
      </w:tr>
      <w:tr w14:paraId="036CB6BF">
        <w:tblPrEx>
          <w:tblCellMar>
            <w:top w:w="45" w:type="dxa"/>
            <w:left w:w="45" w:type="dxa"/>
            <w:bottom w:w="45" w:type="dxa"/>
            <w:right w:w="45" w:type="dxa"/>
          </w:tblCellMar>
        </w:tblPrEx>
        <w:trPr>
          <w:trHeight w:val="971" w:hRule="atLeast"/>
          <w:tblCellSpacing w:w="0" w:type="dxa"/>
          <w:jc w:val="center"/>
        </w:trPr>
        <w:tc>
          <w:tcPr>
            <w:tcW w:w="2722" w:type="dxa"/>
            <w:vAlign w:val="center"/>
          </w:tcPr>
          <w:p w14:paraId="17C95F22">
            <w:pPr>
              <w:widowControl w:val="0"/>
              <w:jc w:val="right"/>
              <w:rPr>
                <w:rFonts w:ascii="宋体" w:hAnsi="宋体" w:eastAsia="宋体" w:cs="宋体"/>
                <w:kern w:val="2"/>
                <w:sz w:val="30"/>
                <w:szCs w:val="30"/>
                <w:lang w:eastAsia="zh-CN"/>
              </w:rPr>
            </w:pPr>
            <w:r>
              <w:rPr>
                <w:rFonts w:eastAsia="宋体"/>
                <w:kern w:val="2"/>
                <w:sz w:val="30"/>
                <w:szCs w:val="30"/>
                <w:lang w:eastAsia="zh-CN"/>
              </w:rPr>
              <w:t>货币类型：</w:t>
            </w:r>
          </w:p>
        </w:tc>
        <w:tc>
          <w:tcPr>
            <w:tcW w:w="5216" w:type="dxa"/>
            <w:vAlign w:val="center"/>
          </w:tcPr>
          <w:p w14:paraId="34E735D6">
            <w:pPr>
              <w:widowControl w:val="0"/>
              <w:jc w:val="both"/>
              <w:rPr>
                <w:rFonts w:ascii="宋体" w:hAnsi="宋体" w:eastAsia="宋体" w:cs="宋体"/>
                <w:kern w:val="2"/>
                <w:sz w:val="30"/>
                <w:szCs w:val="30"/>
                <w:lang w:eastAsia="zh-CN"/>
              </w:rPr>
            </w:pPr>
            <w:r>
              <w:rPr>
                <w:rFonts w:eastAsia="宋体"/>
                <w:kern w:val="2"/>
                <w:sz w:val="30"/>
                <w:szCs w:val="30"/>
                <w:lang w:eastAsia="zh-CN"/>
              </w:rPr>
              <w:t>人民币</w:t>
            </w:r>
          </w:p>
        </w:tc>
      </w:tr>
      <w:tr w14:paraId="6A69D67D">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1F85E10F">
            <w:pPr>
              <w:widowControl w:val="0"/>
              <w:jc w:val="right"/>
              <w:rPr>
                <w:rFonts w:ascii="宋体" w:hAnsi="宋体" w:eastAsia="宋体" w:cs="宋体"/>
                <w:kern w:val="2"/>
                <w:sz w:val="30"/>
                <w:szCs w:val="30"/>
                <w:lang w:eastAsia="zh-CN"/>
              </w:rPr>
            </w:pPr>
            <w:r>
              <w:rPr>
                <w:rFonts w:eastAsia="宋体"/>
                <w:kern w:val="2"/>
                <w:sz w:val="30"/>
                <w:szCs w:val="30"/>
                <w:lang w:eastAsia="zh-CN"/>
              </w:rPr>
              <w:t>评标方法：</w:t>
            </w:r>
          </w:p>
        </w:tc>
        <w:tc>
          <w:tcPr>
            <w:tcW w:w="5216" w:type="dxa"/>
            <w:vAlign w:val="center"/>
          </w:tcPr>
          <w:p w14:paraId="13E82C59">
            <w:pPr>
              <w:widowControl w:val="0"/>
              <w:jc w:val="both"/>
              <w:rPr>
                <w:rFonts w:ascii="宋体" w:hAnsi="宋体" w:eastAsia="宋体" w:cs="宋体"/>
                <w:kern w:val="2"/>
                <w:sz w:val="30"/>
                <w:szCs w:val="30"/>
                <w:lang w:eastAsia="zh-CN"/>
              </w:rPr>
            </w:pPr>
            <w:r>
              <w:rPr>
                <w:rFonts w:eastAsia="宋体"/>
                <w:kern w:val="2"/>
                <w:sz w:val="30"/>
                <w:szCs w:val="30"/>
                <w:lang w:eastAsia="zh-CN"/>
              </w:rPr>
              <w:t>综合评分法</w:t>
            </w:r>
          </w:p>
        </w:tc>
      </w:tr>
    </w:tbl>
    <w:p w14:paraId="726D35B2">
      <w:pPr>
        <w:widowControl w:val="0"/>
        <w:jc w:val="center"/>
        <w:outlineLvl w:val="1"/>
        <w:rPr>
          <w:rFonts w:ascii="黑体" w:hAnsi="黑体" w:eastAsia="黑体"/>
          <w:kern w:val="2"/>
          <w:sz w:val="40"/>
          <w:szCs w:val="40"/>
          <w:lang w:eastAsia="zh-CN"/>
        </w:rPr>
      </w:pPr>
      <w:r>
        <w:rPr>
          <w:rFonts w:hint="eastAsia" w:ascii="黑体" w:hAnsi="黑体" w:eastAsia="黑体"/>
          <w:kern w:val="2"/>
          <w:sz w:val="40"/>
          <w:szCs w:val="40"/>
          <w:lang w:eastAsia="zh-CN"/>
        </w:rPr>
        <w:t>资格性审查表</w:t>
      </w:r>
    </w:p>
    <w:tbl>
      <w:tblPr>
        <w:tblStyle w:val="14"/>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86"/>
        <w:gridCol w:w="8070"/>
      </w:tblGrid>
      <w:tr w14:paraId="0F3F15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5A2154E">
            <w:pPr>
              <w:widowControl w:val="0"/>
              <w:jc w:val="center"/>
              <w:rPr>
                <w:rFonts w:ascii="宋体" w:hAnsi="宋体" w:eastAsia="宋体" w:cs="宋体"/>
                <w:kern w:val="2"/>
                <w:sz w:val="28"/>
                <w:szCs w:val="28"/>
                <w:lang w:eastAsia="zh-CN"/>
              </w:rPr>
            </w:pPr>
            <w:r>
              <w:rPr>
                <w:rFonts w:eastAsia="宋体"/>
                <w:kern w:val="2"/>
                <w:sz w:val="28"/>
                <w:szCs w:val="28"/>
                <w:lang w:eastAsia="zh-CN"/>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440A4402">
            <w:pPr>
              <w:widowControl w:val="0"/>
              <w:jc w:val="center"/>
              <w:rPr>
                <w:rFonts w:ascii="宋体" w:hAnsi="宋体" w:eastAsia="宋体" w:cs="宋体"/>
                <w:kern w:val="2"/>
                <w:sz w:val="28"/>
                <w:szCs w:val="28"/>
                <w:lang w:eastAsia="zh-CN"/>
              </w:rPr>
            </w:pPr>
            <w:r>
              <w:rPr>
                <w:rFonts w:eastAsia="宋体"/>
                <w:kern w:val="2"/>
                <w:sz w:val="28"/>
                <w:szCs w:val="28"/>
                <w:lang w:eastAsia="zh-CN"/>
              </w:rPr>
              <w:t>内容</w:t>
            </w:r>
          </w:p>
        </w:tc>
      </w:tr>
      <w:tr w14:paraId="24F537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4429B77">
            <w:pPr>
              <w:widowControl w:val="0"/>
              <w:jc w:val="center"/>
              <w:rPr>
                <w:rFonts w:ascii="宋体" w:hAnsi="宋体" w:eastAsia="宋体" w:cs="宋体"/>
                <w:kern w:val="2"/>
                <w:sz w:val="21"/>
                <w:szCs w:val="21"/>
                <w:lang w:eastAsia="zh-CN"/>
              </w:rPr>
            </w:pPr>
            <w:r>
              <w:rPr>
                <w:rFonts w:eastAsia="宋体"/>
                <w:kern w:val="2"/>
                <w:sz w:val="21"/>
                <w:szCs w:val="21"/>
                <w:lang w:eastAsia="zh-CN"/>
              </w:rPr>
              <w:t>1</w:t>
            </w:r>
          </w:p>
        </w:tc>
        <w:tc>
          <w:tcPr>
            <w:tcW w:w="8278" w:type="dxa"/>
            <w:tcBorders>
              <w:top w:val="single" w:color="000000" w:sz="8" w:space="0"/>
              <w:left w:val="single" w:color="000000" w:sz="8" w:space="0"/>
              <w:bottom w:val="single" w:color="000000" w:sz="8" w:space="0"/>
              <w:right w:val="single" w:color="000000" w:sz="8" w:space="0"/>
            </w:tcBorders>
          </w:tcPr>
          <w:p w14:paraId="03FE847E">
            <w:pPr>
              <w:widowControl w:val="0"/>
              <w:jc w:val="both"/>
              <w:rPr>
                <w:rFonts w:eastAsia="宋体"/>
                <w:kern w:val="2"/>
                <w:sz w:val="21"/>
                <w:lang w:eastAsia="zh-CN"/>
              </w:rPr>
            </w:pPr>
            <w:r>
              <w:rPr>
                <w:rFonts w:hint="eastAsia" w:eastAsia="宋体"/>
                <w:kern w:val="2"/>
                <w:sz w:val="21"/>
                <w:lang w:eastAsia="zh-CN"/>
              </w:rPr>
              <w:t>响应供应商不具备招标文件所列的资格要求，或未提交相应的资格证明资料（详见第一册第一章招标公告的响应供应商资格要求）。</w:t>
            </w:r>
          </w:p>
        </w:tc>
      </w:tr>
      <w:tr w14:paraId="50FA80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770DBBD7">
            <w:pPr>
              <w:jc w:val="center"/>
              <w:textAlignment w:val="top"/>
              <w:rPr>
                <w:rFonts w:eastAsia="宋体"/>
                <w:kern w:val="2"/>
                <w:sz w:val="21"/>
                <w:szCs w:val="21"/>
                <w:lang w:eastAsia="zh-CN"/>
              </w:rPr>
            </w:pPr>
            <w:r>
              <w:rPr>
                <w:rFonts w:hint="eastAsia" w:ascii="宋体" w:hAnsi="宋体" w:cs="宋体"/>
                <w:szCs w:val="21"/>
                <w:lang w:bidi="ar"/>
              </w:rPr>
              <w:t>2</w:t>
            </w:r>
          </w:p>
        </w:tc>
        <w:tc>
          <w:tcPr>
            <w:tcW w:w="8278" w:type="dxa"/>
            <w:tcBorders>
              <w:top w:val="single" w:color="000000" w:sz="8" w:space="0"/>
              <w:left w:val="single" w:color="000000" w:sz="8" w:space="0"/>
              <w:bottom w:val="single" w:color="000000" w:sz="8" w:space="0"/>
              <w:right w:val="single" w:color="000000" w:sz="8" w:space="0"/>
            </w:tcBorders>
          </w:tcPr>
          <w:p w14:paraId="5448742A">
            <w:pPr>
              <w:textAlignment w:val="top"/>
              <w:rPr>
                <w:rFonts w:eastAsia="宋体"/>
                <w:kern w:val="2"/>
                <w:sz w:val="21"/>
                <w:lang w:eastAsia="zh-CN"/>
              </w:rPr>
            </w:pPr>
            <w:r>
              <w:rPr>
                <w:rFonts w:hint="eastAsia" w:ascii="宋体" w:hAnsi="宋体" w:cs="宋体"/>
                <w:szCs w:val="21"/>
                <w:lang w:bidi="ar"/>
              </w:rPr>
              <w:t>供应商缺席谈判的；</w:t>
            </w:r>
          </w:p>
        </w:tc>
      </w:tr>
    </w:tbl>
    <w:p w14:paraId="75C4DF99">
      <w:pPr>
        <w:widowControl w:val="0"/>
        <w:spacing w:before="280"/>
        <w:jc w:val="center"/>
        <w:outlineLvl w:val="1"/>
        <w:rPr>
          <w:rFonts w:ascii="黑体" w:hAnsi="黑体" w:eastAsia="黑体"/>
          <w:kern w:val="2"/>
          <w:sz w:val="40"/>
          <w:szCs w:val="40"/>
          <w:lang w:eastAsia="zh-CN"/>
        </w:rPr>
      </w:pPr>
      <w:r>
        <w:rPr>
          <w:rFonts w:hint="eastAsia" w:ascii="黑体" w:hAnsi="黑体" w:eastAsia="黑体"/>
          <w:kern w:val="2"/>
          <w:sz w:val="40"/>
          <w:szCs w:val="40"/>
          <w:lang w:eastAsia="zh-CN"/>
        </w:rPr>
        <w:t>符合性审查表</w:t>
      </w:r>
    </w:p>
    <w:tbl>
      <w:tblPr>
        <w:tblStyle w:val="14"/>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86"/>
        <w:gridCol w:w="8070"/>
      </w:tblGrid>
      <w:tr w14:paraId="26E00A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2C1EF92D">
            <w:pPr>
              <w:widowControl w:val="0"/>
              <w:jc w:val="center"/>
              <w:rPr>
                <w:rFonts w:ascii="宋体" w:hAnsi="宋体" w:eastAsia="宋体" w:cs="宋体"/>
                <w:kern w:val="2"/>
                <w:sz w:val="28"/>
                <w:szCs w:val="28"/>
                <w:lang w:eastAsia="zh-CN"/>
              </w:rPr>
            </w:pPr>
            <w:r>
              <w:rPr>
                <w:rFonts w:eastAsia="宋体"/>
                <w:kern w:val="2"/>
                <w:sz w:val="28"/>
                <w:szCs w:val="28"/>
                <w:lang w:eastAsia="zh-CN"/>
              </w:rPr>
              <w:t>序号</w:t>
            </w:r>
          </w:p>
        </w:tc>
        <w:tc>
          <w:tcPr>
            <w:tcW w:w="8076"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79823407">
            <w:pPr>
              <w:widowControl w:val="0"/>
              <w:jc w:val="center"/>
              <w:rPr>
                <w:rFonts w:ascii="宋体" w:hAnsi="宋体" w:eastAsia="宋体" w:cs="宋体"/>
                <w:kern w:val="2"/>
                <w:sz w:val="28"/>
                <w:szCs w:val="28"/>
                <w:lang w:eastAsia="zh-CN"/>
              </w:rPr>
            </w:pPr>
            <w:r>
              <w:rPr>
                <w:rFonts w:eastAsia="宋体"/>
                <w:kern w:val="2"/>
                <w:sz w:val="28"/>
                <w:szCs w:val="28"/>
                <w:lang w:eastAsia="zh-CN"/>
              </w:rPr>
              <w:t>内容</w:t>
            </w:r>
          </w:p>
        </w:tc>
      </w:tr>
      <w:tr w14:paraId="286C65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21E2B95A">
            <w:pPr>
              <w:widowControl w:val="0"/>
              <w:jc w:val="center"/>
              <w:rPr>
                <w:rFonts w:ascii="宋体" w:hAnsi="宋体" w:eastAsia="宋体" w:cs="宋体"/>
                <w:kern w:val="2"/>
                <w:sz w:val="21"/>
                <w:szCs w:val="21"/>
                <w:lang w:eastAsia="zh-CN"/>
              </w:rPr>
            </w:pPr>
            <w:r>
              <w:rPr>
                <w:rFonts w:eastAsia="宋体"/>
                <w:kern w:val="2"/>
                <w:sz w:val="21"/>
                <w:szCs w:val="21"/>
                <w:lang w:eastAsia="zh-CN"/>
              </w:rPr>
              <w:t>1</w:t>
            </w:r>
          </w:p>
        </w:tc>
        <w:tc>
          <w:tcPr>
            <w:tcW w:w="8076" w:type="dxa"/>
            <w:tcBorders>
              <w:top w:val="single" w:color="000000" w:sz="8" w:space="0"/>
              <w:left w:val="single" w:color="000000" w:sz="8" w:space="0"/>
              <w:bottom w:val="single" w:color="000000" w:sz="8" w:space="0"/>
              <w:right w:val="single" w:color="000000" w:sz="8" w:space="0"/>
            </w:tcBorders>
          </w:tcPr>
          <w:p w14:paraId="3A68746B">
            <w:pPr>
              <w:widowControl w:val="0"/>
              <w:jc w:val="both"/>
              <w:rPr>
                <w:rFonts w:ascii="宋体" w:hAnsi="宋体" w:eastAsia="宋体" w:cs="宋体"/>
                <w:kern w:val="2"/>
                <w:sz w:val="21"/>
                <w:szCs w:val="21"/>
                <w:lang w:eastAsia="zh-CN"/>
              </w:rPr>
            </w:pPr>
            <w:r>
              <w:rPr>
                <w:rFonts w:hint="eastAsia" w:eastAsia="宋体"/>
                <w:kern w:val="2"/>
                <w:sz w:val="21"/>
                <w:lang w:eastAsia="zh-CN"/>
              </w:rPr>
              <w:t>不得将一个包的内容拆开响应；</w:t>
            </w:r>
          </w:p>
        </w:tc>
      </w:tr>
      <w:tr w14:paraId="19D8E2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130B2BD0">
            <w:pPr>
              <w:widowControl w:val="0"/>
              <w:jc w:val="center"/>
              <w:rPr>
                <w:rFonts w:ascii="宋体" w:hAnsi="宋体" w:eastAsia="宋体" w:cs="宋体"/>
                <w:kern w:val="2"/>
                <w:sz w:val="21"/>
                <w:szCs w:val="21"/>
                <w:lang w:eastAsia="zh-CN"/>
              </w:rPr>
            </w:pPr>
            <w:r>
              <w:rPr>
                <w:rFonts w:eastAsia="宋体"/>
                <w:kern w:val="2"/>
                <w:sz w:val="21"/>
                <w:szCs w:val="21"/>
                <w:lang w:eastAsia="zh-CN"/>
              </w:rPr>
              <w:t>2</w:t>
            </w:r>
          </w:p>
        </w:tc>
        <w:tc>
          <w:tcPr>
            <w:tcW w:w="8076" w:type="dxa"/>
            <w:tcBorders>
              <w:top w:val="single" w:color="000000" w:sz="8" w:space="0"/>
              <w:left w:val="single" w:color="000000" w:sz="8" w:space="0"/>
              <w:bottom w:val="single" w:color="000000" w:sz="8" w:space="0"/>
              <w:right w:val="single" w:color="000000" w:sz="8" w:space="0"/>
            </w:tcBorders>
          </w:tcPr>
          <w:p w14:paraId="7D71AD16">
            <w:pPr>
              <w:widowControl w:val="0"/>
              <w:jc w:val="both"/>
              <w:rPr>
                <w:rFonts w:ascii="宋体" w:hAnsi="宋体" w:eastAsia="宋体" w:cs="宋体"/>
                <w:kern w:val="2"/>
                <w:sz w:val="21"/>
                <w:szCs w:val="21"/>
                <w:lang w:eastAsia="zh-CN"/>
              </w:rPr>
            </w:pPr>
            <w:r>
              <w:rPr>
                <w:rFonts w:hint="eastAsia" w:eastAsia="宋体"/>
                <w:kern w:val="2"/>
                <w:sz w:val="21"/>
                <w:lang w:eastAsia="zh-CN"/>
              </w:rPr>
              <w:t>对同一项目响应时，不得提供两套以上的响应方案（招标文件另有规定的除外）；</w:t>
            </w:r>
          </w:p>
        </w:tc>
      </w:tr>
      <w:tr w14:paraId="18B7FF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31974C05">
            <w:pPr>
              <w:widowControl w:val="0"/>
              <w:jc w:val="center"/>
              <w:rPr>
                <w:rFonts w:ascii="宋体" w:hAnsi="宋体" w:eastAsia="宋体" w:cs="宋体"/>
                <w:kern w:val="2"/>
                <w:sz w:val="21"/>
                <w:szCs w:val="21"/>
                <w:lang w:eastAsia="zh-CN"/>
              </w:rPr>
            </w:pPr>
            <w:r>
              <w:rPr>
                <w:rFonts w:eastAsia="宋体"/>
                <w:kern w:val="2"/>
                <w:sz w:val="21"/>
                <w:szCs w:val="21"/>
                <w:lang w:eastAsia="zh-CN"/>
              </w:rPr>
              <w:t>3</w:t>
            </w:r>
          </w:p>
        </w:tc>
        <w:tc>
          <w:tcPr>
            <w:tcW w:w="8076" w:type="dxa"/>
            <w:tcBorders>
              <w:top w:val="single" w:color="000000" w:sz="8" w:space="0"/>
              <w:left w:val="single" w:color="000000" w:sz="8" w:space="0"/>
              <w:bottom w:val="single" w:color="000000" w:sz="8" w:space="0"/>
              <w:right w:val="single" w:color="000000" w:sz="8" w:space="0"/>
            </w:tcBorders>
          </w:tcPr>
          <w:p w14:paraId="0F4BBB94">
            <w:pPr>
              <w:widowControl w:val="0"/>
              <w:jc w:val="both"/>
              <w:rPr>
                <w:rFonts w:ascii="宋体" w:hAnsi="宋体" w:eastAsia="宋体" w:cs="宋体"/>
                <w:kern w:val="2"/>
                <w:sz w:val="21"/>
                <w:szCs w:val="21"/>
                <w:lang w:eastAsia="zh-CN"/>
              </w:rPr>
            </w:pPr>
            <w:r>
              <w:rPr>
                <w:rFonts w:hint="eastAsia" w:eastAsia="宋体"/>
                <w:kern w:val="2"/>
                <w:sz w:val="21"/>
                <w:lang w:eastAsia="zh-CN"/>
              </w:rPr>
              <w:t>分项报价或响应总价不得高于相应预算金额（或设定的预算金额下的最高限价）；</w:t>
            </w:r>
          </w:p>
        </w:tc>
      </w:tr>
      <w:tr w14:paraId="32A2D7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43E5786B">
            <w:pPr>
              <w:widowControl w:val="0"/>
              <w:jc w:val="center"/>
              <w:rPr>
                <w:rFonts w:ascii="宋体" w:hAnsi="宋体" w:eastAsia="宋体" w:cs="宋体"/>
                <w:kern w:val="2"/>
                <w:sz w:val="21"/>
                <w:szCs w:val="21"/>
                <w:lang w:eastAsia="zh-CN"/>
              </w:rPr>
            </w:pPr>
            <w:r>
              <w:rPr>
                <w:rFonts w:eastAsia="宋体"/>
                <w:kern w:val="2"/>
                <w:sz w:val="21"/>
                <w:szCs w:val="21"/>
                <w:lang w:eastAsia="zh-CN"/>
              </w:rPr>
              <w:t>4</w:t>
            </w:r>
          </w:p>
        </w:tc>
        <w:tc>
          <w:tcPr>
            <w:tcW w:w="8076" w:type="dxa"/>
            <w:tcBorders>
              <w:top w:val="single" w:color="000000" w:sz="8" w:space="0"/>
              <w:left w:val="single" w:color="000000" w:sz="8" w:space="0"/>
              <w:bottom w:val="single" w:color="000000" w:sz="8" w:space="0"/>
              <w:right w:val="single" w:color="000000" w:sz="8" w:space="0"/>
            </w:tcBorders>
          </w:tcPr>
          <w:p w14:paraId="33E8842E">
            <w:pPr>
              <w:textAlignment w:val="top"/>
              <w:rPr>
                <w:rFonts w:ascii="宋体" w:hAnsi="宋体" w:eastAsia="宋体" w:cs="宋体"/>
                <w:kern w:val="2"/>
                <w:sz w:val="21"/>
                <w:szCs w:val="21"/>
                <w:lang w:eastAsia="zh-CN"/>
              </w:rPr>
            </w:pPr>
            <w:r>
              <w:rPr>
                <w:rFonts w:hint="eastAsia" w:ascii="宋体" w:hAnsi="宋体" w:eastAsia="宋体" w:cs="宋体"/>
                <w:kern w:val="2"/>
                <w:sz w:val="21"/>
                <w:szCs w:val="21"/>
                <w:lang w:eastAsia="zh-CN"/>
              </w:rPr>
              <w:t>评审中出现下列情形之一的，谈判小组应当启动异常低价投标（响应）审查程序：</w:t>
            </w:r>
          </w:p>
          <w:p w14:paraId="3577C7FC">
            <w:pPr>
              <w:textAlignment w:val="top"/>
              <w:rPr>
                <w:rFonts w:ascii="宋体" w:hAnsi="宋体" w:eastAsia="宋体" w:cs="宋体"/>
                <w:kern w:val="2"/>
                <w:sz w:val="21"/>
                <w:szCs w:val="21"/>
                <w:lang w:eastAsia="zh-CN"/>
              </w:rPr>
            </w:pPr>
            <w:r>
              <w:rPr>
                <w:rFonts w:hint="eastAsia" w:ascii="宋体" w:hAnsi="宋体" w:eastAsia="宋体" w:cs="宋体"/>
                <w:kern w:val="2"/>
                <w:sz w:val="21"/>
                <w:szCs w:val="21"/>
                <w:lang w:eastAsia="zh-CN"/>
              </w:rPr>
              <w:t>1.投标（响应）报价低于全部通过符合性审查供应商投标（响应）报价平均值50%的，即投标（响应）报价&lt;全部通过符合性审查供应商投标（响应）报价平均值×50%；</w:t>
            </w:r>
          </w:p>
          <w:p w14:paraId="2098CEA0">
            <w:pPr>
              <w:textAlignment w:val="top"/>
              <w:rPr>
                <w:rFonts w:ascii="宋体" w:hAnsi="宋体" w:eastAsia="宋体" w:cs="宋体"/>
                <w:kern w:val="2"/>
                <w:sz w:val="21"/>
                <w:szCs w:val="21"/>
                <w:lang w:eastAsia="zh-CN"/>
              </w:rPr>
            </w:pPr>
            <w:r>
              <w:rPr>
                <w:rFonts w:hint="eastAsia" w:ascii="宋体" w:hAnsi="宋体" w:eastAsia="宋体" w:cs="宋体"/>
                <w:kern w:val="2"/>
                <w:sz w:val="21"/>
                <w:szCs w:val="21"/>
                <w:lang w:eastAsia="zh-CN"/>
              </w:rPr>
              <w:t>2.投标（响应）报价低于通过符合性审查的次低报价供应商投标（响应）报价50%的，即投标（响应）报价&lt;通过符合性审查的次低报价供应商投标（响应）报价×50%；</w:t>
            </w:r>
          </w:p>
          <w:p w14:paraId="281C9D11">
            <w:pPr>
              <w:textAlignment w:val="top"/>
              <w:rPr>
                <w:rFonts w:ascii="宋体" w:hAnsi="宋体" w:eastAsia="宋体" w:cs="宋体"/>
                <w:kern w:val="2"/>
                <w:sz w:val="21"/>
                <w:szCs w:val="21"/>
                <w:lang w:eastAsia="zh-CN"/>
              </w:rPr>
            </w:pPr>
            <w:r>
              <w:rPr>
                <w:rFonts w:hint="eastAsia" w:ascii="宋体" w:hAnsi="宋体" w:eastAsia="宋体" w:cs="宋体"/>
                <w:kern w:val="2"/>
                <w:sz w:val="21"/>
                <w:szCs w:val="21"/>
                <w:lang w:eastAsia="zh-CN"/>
              </w:rPr>
              <w:t>3.投标（响应）报价低于采购项目最高限价45%的，即投标（响应）报价&lt;采购项目最高限价×45%；</w:t>
            </w:r>
          </w:p>
          <w:p w14:paraId="4DE8CCFE">
            <w:pPr>
              <w:textAlignment w:val="top"/>
              <w:rPr>
                <w:rFonts w:ascii="宋体" w:hAnsi="宋体" w:eastAsia="宋体" w:cs="宋体"/>
                <w:kern w:val="2"/>
                <w:sz w:val="21"/>
                <w:szCs w:val="21"/>
                <w:lang w:eastAsia="zh-CN"/>
              </w:rPr>
            </w:pPr>
            <w:r>
              <w:rPr>
                <w:rFonts w:hint="eastAsia" w:ascii="宋体" w:hAnsi="宋体" w:eastAsia="宋体" w:cs="宋体"/>
                <w:kern w:val="2"/>
                <w:sz w:val="21"/>
                <w:szCs w:val="21"/>
                <w:lang w:eastAsia="zh-CN"/>
              </w:rPr>
              <w:t>4.谈判小组基于专业判断，认为供应商报价过低，有可能影响产品质量或者不能诚信履约的其他情形。</w:t>
            </w:r>
          </w:p>
          <w:p w14:paraId="5674F748">
            <w:pPr>
              <w:textAlignment w:val="top"/>
              <w:rPr>
                <w:rFonts w:ascii="宋体" w:hAnsi="宋体" w:eastAsia="宋体" w:cs="宋体"/>
                <w:kern w:val="2"/>
                <w:sz w:val="21"/>
                <w:szCs w:val="21"/>
                <w:lang w:eastAsia="zh-CN"/>
              </w:rPr>
            </w:pPr>
            <w:r>
              <w:rPr>
                <w:rFonts w:hint="eastAsia" w:ascii="宋体" w:hAnsi="宋体" w:eastAsia="宋体" w:cs="宋体"/>
                <w:kern w:val="2"/>
                <w:sz w:val="21"/>
                <w:szCs w:val="21"/>
                <w:lang w:eastAsia="zh-CN"/>
              </w:rPr>
              <w:t>谈判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E6AD476">
            <w:pPr>
              <w:widowControl w:val="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谈判小组依据专业经验，参考同类项目中标（成交）价格、类似产品市场价格水平、行业人工费用标准、国家有关部门指导行业协会发布的行业平均成本等情况，对报价合理性进行判断。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bCs/>
                <w:kern w:val="2"/>
                <w:sz w:val="21"/>
                <w:szCs w:val="21"/>
                <w:lang w:eastAsia="zh-CN"/>
              </w:rPr>
              <w:t>投标（响应）供应商不能提供书面说明、证明材料，或者提供的书面说明、证明材料不能证明其报价合理性的，谈判小组应当将其作为无效投标（响应）处理。</w:t>
            </w:r>
          </w:p>
        </w:tc>
      </w:tr>
      <w:tr w14:paraId="358B52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5DE79EAF">
            <w:pPr>
              <w:widowControl w:val="0"/>
              <w:jc w:val="center"/>
              <w:rPr>
                <w:rFonts w:ascii="宋体" w:hAnsi="宋体" w:eastAsia="宋体" w:cs="宋体"/>
                <w:kern w:val="2"/>
                <w:sz w:val="21"/>
                <w:szCs w:val="21"/>
                <w:lang w:eastAsia="zh-CN"/>
              </w:rPr>
            </w:pPr>
            <w:r>
              <w:rPr>
                <w:rFonts w:eastAsia="宋体"/>
                <w:kern w:val="2"/>
                <w:sz w:val="21"/>
                <w:szCs w:val="21"/>
                <w:lang w:eastAsia="zh-CN"/>
              </w:rPr>
              <w:t>5</w:t>
            </w:r>
          </w:p>
        </w:tc>
        <w:tc>
          <w:tcPr>
            <w:tcW w:w="8076" w:type="dxa"/>
            <w:tcBorders>
              <w:top w:val="single" w:color="000000" w:sz="8" w:space="0"/>
              <w:left w:val="single" w:color="000000" w:sz="8" w:space="0"/>
              <w:bottom w:val="single" w:color="000000" w:sz="8" w:space="0"/>
              <w:right w:val="single" w:color="000000" w:sz="8" w:space="0"/>
            </w:tcBorders>
          </w:tcPr>
          <w:p w14:paraId="48061699">
            <w:pPr>
              <w:widowControl w:val="0"/>
              <w:jc w:val="both"/>
              <w:rPr>
                <w:rFonts w:ascii="宋体" w:hAnsi="宋体" w:eastAsia="宋体" w:cs="宋体"/>
                <w:kern w:val="2"/>
                <w:sz w:val="21"/>
                <w:szCs w:val="21"/>
                <w:lang w:eastAsia="zh-CN"/>
              </w:rPr>
            </w:pPr>
            <w:r>
              <w:rPr>
                <w:rFonts w:hint="eastAsia" w:eastAsia="宋体"/>
                <w:kern w:val="2"/>
                <w:sz w:val="21"/>
                <w:lang w:eastAsia="zh-CN"/>
              </w:rPr>
              <w:t>所投货物、服务在技术、商务等方面没有实质性满足招标文件要求的（是否实质性满足招标文件要求，由谈判小组根据实质性条款响应情况做出评判；若招标文件未设置实质性条款，不得据此做投标响应无效处理）；</w:t>
            </w:r>
          </w:p>
        </w:tc>
      </w:tr>
      <w:tr w14:paraId="51D6E6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58F794D3">
            <w:pPr>
              <w:widowControl w:val="0"/>
              <w:jc w:val="center"/>
              <w:rPr>
                <w:rFonts w:ascii="宋体" w:hAnsi="宋体" w:eastAsia="宋体" w:cs="宋体"/>
                <w:kern w:val="2"/>
                <w:sz w:val="21"/>
                <w:szCs w:val="21"/>
                <w:lang w:eastAsia="zh-CN"/>
              </w:rPr>
            </w:pPr>
            <w:r>
              <w:rPr>
                <w:rFonts w:eastAsia="宋体"/>
                <w:kern w:val="2"/>
                <w:sz w:val="21"/>
                <w:szCs w:val="21"/>
                <w:lang w:eastAsia="zh-CN"/>
              </w:rPr>
              <w:t>6</w:t>
            </w:r>
          </w:p>
        </w:tc>
        <w:tc>
          <w:tcPr>
            <w:tcW w:w="8076" w:type="dxa"/>
            <w:tcBorders>
              <w:top w:val="single" w:color="000000" w:sz="8" w:space="0"/>
              <w:left w:val="single" w:color="000000" w:sz="8" w:space="0"/>
              <w:bottom w:val="single" w:color="000000" w:sz="8" w:space="0"/>
              <w:right w:val="single" w:color="000000" w:sz="8" w:space="0"/>
            </w:tcBorders>
          </w:tcPr>
          <w:p w14:paraId="42A4DCCA">
            <w:pPr>
              <w:widowControl w:val="0"/>
              <w:jc w:val="both"/>
              <w:rPr>
                <w:rFonts w:ascii="宋体" w:hAnsi="宋体" w:eastAsia="宋体" w:cs="宋体"/>
                <w:kern w:val="2"/>
                <w:sz w:val="21"/>
                <w:szCs w:val="21"/>
                <w:lang w:eastAsia="zh-CN"/>
              </w:rPr>
            </w:pPr>
            <w:r>
              <w:rPr>
                <w:rFonts w:hint="eastAsia" w:eastAsia="宋体"/>
                <w:kern w:val="2"/>
                <w:sz w:val="21"/>
                <w:lang w:eastAsia="zh-CN"/>
              </w:rPr>
              <w:t>未按招标文件所提供的《政府采购投标响应及履约承诺函》进行承诺；未按招标文件对投标响应文件组成的要求提供投标响应文件；</w:t>
            </w:r>
          </w:p>
        </w:tc>
      </w:tr>
      <w:tr w14:paraId="341029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54E58650">
            <w:pPr>
              <w:widowControl w:val="0"/>
              <w:jc w:val="center"/>
              <w:rPr>
                <w:rFonts w:ascii="宋体" w:hAnsi="宋体" w:eastAsia="宋体" w:cs="宋体"/>
                <w:kern w:val="2"/>
                <w:sz w:val="21"/>
                <w:szCs w:val="21"/>
                <w:lang w:eastAsia="zh-CN"/>
              </w:rPr>
            </w:pPr>
            <w:r>
              <w:rPr>
                <w:rFonts w:eastAsia="宋体"/>
                <w:kern w:val="2"/>
                <w:sz w:val="21"/>
                <w:szCs w:val="21"/>
                <w:lang w:eastAsia="zh-CN"/>
              </w:rPr>
              <w:t>7</w:t>
            </w:r>
          </w:p>
        </w:tc>
        <w:tc>
          <w:tcPr>
            <w:tcW w:w="8076" w:type="dxa"/>
            <w:tcBorders>
              <w:top w:val="single" w:color="000000" w:sz="8" w:space="0"/>
              <w:left w:val="single" w:color="000000" w:sz="8" w:space="0"/>
              <w:bottom w:val="single" w:color="000000" w:sz="8" w:space="0"/>
              <w:right w:val="single" w:color="000000" w:sz="8" w:space="0"/>
            </w:tcBorders>
          </w:tcPr>
          <w:p w14:paraId="341512B6">
            <w:pPr>
              <w:widowControl w:val="0"/>
              <w:jc w:val="both"/>
              <w:rPr>
                <w:rFonts w:ascii="宋体" w:hAnsi="宋体" w:eastAsia="宋体" w:cs="宋体"/>
                <w:kern w:val="2"/>
                <w:sz w:val="21"/>
                <w:szCs w:val="21"/>
                <w:lang w:eastAsia="zh-CN"/>
              </w:rPr>
            </w:pPr>
            <w:r>
              <w:rPr>
                <w:rFonts w:hint="eastAsia" w:eastAsia="宋体"/>
                <w:kern w:val="2"/>
                <w:sz w:val="21"/>
                <w:lang w:eastAsia="zh-CN"/>
              </w:rPr>
              <w:t>采购标的/服务清单/报价等任意一类有缺漏项或响应不全，或者对招标文件规定的项目需求内容或者需求数量进行修改</w:t>
            </w:r>
            <w:r>
              <w:rPr>
                <w:rFonts w:hint="eastAsia" w:eastAsia="宋体"/>
                <w:kern w:val="2"/>
                <w:sz w:val="21"/>
                <w:szCs w:val="21"/>
                <w:lang w:eastAsia="zh-CN"/>
              </w:rPr>
              <w:t>，谈判小组判定响应不满足采购需求</w:t>
            </w:r>
            <w:r>
              <w:rPr>
                <w:rFonts w:hint="eastAsia" w:eastAsia="宋体"/>
                <w:kern w:val="2"/>
                <w:sz w:val="21"/>
                <w:lang w:eastAsia="zh-CN"/>
              </w:rPr>
              <w:t>；</w:t>
            </w:r>
          </w:p>
        </w:tc>
      </w:tr>
      <w:tr w14:paraId="1EC0BB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702C082C">
            <w:pPr>
              <w:widowControl w:val="0"/>
              <w:jc w:val="center"/>
              <w:rPr>
                <w:rFonts w:ascii="宋体" w:hAnsi="宋体" w:eastAsia="宋体" w:cs="宋体"/>
                <w:kern w:val="2"/>
                <w:sz w:val="21"/>
                <w:szCs w:val="21"/>
                <w:lang w:eastAsia="zh-CN"/>
              </w:rPr>
            </w:pPr>
            <w:r>
              <w:rPr>
                <w:rFonts w:eastAsia="宋体"/>
                <w:kern w:val="2"/>
                <w:sz w:val="21"/>
                <w:szCs w:val="21"/>
                <w:lang w:eastAsia="zh-CN"/>
              </w:rPr>
              <w:t>8</w:t>
            </w:r>
          </w:p>
        </w:tc>
        <w:tc>
          <w:tcPr>
            <w:tcW w:w="8076" w:type="dxa"/>
            <w:tcBorders>
              <w:top w:val="single" w:color="000000" w:sz="8" w:space="0"/>
              <w:left w:val="single" w:color="000000" w:sz="8" w:space="0"/>
              <w:bottom w:val="single" w:color="000000" w:sz="8" w:space="0"/>
              <w:right w:val="single" w:color="000000" w:sz="8" w:space="0"/>
            </w:tcBorders>
          </w:tcPr>
          <w:p w14:paraId="635B2DBE">
            <w:pPr>
              <w:widowControl w:val="0"/>
              <w:jc w:val="both"/>
              <w:rPr>
                <w:rFonts w:ascii="宋体" w:hAnsi="宋体" w:eastAsia="宋体" w:cs="宋体"/>
                <w:kern w:val="2"/>
                <w:sz w:val="21"/>
                <w:szCs w:val="21"/>
                <w:lang w:eastAsia="zh-CN"/>
              </w:rPr>
            </w:pPr>
            <w:r>
              <w:rPr>
                <w:rFonts w:hint="eastAsia" w:eastAsia="宋体"/>
                <w:kern w:val="2"/>
                <w:sz w:val="21"/>
                <w:lang w:eastAsia="zh-CN"/>
              </w:rPr>
              <w:t>响应文件存在列放位置错误，导致属于信息公开情形的没有被公开；</w:t>
            </w:r>
          </w:p>
        </w:tc>
      </w:tr>
      <w:tr w14:paraId="400689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1761C735">
            <w:pPr>
              <w:widowControl w:val="0"/>
              <w:jc w:val="center"/>
              <w:rPr>
                <w:rFonts w:ascii="宋体" w:hAnsi="宋体" w:eastAsia="宋体" w:cs="宋体"/>
                <w:kern w:val="2"/>
                <w:sz w:val="21"/>
                <w:szCs w:val="21"/>
                <w:lang w:eastAsia="zh-CN"/>
              </w:rPr>
            </w:pPr>
            <w:r>
              <w:rPr>
                <w:rFonts w:eastAsia="宋体"/>
                <w:kern w:val="2"/>
                <w:sz w:val="21"/>
                <w:szCs w:val="21"/>
                <w:lang w:eastAsia="zh-CN"/>
              </w:rPr>
              <w:t>9</w:t>
            </w:r>
          </w:p>
        </w:tc>
        <w:tc>
          <w:tcPr>
            <w:tcW w:w="8076" w:type="dxa"/>
            <w:tcBorders>
              <w:top w:val="single" w:color="000000" w:sz="8" w:space="0"/>
              <w:left w:val="single" w:color="000000" w:sz="8" w:space="0"/>
              <w:bottom w:val="single" w:color="000000" w:sz="8" w:space="0"/>
              <w:right w:val="single" w:color="000000" w:sz="8" w:space="0"/>
            </w:tcBorders>
          </w:tcPr>
          <w:p w14:paraId="76CF3098">
            <w:pPr>
              <w:widowControl w:val="0"/>
              <w:jc w:val="both"/>
              <w:rPr>
                <w:rFonts w:ascii="宋体" w:hAnsi="宋体" w:eastAsia="宋体" w:cs="宋体"/>
                <w:kern w:val="2"/>
                <w:sz w:val="21"/>
                <w:szCs w:val="21"/>
                <w:lang w:eastAsia="zh-CN"/>
              </w:rPr>
            </w:pPr>
            <w:r>
              <w:rPr>
                <w:rFonts w:hint="eastAsia" w:eastAsia="宋体"/>
                <w:kern w:val="2"/>
                <w:sz w:val="21"/>
                <w:lang w:eastAsia="zh-CN"/>
              </w:rPr>
              <w:t>响应文件电子文档不得带病毒；</w:t>
            </w:r>
          </w:p>
        </w:tc>
      </w:tr>
      <w:tr w14:paraId="6F138F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342AD59F">
            <w:pPr>
              <w:widowControl w:val="0"/>
              <w:jc w:val="center"/>
              <w:rPr>
                <w:rFonts w:ascii="宋体" w:hAnsi="宋体" w:eastAsia="宋体" w:cs="宋体"/>
                <w:kern w:val="2"/>
                <w:sz w:val="21"/>
                <w:szCs w:val="21"/>
                <w:lang w:eastAsia="zh-CN"/>
              </w:rPr>
            </w:pPr>
            <w:r>
              <w:rPr>
                <w:rFonts w:eastAsia="宋体"/>
                <w:kern w:val="2"/>
                <w:sz w:val="21"/>
                <w:szCs w:val="21"/>
                <w:lang w:eastAsia="zh-CN"/>
              </w:rPr>
              <w:t>10</w:t>
            </w:r>
          </w:p>
        </w:tc>
        <w:tc>
          <w:tcPr>
            <w:tcW w:w="8076" w:type="dxa"/>
            <w:tcBorders>
              <w:top w:val="single" w:color="000000" w:sz="8" w:space="0"/>
              <w:left w:val="single" w:color="000000" w:sz="8" w:space="0"/>
              <w:bottom w:val="single" w:color="000000" w:sz="8" w:space="0"/>
              <w:right w:val="single" w:color="000000" w:sz="8" w:space="0"/>
            </w:tcBorders>
          </w:tcPr>
          <w:p w14:paraId="5DE65A45">
            <w:pPr>
              <w:widowControl w:val="0"/>
              <w:jc w:val="both"/>
              <w:rPr>
                <w:rFonts w:ascii="宋体" w:hAnsi="宋体" w:eastAsia="宋体" w:cs="宋体"/>
                <w:kern w:val="2"/>
                <w:sz w:val="21"/>
                <w:szCs w:val="21"/>
                <w:lang w:eastAsia="zh-CN"/>
              </w:rPr>
            </w:pPr>
            <w:r>
              <w:rPr>
                <w:rFonts w:hint="eastAsia" w:eastAsia="宋体"/>
                <w:kern w:val="2"/>
                <w:sz w:val="21"/>
                <w:lang w:eastAsia="zh-CN"/>
              </w:rPr>
              <w:t>响应文件不得用不属于本公司的电子密钥或电子营业执照进行加密的；</w:t>
            </w:r>
          </w:p>
        </w:tc>
      </w:tr>
      <w:tr w14:paraId="11EC98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80" w:type="dxa"/>
            <w:tcBorders>
              <w:top w:val="single" w:color="000000" w:sz="8" w:space="0"/>
              <w:left w:val="single" w:color="000000" w:sz="8" w:space="0"/>
              <w:bottom w:val="single" w:color="000000" w:sz="8" w:space="0"/>
              <w:right w:val="single" w:color="000000" w:sz="8" w:space="0"/>
            </w:tcBorders>
          </w:tcPr>
          <w:p w14:paraId="0842BB8B">
            <w:pPr>
              <w:widowControl w:val="0"/>
              <w:jc w:val="center"/>
              <w:rPr>
                <w:rFonts w:ascii="宋体" w:hAnsi="宋体" w:eastAsia="宋体" w:cs="宋体"/>
                <w:kern w:val="2"/>
                <w:sz w:val="21"/>
                <w:szCs w:val="21"/>
                <w:lang w:eastAsia="zh-CN"/>
              </w:rPr>
            </w:pPr>
            <w:r>
              <w:rPr>
                <w:rFonts w:hint="eastAsia" w:eastAsia="宋体"/>
                <w:color w:val="FF0000"/>
                <w:kern w:val="2"/>
                <w:sz w:val="21"/>
                <w:szCs w:val="21"/>
                <w:lang w:eastAsia="zh-CN"/>
              </w:rPr>
              <w:t>1</w:t>
            </w:r>
            <w:r>
              <w:rPr>
                <w:rFonts w:eastAsia="宋体"/>
                <w:color w:val="FF0000"/>
                <w:kern w:val="2"/>
                <w:sz w:val="21"/>
                <w:szCs w:val="21"/>
                <w:lang w:eastAsia="zh-CN"/>
              </w:rPr>
              <w:t>1</w:t>
            </w:r>
          </w:p>
        </w:tc>
        <w:tc>
          <w:tcPr>
            <w:tcW w:w="8076" w:type="dxa"/>
            <w:tcBorders>
              <w:top w:val="single" w:color="000000" w:sz="8" w:space="0"/>
              <w:left w:val="single" w:color="000000" w:sz="8" w:space="0"/>
              <w:bottom w:val="single" w:color="000000" w:sz="8" w:space="0"/>
              <w:right w:val="single" w:color="000000" w:sz="8" w:space="0"/>
            </w:tcBorders>
          </w:tcPr>
          <w:p w14:paraId="40D72D88">
            <w:pPr>
              <w:widowControl w:val="0"/>
              <w:jc w:val="both"/>
              <w:rPr>
                <w:rFonts w:ascii="宋体" w:hAnsi="宋体" w:eastAsia="宋体" w:cs="宋体"/>
                <w:kern w:val="2"/>
                <w:sz w:val="21"/>
                <w:szCs w:val="21"/>
                <w:lang w:eastAsia="zh-CN"/>
              </w:rPr>
            </w:pPr>
            <w:r>
              <w:rPr>
                <w:rFonts w:hint="eastAsia" w:eastAsia="宋体"/>
                <w:kern w:val="2"/>
                <w:sz w:val="21"/>
                <w:lang w:eastAsia="zh-CN"/>
              </w:rPr>
              <w:t>法律、法规、规章、规范性文件规定的其他情形。</w:t>
            </w:r>
          </w:p>
        </w:tc>
      </w:tr>
    </w:tbl>
    <w:p w14:paraId="447D4063">
      <w:pPr>
        <w:widowControl w:val="0"/>
        <w:jc w:val="center"/>
        <w:outlineLvl w:val="1"/>
        <w:rPr>
          <w:rFonts w:ascii="黑体" w:hAnsi="黑体" w:eastAsia="黑体"/>
          <w:kern w:val="2"/>
          <w:sz w:val="40"/>
          <w:szCs w:val="40"/>
          <w:lang w:eastAsia="zh-CN"/>
        </w:rPr>
      </w:pPr>
      <w:r>
        <w:rPr>
          <w:rFonts w:hint="eastAsia" w:ascii="黑体" w:hAnsi="黑体" w:eastAsia="黑体"/>
          <w:kern w:val="2"/>
          <w:sz w:val="40"/>
          <w:szCs w:val="40"/>
          <w:lang w:eastAsia="zh-CN"/>
        </w:rPr>
        <w:t>评标信息</w:t>
      </w:r>
    </w:p>
    <w:tbl>
      <w:tblPr>
        <w:tblStyle w:val="14"/>
        <w:tblW w:w="5000" w:type="pct"/>
        <w:jc w:val="center"/>
        <w:tblCellSpacing w:w="0" w:type="dxa"/>
        <w:tblLayout w:type="fixed"/>
        <w:tblCellMar>
          <w:top w:w="45" w:type="dxa"/>
          <w:left w:w="45" w:type="dxa"/>
          <w:bottom w:w="45" w:type="dxa"/>
          <w:right w:w="45" w:type="dxa"/>
        </w:tblCellMar>
      </w:tblPr>
      <w:tblGrid>
        <w:gridCol w:w="8500"/>
        <w:gridCol w:w="230"/>
      </w:tblGrid>
      <w:tr w14:paraId="7843D238">
        <w:tblPrEx>
          <w:tblCellMar>
            <w:top w:w="45" w:type="dxa"/>
            <w:left w:w="45" w:type="dxa"/>
            <w:bottom w:w="45" w:type="dxa"/>
            <w:right w:w="45" w:type="dxa"/>
          </w:tblCellMar>
        </w:tblPrEx>
        <w:trPr>
          <w:gridAfter w:val="1"/>
          <w:wAfter w:w="240" w:type="dxa"/>
          <w:tblCellSpacing w:w="0" w:type="dxa"/>
          <w:jc w:val="center"/>
        </w:trPr>
        <w:tc>
          <w:tcPr>
            <w:tcW w:w="8873" w:type="dxa"/>
            <w:shd w:val="clear" w:color="auto" w:fill="auto"/>
            <w:vAlign w:val="center"/>
          </w:tcPr>
          <w:p w14:paraId="27C36AB7">
            <w:pPr>
              <w:rPr>
                <w:rFonts w:eastAsia="宋体"/>
                <w:b/>
                <w:bCs/>
                <w:kern w:val="2"/>
                <w:lang w:eastAsia="zh-CN"/>
              </w:rPr>
            </w:pPr>
            <w:r>
              <w:rPr>
                <w:rFonts w:eastAsia="宋体"/>
                <w:b/>
                <w:bCs/>
                <w:kern w:val="2"/>
                <w:sz w:val="21"/>
                <w:lang w:eastAsia="zh-CN"/>
              </w:rPr>
              <w:t>评标方法：综合评分法</w:t>
            </w:r>
          </w:p>
        </w:tc>
      </w:tr>
      <w:tr w14:paraId="788C8BDA">
        <w:tblPrEx>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14:paraId="11C56CEF">
            <w:pPr>
              <w:widowControl w:val="0"/>
              <w:spacing w:line="360" w:lineRule="auto"/>
              <w:jc w:val="both"/>
              <w:rPr>
                <w:rFonts w:eastAsia="宋体"/>
                <w:b/>
                <w:bCs/>
                <w:kern w:val="2"/>
                <w:sz w:val="21"/>
                <w:szCs w:val="21"/>
                <w:lang w:eastAsia="zh-CN"/>
              </w:rPr>
            </w:pPr>
          </w:p>
          <w:p w14:paraId="4947EE50">
            <w:pPr>
              <w:widowControl w:val="0"/>
              <w:ind w:firstLine="420"/>
              <w:jc w:val="both"/>
              <w:rPr>
                <w:rFonts w:eastAsia="宋体"/>
                <w:kern w:val="2"/>
                <w:sz w:val="21"/>
                <w:szCs w:val="21"/>
                <w:lang w:eastAsia="zh-CN"/>
              </w:rPr>
            </w:pPr>
            <w:r>
              <w:rPr>
                <w:rFonts w:eastAsia="宋体"/>
                <w:kern w:val="2"/>
                <w:sz w:val="21"/>
                <w:szCs w:val="21"/>
                <w:lang w:eastAsia="zh-CN"/>
              </w:rPr>
              <w:t>综合评分法，是指</w:t>
            </w:r>
            <w:r>
              <w:rPr>
                <w:rFonts w:hint="eastAsia" w:eastAsia="宋体"/>
                <w:sz w:val="21"/>
                <w:szCs w:val="21"/>
                <w:lang w:eastAsia="zh-CN"/>
              </w:rPr>
              <w:t>响应文件满足招标文件全部实质性要求</w:t>
            </w:r>
            <w:r>
              <w:rPr>
                <w:rFonts w:eastAsia="宋体"/>
                <w:kern w:val="2"/>
                <w:sz w:val="21"/>
                <w:szCs w:val="21"/>
                <w:lang w:eastAsia="zh-CN"/>
              </w:rPr>
              <w:t>，且按照</w:t>
            </w:r>
            <w:r>
              <w:rPr>
                <w:rFonts w:hint="eastAsia" w:eastAsia="宋体"/>
                <w:kern w:val="2"/>
                <w:sz w:val="21"/>
                <w:szCs w:val="21"/>
                <w:lang w:eastAsia="zh-CN"/>
              </w:rPr>
              <w:t>招标文件规定的各项因素进行综合评审，评标总得分排名前列</w:t>
            </w:r>
            <w:r>
              <w:rPr>
                <w:rFonts w:eastAsia="宋体"/>
                <w:kern w:val="2"/>
                <w:sz w:val="21"/>
                <w:szCs w:val="21"/>
                <w:lang w:eastAsia="zh-CN"/>
              </w:rPr>
              <w:t>的投标人为中标候选人的评标方法。</w:t>
            </w:r>
            <w:r>
              <w:rPr>
                <w:rFonts w:hint="eastAsia" w:eastAsia="宋体"/>
                <w:kern w:val="2"/>
                <w:sz w:val="21"/>
                <w:szCs w:val="21"/>
                <w:lang w:eastAsia="zh-CN"/>
              </w:rPr>
              <w:t>（适用于中标候选人为2家或以上的情形）</w:t>
            </w:r>
          </w:p>
          <w:p w14:paraId="1220A50F">
            <w:pPr>
              <w:widowControl w:val="0"/>
              <w:ind w:firstLine="420"/>
              <w:jc w:val="both"/>
              <w:rPr>
                <w:rFonts w:eastAsia="宋体"/>
                <w:kern w:val="2"/>
                <w:sz w:val="21"/>
                <w:szCs w:val="21"/>
                <w:lang w:eastAsia="zh-CN"/>
              </w:rPr>
            </w:pPr>
          </w:p>
          <w:p w14:paraId="61B2E272">
            <w:pPr>
              <w:widowControl w:val="0"/>
              <w:ind w:firstLine="420"/>
              <w:jc w:val="both"/>
              <w:rPr>
                <w:rFonts w:eastAsia="宋体"/>
                <w:kern w:val="2"/>
                <w:sz w:val="21"/>
                <w:szCs w:val="21"/>
                <w:lang w:eastAsia="zh-CN"/>
              </w:rPr>
            </w:pPr>
            <w:r>
              <w:rPr>
                <w:rFonts w:eastAsia="宋体"/>
                <w:kern w:val="2"/>
                <w:sz w:val="21"/>
                <w:szCs w:val="21"/>
                <w:lang w:eastAsia="zh-CN"/>
              </w:rPr>
              <w:t>价格分计算方法：</w:t>
            </w:r>
          </w:p>
          <w:p w14:paraId="61AF1D24">
            <w:pPr>
              <w:ind w:left="420"/>
              <w:rPr>
                <w:rFonts w:eastAsia="宋体"/>
                <w:kern w:val="2"/>
                <w:sz w:val="21"/>
                <w:szCs w:val="21"/>
                <w:lang w:eastAsia="zh-CN"/>
              </w:rPr>
            </w:pPr>
            <w:r>
              <w:rPr>
                <w:rFonts w:eastAsia="宋体"/>
                <w:kern w:val="2"/>
                <w:sz w:val="21"/>
                <w:szCs w:val="21"/>
                <w:lang w:eastAsia="zh-CN"/>
              </w:rPr>
              <w:t xml:space="preserve">采用低价优先法计算，即满足招标文件要求且投标价格最低的投标报价为评标基准价，其价格分为满分。其他投标人的价格分统一按照下列公式计算： </w:t>
            </w:r>
          </w:p>
          <w:p w14:paraId="328D0381">
            <w:pPr>
              <w:ind w:left="420"/>
              <w:rPr>
                <w:rFonts w:eastAsia="宋体"/>
                <w:kern w:val="2"/>
                <w:sz w:val="21"/>
                <w:szCs w:val="21"/>
                <w:lang w:eastAsia="zh-CN"/>
              </w:rPr>
            </w:pPr>
            <w:r>
              <w:rPr>
                <w:rFonts w:eastAsia="宋体"/>
                <w:kern w:val="2"/>
                <w:sz w:val="21"/>
                <w:szCs w:val="21"/>
                <w:lang w:eastAsia="zh-CN"/>
              </w:rPr>
              <w:t xml:space="preserve">投标报价得分=(评标基准价／投标报价)×100 </w:t>
            </w:r>
          </w:p>
          <w:p w14:paraId="421C24F9">
            <w:pPr>
              <w:ind w:left="420"/>
              <w:rPr>
                <w:rFonts w:eastAsia="宋体"/>
                <w:kern w:val="2"/>
                <w:sz w:val="21"/>
                <w:szCs w:val="21"/>
                <w:lang w:eastAsia="zh-CN"/>
              </w:rPr>
            </w:pPr>
            <w:r>
              <w:rPr>
                <w:rFonts w:eastAsia="宋体"/>
                <w:kern w:val="2"/>
                <w:sz w:val="21"/>
                <w:szCs w:val="21"/>
                <w:lang w:eastAsia="zh-CN"/>
              </w:rPr>
              <w:t xml:space="preserve">评标总得分＝F1×A1＋F2×A2＋……＋Fn×An </w:t>
            </w:r>
          </w:p>
          <w:p w14:paraId="4E4EEAC6">
            <w:pPr>
              <w:ind w:left="420"/>
              <w:rPr>
                <w:rFonts w:eastAsia="宋体"/>
                <w:kern w:val="2"/>
                <w:sz w:val="21"/>
                <w:szCs w:val="21"/>
                <w:lang w:eastAsia="zh-CN"/>
              </w:rPr>
            </w:pPr>
            <w:r>
              <w:rPr>
                <w:rFonts w:eastAsia="宋体"/>
                <w:kern w:val="2"/>
                <w:sz w:val="21"/>
                <w:szCs w:val="21"/>
                <w:lang w:eastAsia="zh-CN"/>
              </w:rPr>
              <w:t xml:space="preserve">F1、F2……Fn分别为各项评审因素的得分； </w:t>
            </w:r>
          </w:p>
          <w:p w14:paraId="636A3075">
            <w:pPr>
              <w:ind w:left="420"/>
              <w:rPr>
                <w:rFonts w:eastAsia="宋体"/>
                <w:kern w:val="2"/>
                <w:sz w:val="21"/>
                <w:szCs w:val="21"/>
                <w:lang w:eastAsia="zh-CN"/>
              </w:rPr>
            </w:pPr>
            <w:r>
              <w:rPr>
                <w:rFonts w:eastAsia="宋体"/>
                <w:kern w:val="2"/>
                <w:sz w:val="21"/>
                <w:szCs w:val="21"/>
                <w:lang w:eastAsia="zh-CN"/>
              </w:rPr>
              <w:t xml:space="preserve">A1、A2、……An 分别为各项评审因素所占的权重(A1＋A2＋……＋An＝1)。 </w:t>
            </w:r>
          </w:p>
          <w:p w14:paraId="3CEFD749">
            <w:pPr>
              <w:ind w:left="420"/>
              <w:rPr>
                <w:rFonts w:eastAsia="宋体"/>
                <w:kern w:val="2"/>
                <w:sz w:val="21"/>
                <w:szCs w:val="21"/>
                <w:lang w:eastAsia="zh-CN"/>
              </w:rPr>
            </w:pPr>
            <w:r>
              <w:rPr>
                <w:rFonts w:eastAsia="宋体"/>
                <w:kern w:val="2"/>
                <w:sz w:val="21"/>
                <w:szCs w:val="21"/>
                <w:lang w:eastAsia="zh-CN"/>
              </w:rPr>
              <w:t>评标过程中，不得去掉报价中的最高报价和最低报价。</w:t>
            </w:r>
          </w:p>
          <w:p w14:paraId="1CBB5F43">
            <w:pPr>
              <w:ind w:left="420"/>
              <w:rPr>
                <w:rFonts w:eastAsia="宋体"/>
                <w:kern w:val="2"/>
                <w:sz w:val="21"/>
                <w:szCs w:val="21"/>
                <w:lang w:eastAsia="zh-CN"/>
              </w:rPr>
            </w:pPr>
            <w:r>
              <w:rPr>
                <w:rFonts w:hint="eastAsia" w:eastAsia="宋体"/>
                <w:kern w:val="2"/>
                <w:sz w:val="21"/>
                <w:szCs w:val="21"/>
                <w:lang w:eastAsia="zh-CN"/>
              </w:rPr>
              <w:t>因落实政府采购政策进行价格调整的，以调整后的价格计算评标基准价和响应报价。</w:t>
            </w:r>
          </w:p>
          <w:p w14:paraId="188649C6">
            <w:pPr>
              <w:ind w:left="420"/>
              <w:rPr>
                <w:rFonts w:hint="default" w:eastAsia="宋体"/>
                <w:b/>
                <w:kern w:val="2"/>
                <w:sz w:val="21"/>
                <w:szCs w:val="21"/>
                <w:lang w:val="en-US" w:eastAsia="zh-CN"/>
              </w:rPr>
            </w:pPr>
            <w:r>
              <w:rPr>
                <w:rFonts w:eastAsia="宋体"/>
                <w:b/>
                <w:kern w:val="2"/>
                <w:sz w:val="21"/>
                <w:szCs w:val="21"/>
                <w:lang w:eastAsia="zh-CN"/>
              </w:rPr>
              <w:t>评标总得分</w:t>
            </w:r>
            <w:r>
              <w:rPr>
                <w:rFonts w:hint="eastAsia" w:eastAsia="宋体"/>
                <w:b/>
                <w:kern w:val="2"/>
                <w:sz w:val="21"/>
                <w:szCs w:val="21"/>
                <w:lang w:eastAsia="zh-CN"/>
              </w:rPr>
              <w:t>（100分）</w:t>
            </w:r>
            <w:r>
              <w:rPr>
                <w:rFonts w:eastAsia="宋体"/>
                <w:b/>
                <w:kern w:val="2"/>
                <w:sz w:val="21"/>
                <w:szCs w:val="21"/>
                <w:lang w:eastAsia="zh-CN"/>
              </w:rPr>
              <w:t>＝价格分＋</w:t>
            </w:r>
            <w:r>
              <w:rPr>
                <w:rFonts w:hint="eastAsia" w:eastAsia="宋体"/>
                <w:b/>
                <w:kern w:val="2"/>
                <w:sz w:val="21"/>
                <w:szCs w:val="21"/>
                <w:lang w:eastAsia="zh-CN"/>
              </w:rPr>
              <w:t>技术分</w:t>
            </w:r>
            <w:r>
              <w:rPr>
                <w:rFonts w:hint="eastAsia" w:eastAsia="宋体"/>
                <w:b/>
                <w:kern w:val="2"/>
                <w:sz w:val="21"/>
                <w:szCs w:val="21"/>
                <w:lang w:val="en-US" w:eastAsia="zh-CN"/>
              </w:rPr>
              <w:t>+诚信情况</w:t>
            </w:r>
          </w:p>
        </w:tc>
      </w:tr>
    </w:tbl>
    <w:p w14:paraId="0BC2D7E0">
      <w:pPr>
        <w:widowControl w:val="0"/>
        <w:spacing w:after="120"/>
        <w:jc w:val="both"/>
        <w:rPr>
          <w:rFonts w:eastAsia="宋体"/>
          <w:kern w:val="2"/>
          <w:sz w:val="21"/>
          <w:lang w:eastAsia="zh-CN"/>
        </w:rPr>
      </w:pPr>
    </w:p>
    <w:tbl>
      <w:tblPr>
        <w:tblStyle w:val="14"/>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74"/>
        <w:gridCol w:w="499"/>
        <w:gridCol w:w="2650"/>
        <w:gridCol w:w="714"/>
        <w:gridCol w:w="4319"/>
      </w:tblGrid>
      <w:tr w14:paraId="13F835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tcBorders>
              <w:top w:val="single" w:color="000000" w:sz="8" w:space="0"/>
              <w:left w:val="single" w:color="000000" w:sz="8" w:space="0"/>
              <w:bottom w:val="single" w:color="000000" w:sz="8" w:space="0"/>
              <w:right w:val="single" w:color="000000" w:sz="8" w:space="0"/>
            </w:tcBorders>
            <w:shd w:val="clear" w:color="auto" w:fill="DBEEF3"/>
            <w:vAlign w:val="center"/>
          </w:tcPr>
          <w:p w14:paraId="024D90D2">
            <w:pPr>
              <w:widowControl w:val="0"/>
              <w:wordWrap w:val="0"/>
              <w:jc w:val="center"/>
              <w:rPr>
                <w:rFonts w:ascii="宋体" w:hAnsi="宋体" w:eastAsia="宋体" w:cs="宋体"/>
                <w:b/>
                <w:bCs/>
                <w:kern w:val="2"/>
                <w:lang w:eastAsia="zh-CN"/>
              </w:rPr>
            </w:pPr>
            <w:r>
              <w:rPr>
                <w:rFonts w:hint="eastAsia" w:eastAsia="宋体"/>
                <w:b/>
                <w:bCs/>
                <w:kern w:val="2"/>
                <w:sz w:val="21"/>
                <w:lang w:eastAsia="zh-CN"/>
              </w:rPr>
              <w:t>序号</w:t>
            </w:r>
          </w:p>
        </w:tc>
        <w:tc>
          <w:tcPr>
            <w:tcW w:w="3857" w:type="dxa"/>
            <w:gridSpan w:val="3"/>
            <w:tcBorders>
              <w:top w:val="single" w:color="000000" w:sz="8" w:space="0"/>
              <w:left w:val="single" w:color="000000" w:sz="8" w:space="0"/>
              <w:bottom w:val="single" w:color="000000" w:sz="8" w:space="0"/>
              <w:right w:val="single" w:color="000000" w:sz="8" w:space="0"/>
            </w:tcBorders>
            <w:shd w:val="clear" w:color="auto" w:fill="DBEEF3"/>
            <w:vAlign w:val="center"/>
          </w:tcPr>
          <w:p w14:paraId="6C66EF98">
            <w:pPr>
              <w:widowControl w:val="0"/>
              <w:wordWrap w:val="0"/>
              <w:jc w:val="center"/>
              <w:rPr>
                <w:rFonts w:ascii="宋体" w:hAnsi="宋体" w:eastAsia="宋体" w:cs="宋体"/>
                <w:b/>
                <w:bCs/>
                <w:kern w:val="2"/>
                <w:lang w:eastAsia="zh-CN"/>
              </w:rPr>
            </w:pPr>
            <w:r>
              <w:rPr>
                <w:rFonts w:hint="eastAsia" w:eastAsia="宋体"/>
                <w:b/>
                <w:bCs/>
                <w:kern w:val="2"/>
                <w:sz w:val="21"/>
                <w:lang w:eastAsia="zh-CN"/>
              </w:rPr>
              <w:t>评分项</w:t>
            </w:r>
          </w:p>
        </w:tc>
        <w:tc>
          <w:tcPr>
            <w:tcW w:w="4330" w:type="dxa"/>
            <w:tcBorders>
              <w:top w:val="single" w:color="000000" w:sz="8" w:space="0"/>
              <w:left w:val="single" w:color="000000" w:sz="8" w:space="0"/>
              <w:bottom w:val="single" w:color="000000" w:sz="8" w:space="0"/>
              <w:right w:val="single" w:color="000000" w:sz="8" w:space="0"/>
            </w:tcBorders>
            <w:shd w:val="clear" w:color="auto" w:fill="DBEEF3"/>
            <w:vAlign w:val="center"/>
          </w:tcPr>
          <w:p w14:paraId="4673F194">
            <w:pPr>
              <w:widowControl w:val="0"/>
              <w:wordWrap w:val="0"/>
              <w:jc w:val="center"/>
              <w:rPr>
                <w:rFonts w:ascii="宋体" w:hAnsi="宋体" w:eastAsia="宋体" w:cs="宋体"/>
                <w:b/>
                <w:bCs/>
                <w:kern w:val="2"/>
                <w:lang w:eastAsia="zh-CN"/>
              </w:rPr>
            </w:pPr>
            <w:r>
              <w:rPr>
                <w:rFonts w:hint="eastAsia" w:eastAsia="宋体"/>
                <w:b/>
                <w:bCs/>
                <w:kern w:val="2"/>
                <w:sz w:val="21"/>
                <w:lang w:eastAsia="zh-CN"/>
              </w:rPr>
              <w:t>权重</w:t>
            </w:r>
          </w:p>
        </w:tc>
      </w:tr>
      <w:tr w14:paraId="5E7937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tcBorders>
              <w:top w:val="single" w:color="000000" w:sz="8" w:space="0"/>
              <w:left w:val="single" w:color="000000" w:sz="8" w:space="0"/>
              <w:bottom w:val="single" w:color="000000" w:sz="8" w:space="0"/>
              <w:right w:val="single" w:color="000000" w:sz="8" w:space="0"/>
            </w:tcBorders>
          </w:tcPr>
          <w:p w14:paraId="0CB837FE">
            <w:pPr>
              <w:widowControl w:val="0"/>
              <w:wordWrap w:val="0"/>
              <w:jc w:val="center"/>
              <w:rPr>
                <w:rFonts w:ascii="宋体" w:hAnsi="宋体" w:eastAsia="宋体" w:cs="宋体"/>
                <w:b/>
                <w:bCs/>
                <w:color w:val="0000FF"/>
                <w:kern w:val="2"/>
                <w:lang w:eastAsia="zh-CN"/>
              </w:rPr>
            </w:pPr>
            <w:r>
              <w:rPr>
                <w:rFonts w:eastAsia="宋体"/>
                <w:b/>
                <w:bCs/>
                <w:color w:val="0000FF"/>
                <w:kern w:val="2"/>
                <w:sz w:val="21"/>
                <w:lang w:eastAsia="zh-CN"/>
              </w:rPr>
              <w:t>1</w:t>
            </w:r>
          </w:p>
        </w:tc>
        <w:tc>
          <w:tcPr>
            <w:tcW w:w="3857" w:type="dxa"/>
            <w:gridSpan w:val="3"/>
            <w:tcBorders>
              <w:top w:val="single" w:color="000000" w:sz="8" w:space="0"/>
              <w:left w:val="single" w:color="000000" w:sz="8" w:space="0"/>
              <w:bottom w:val="single" w:color="000000" w:sz="8" w:space="0"/>
              <w:right w:val="single" w:color="000000" w:sz="8" w:space="0"/>
            </w:tcBorders>
          </w:tcPr>
          <w:p w14:paraId="11760231">
            <w:pPr>
              <w:widowControl w:val="0"/>
              <w:wordWrap w:val="0"/>
              <w:jc w:val="center"/>
              <w:rPr>
                <w:rFonts w:ascii="宋体" w:hAnsi="宋体" w:eastAsia="宋体" w:cs="宋体"/>
                <w:b/>
                <w:bCs/>
                <w:color w:val="0000FF"/>
                <w:kern w:val="2"/>
                <w:lang w:eastAsia="zh-CN"/>
              </w:rPr>
            </w:pPr>
            <w:r>
              <w:rPr>
                <w:rFonts w:hint="eastAsia" w:eastAsia="宋体"/>
                <w:b/>
                <w:bCs/>
                <w:color w:val="0000FF"/>
                <w:kern w:val="2"/>
                <w:sz w:val="21"/>
                <w:lang w:eastAsia="zh-CN"/>
              </w:rPr>
              <w:t>价格</w:t>
            </w:r>
          </w:p>
        </w:tc>
        <w:tc>
          <w:tcPr>
            <w:tcW w:w="4330" w:type="dxa"/>
            <w:tcBorders>
              <w:top w:val="single" w:color="000000" w:sz="8" w:space="0"/>
              <w:left w:val="single" w:color="000000" w:sz="8" w:space="0"/>
              <w:bottom w:val="single" w:color="000000" w:sz="8" w:space="0"/>
              <w:right w:val="single" w:color="000000" w:sz="8" w:space="0"/>
            </w:tcBorders>
          </w:tcPr>
          <w:p w14:paraId="325D9D86">
            <w:pPr>
              <w:widowControl w:val="0"/>
              <w:wordWrap w:val="0"/>
              <w:jc w:val="center"/>
              <w:rPr>
                <w:rFonts w:ascii="宋体" w:hAnsi="宋体" w:eastAsia="宋体" w:cs="宋体"/>
                <w:b/>
                <w:bCs/>
                <w:color w:val="0000FF"/>
                <w:kern w:val="2"/>
                <w:lang w:eastAsia="zh-CN"/>
              </w:rPr>
            </w:pPr>
            <w:r>
              <w:rPr>
                <w:rFonts w:hint="eastAsia" w:eastAsia="宋体"/>
                <w:b/>
                <w:bCs/>
                <w:color w:val="0000FF"/>
                <w:kern w:val="2"/>
                <w:sz w:val="21"/>
                <w:lang w:eastAsia="zh-CN"/>
              </w:rPr>
              <w:t>1</w:t>
            </w:r>
            <w:r>
              <w:rPr>
                <w:rFonts w:eastAsia="宋体"/>
                <w:b/>
                <w:bCs/>
                <w:color w:val="0000FF"/>
                <w:kern w:val="2"/>
                <w:sz w:val="21"/>
                <w:lang w:eastAsia="zh-CN"/>
              </w:rPr>
              <w:t>0</w:t>
            </w:r>
          </w:p>
        </w:tc>
      </w:tr>
      <w:tr w14:paraId="3C2CC7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restart"/>
            <w:tcBorders>
              <w:top w:val="single" w:color="000000" w:sz="8" w:space="0"/>
              <w:left w:val="single" w:color="000000" w:sz="8" w:space="0"/>
              <w:bottom w:val="single" w:color="000000" w:sz="8" w:space="0"/>
              <w:right w:val="single" w:color="000000" w:sz="8" w:space="0"/>
            </w:tcBorders>
          </w:tcPr>
          <w:p w14:paraId="345FA7B6">
            <w:pPr>
              <w:widowControl w:val="0"/>
              <w:wordWrap w:val="0"/>
              <w:jc w:val="center"/>
              <w:rPr>
                <w:rFonts w:ascii="宋体" w:hAnsi="宋体" w:eastAsia="宋体" w:cs="宋体"/>
                <w:b/>
                <w:bCs/>
                <w:color w:val="0000FF"/>
                <w:kern w:val="2"/>
                <w:lang w:eastAsia="zh-CN"/>
              </w:rPr>
            </w:pPr>
            <w:r>
              <w:rPr>
                <w:rFonts w:eastAsia="宋体"/>
                <w:b/>
                <w:bCs/>
                <w:color w:val="0000FF"/>
                <w:kern w:val="2"/>
                <w:sz w:val="21"/>
                <w:lang w:eastAsia="zh-CN"/>
              </w:rPr>
              <w:t>2</w:t>
            </w:r>
          </w:p>
        </w:tc>
        <w:tc>
          <w:tcPr>
            <w:tcW w:w="3857" w:type="dxa"/>
            <w:gridSpan w:val="3"/>
            <w:tcBorders>
              <w:top w:val="single" w:color="000000" w:sz="8" w:space="0"/>
              <w:left w:val="single" w:color="000000" w:sz="8" w:space="0"/>
              <w:bottom w:val="single" w:color="000000" w:sz="8" w:space="0"/>
              <w:right w:val="single" w:color="000000" w:sz="8" w:space="0"/>
            </w:tcBorders>
          </w:tcPr>
          <w:p w14:paraId="32B859E2">
            <w:pPr>
              <w:widowControl w:val="0"/>
              <w:wordWrap w:val="0"/>
              <w:jc w:val="center"/>
              <w:rPr>
                <w:rFonts w:eastAsia="宋体"/>
                <w:b/>
                <w:bCs/>
                <w:color w:val="0000FF"/>
                <w:kern w:val="2"/>
                <w:sz w:val="21"/>
                <w:lang w:eastAsia="zh-CN"/>
              </w:rPr>
            </w:pPr>
            <w:r>
              <w:rPr>
                <w:rFonts w:hint="eastAsia" w:eastAsia="宋体"/>
                <w:b/>
                <w:bCs/>
                <w:color w:val="0000FF"/>
                <w:kern w:val="2"/>
                <w:sz w:val="21"/>
                <w:lang w:eastAsia="zh-CN"/>
              </w:rPr>
              <w:t>技术服务部分</w:t>
            </w:r>
          </w:p>
        </w:tc>
        <w:tc>
          <w:tcPr>
            <w:tcW w:w="4330" w:type="dxa"/>
            <w:tcBorders>
              <w:top w:val="single" w:color="000000" w:sz="8" w:space="0"/>
              <w:left w:val="single" w:color="000000" w:sz="8" w:space="0"/>
              <w:bottom w:val="single" w:color="000000" w:sz="8" w:space="0"/>
              <w:right w:val="single" w:color="000000" w:sz="8" w:space="0"/>
            </w:tcBorders>
          </w:tcPr>
          <w:p w14:paraId="33CD124B">
            <w:pPr>
              <w:jc w:val="center"/>
              <w:rPr>
                <w:rFonts w:eastAsia="宋体"/>
                <w:b/>
                <w:bCs/>
                <w:color w:val="0000FF"/>
                <w:kern w:val="2"/>
                <w:sz w:val="21"/>
                <w:lang w:eastAsia="zh-CN"/>
              </w:rPr>
            </w:pPr>
            <w:r>
              <w:rPr>
                <w:rFonts w:hint="eastAsia" w:eastAsia="宋体"/>
                <w:b/>
                <w:bCs/>
                <w:color w:val="0000FF"/>
                <w:kern w:val="2"/>
                <w:sz w:val="21"/>
                <w:lang w:eastAsia="zh-CN"/>
              </w:rPr>
              <w:t>85</w:t>
            </w:r>
          </w:p>
        </w:tc>
      </w:tr>
      <w:tr w14:paraId="08F035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continue"/>
            <w:tcBorders>
              <w:top w:val="single" w:color="000000" w:sz="8" w:space="0"/>
              <w:left w:val="single" w:color="000000" w:sz="8" w:space="0"/>
              <w:bottom w:val="single" w:color="000000" w:sz="8" w:space="0"/>
              <w:right w:val="single" w:color="000000" w:sz="8" w:space="0"/>
            </w:tcBorders>
            <w:vAlign w:val="center"/>
          </w:tcPr>
          <w:p w14:paraId="6E6EECAF">
            <w:pPr>
              <w:rPr>
                <w:rFonts w:ascii="宋体" w:hAnsi="宋体" w:eastAsia="宋体" w:cs="宋体"/>
                <w:b/>
                <w:bCs/>
                <w:color w:val="0000FF"/>
                <w:kern w:val="2"/>
                <w:lang w:eastAsia="zh-CN"/>
              </w:rPr>
            </w:pPr>
          </w:p>
        </w:tc>
        <w:tc>
          <w:tcPr>
            <w:tcW w:w="494" w:type="dxa"/>
            <w:tcBorders>
              <w:top w:val="outset" w:color="000000" w:sz="6" w:space="0"/>
              <w:left w:val="outset" w:color="000000" w:sz="6" w:space="0"/>
              <w:bottom w:val="outset" w:color="000000" w:sz="6" w:space="0"/>
              <w:right w:val="outset" w:color="000000" w:sz="6" w:space="0"/>
            </w:tcBorders>
            <w:shd w:val="clear" w:color="auto" w:fill="DBEEF3"/>
            <w:vAlign w:val="center"/>
          </w:tcPr>
          <w:p w14:paraId="00BC80FD">
            <w:pPr>
              <w:widowControl w:val="0"/>
              <w:wordWrap w:val="0"/>
              <w:jc w:val="center"/>
              <w:rPr>
                <w:rFonts w:ascii="宋体" w:hAnsi="宋体" w:eastAsia="宋体" w:cs="宋体"/>
                <w:kern w:val="2"/>
                <w:sz w:val="21"/>
                <w:szCs w:val="21"/>
                <w:lang w:eastAsia="zh-CN"/>
              </w:rPr>
            </w:pPr>
            <w:r>
              <w:rPr>
                <w:rFonts w:hint="eastAsia" w:eastAsia="宋体"/>
                <w:kern w:val="2"/>
                <w:sz w:val="21"/>
                <w:szCs w:val="21"/>
                <w:lang w:eastAsia="zh-CN"/>
              </w:rPr>
              <w:t>序号</w:t>
            </w:r>
          </w:p>
        </w:tc>
        <w:tc>
          <w:tcPr>
            <w:tcW w:w="2653" w:type="dxa"/>
            <w:tcBorders>
              <w:top w:val="outset" w:color="000000" w:sz="6" w:space="0"/>
              <w:left w:val="outset" w:color="000000" w:sz="6" w:space="0"/>
              <w:bottom w:val="outset" w:color="000000" w:sz="6" w:space="0"/>
              <w:right w:val="outset" w:color="000000" w:sz="6" w:space="0"/>
            </w:tcBorders>
            <w:shd w:val="clear" w:color="auto" w:fill="DBEEF3"/>
            <w:vAlign w:val="center"/>
          </w:tcPr>
          <w:p w14:paraId="04142F04">
            <w:pPr>
              <w:widowControl w:val="0"/>
              <w:wordWrap w:val="0"/>
              <w:jc w:val="center"/>
              <w:rPr>
                <w:rFonts w:ascii="宋体" w:hAnsi="宋体" w:eastAsia="宋体" w:cs="宋体"/>
                <w:kern w:val="2"/>
                <w:sz w:val="21"/>
                <w:szCs w:val="21"/>
                <w:lang w:eastAsia="zh-CN"/>
              </w:rPr>
            </w:pPr>
            <w:r>
              <w:rPr>
                <w:rFonts w:hint="eastAsia" w:eastAsia="宋体"/>
                <w:kern w:val="2"/>
                <w:sz w:val="21"/>
                <w:szCs w:val="21"/>
                <w:lang w:eastAsia="zh-CN"/>
              </w:rPr>
              <w:t>评分因素</w:t>
            </w:r>
          </w:p>
        </w:tc>
        <w:tc>
          <w:tcPr>
            <w:tcW w:w="710" w:type="dxa"/>
            <w:tcBorders>
              <w:top w:val="outset" w:color="000000" w:sz="6" w:space="0"/>
              <w:left w:val="outset" w:color="000000" w:sz="6" w:space="0"/>
              <w:bottom w:val="outset" w:color="000000" w:sz="6" w:space="0"/>
              <w:right w:val="outset" w:color="000000" w:sz="6" w:space="0"/>
            </w:tcBorders>
            <w:shd w:val="clear" w:color="auto" w:fill="DBEEF3"/>
            <w:vAlign w:val="center"/>
          </w:tcPr>
          <w:p w14:paraId="5ABDE8FA">
            <w:pPr>
              <w:widowControl w:val="0"/>
              <w:wordWrap w:val="0"/>
              <w:jc w:val="center"/>
              <w:rPr>
                <w:rFonts w:ascii="宋体" w:hAnsi="宋体" w:eastAsia="宋体" w:cs="宋体"/>
                <w:kern w:val="2"/>
                <w:sz w:val="21"/>
                <w:szCs w:val="21"/>
                <w:lang w:eastAsia="zh-CN"/>
              </w:rPr>
            </w:pPr>
            <w:r>
              <w:rPr>
                <w:rFonts w:hint="eastAsia" w:eastAsia="宋体"/>
                <w:kern w:val="2"/>
                <w:sz w:val="21"/>
                <w:szCs w:val="21"/>
                <w:lang w:eastAsia="zh-CN"/>
              </w:rPr>
              <w:t>权重</w:t>
            </w:r>
          </w:p>
        </w:tc>
        <w:tc>
          <w:tcPr>
            <w:tcW w:w="4330" w:type="dxa"/>
            <w:tcBorders>
              <w:top w:val="outset" w:color="000000" w:sz="6" w:space="0"/>
              <w:left w:val="outset" w:color="000000" w:sz="6" w:space="0"/>
              <w:bottom w:val="outset" w:color="000000" w:sz="6" w:space="0"/>
              <w:right w:val="outset" w:color="000000" w:sz="6" w:space="0"/>
            </w:tcBorders>
            <w:shd w:val="clear" w:color="auto" w:fill="DBEEF3"/>
            <w:vAlign w:val="center"/>
          </w:tcPr>
          <w:p w14:paraId="086F19B3">
            <w:pPr>
              <w:widowControl w:val="0"/>
              <w:wordWrap w:val="0"/>
              <w:jc w:val="center"/>
              <w:rPr>
                <w:rFonts w:ascii="宋体" w:hAnsi="宋体" w:eastAsia="宋体" w:cs="宋体"/>
                <w:kern w:val="2"/>
                <w:sz w:val="21"/>
                <w:szCs w:val="21"/>
                <w:lang w:eastAsia="zh-CN"/>
              </w:rPr>
            </w:pPr>
            <w:r>
              <w:rPr>
                <w:rFonts w:hint="eastAsia" w:eastAsia="宋体"/>
                <w:kern w:val="2"/>
                <w:sz w:val="21"/>
                <w:szCs w:val="21"/>
                <w:lang w:eastAsia="zh-CN"/>
              </w:rPr>
              <w:t>评分准则</w:t>
            </w:r>
          </w:p>
        </w:tc>
      </w:tr>
      <w:tr w14:paraId="797C76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continue"/>
            <w:tcBorders>
              <w:top w:val="single" w:color="000000" w:sz="8" w:space="0"/>
              <w:left w:val="single" w:color="000000" w:sz="8" w:space="0"/>
              <w:bottom w:val="single" w:color="000000" w:sz="8" w:space="0"/>
              <w:right w:val="single" w:color="000000" w:sz="8" w:space="0"/>
            </w:tcBorders>
            <w:vAlign w:val="center"/>
          </w:tcPr>
          <w:p w14:paraId="4F2A8EC6">
            <w:pPr>
              <w:rPr>
                <w:rFonts w:ascii="宋体" w:hAnsi="宋体" w:eastAsia="宋体" w:cs="宋体"/>
                <w:b/>
                <w:bCs/>
                <w:color w:val="0000FF"/>
                <w:kern w:val="2"/>
                <w:lang w:eastAsia="zh-CN"/>
              </w:rPr>
            </w:pPr>
          </w:p>
        </w:tc>
        <w:tc>
          <w:tcPr>
            <w:tcW w:w="494" w:type="dxa"/>
            <w:tcBorders>
              <w:top w:val="single" w:color="000000" w:sz="8" w:space="0"/>
              <w:left w:val="single" w:color="000000" w:sz="8" w:space="0"/>
              <w:bottom w:val="single" w:color="000000" w:sz="8" w:space="0"/>
              <w:right w:val="single" w:color="000000" w:sz="8" w:space="0"/>
            </w:tcBorders>
          </w:tcPr>
          <w:p w14:paraId="3BF78531">
            <w:pPr>
              <w:widowControl w:val="0"/>
              <w:wordWrap w:val="0"/>
              <w:jc w:val="center"/>
              <w:rPr>
                <w:rFonts w:ascii="宋体" w:hAnsi="宋体" w:eastAsia="宋体" w:cs="宋体"/>
                <w:kern w:val="2"/>
                <w:sz w:val="21"/>
                <w:szCs w:val="21"/>
                <w:lang w:eastAsia="zh-CN"/>
              </w:rPr>
            </w:pPr>
            <w:r>
              <w:rPr>
                <w:rFonts w:eastAsia="宋体"/>
                <w:kern w:val="2"/>
                <w:sz w:val="21"/>
                <w:szCs w:val="21"/>
                <w:lang w:eastAsia="zh-CN"/>
              </w:rPr>
              <w:t>1</w:t>
            </w:r>
          </w:p>
        </w:tc>
        <w:tc>
          <w:tcPr>
            <w:tcW w:w="2653" w:type="dxa"/>
            <w:tcBorders>
              <w:top w:val="single" w:color="000000" w:sz="8" w:space="0"/>
              <w:left w:val="single" w:color="000000" w:sz="8" w:space="0"/>
              <w:bottom w:val="single" w:color="000000" w:sz="8" w:space="0"/>
              <w:right w:val="single" w:color="000000" w:sz="8" w:space="0"/>
            </w:tcBorders>
            <w:vAlign w:val="center"/>
          </w:tcPr>
          <w:p w14:paraId="1EC267EE">
            <w:pPr>
              <w:wordWrap w:val="0"/>
              <w:rPr>
                <w:rFonts w:ascii="宋体" w:hAnsi="宋体" w:eastAsia="宋体" w:cs="宋体"/>
                <w:kern w:val="2"/>
                <w:sz w:val="21"/>
                <w:szCs w:val="21"/>
                <w:lang w:eastAsia="zh-CN"/>
              </w:rPr>
            </w:pPr>
            <w:r>
              <w:rPr>
                <w:rFonts w:hint="eastAsia" w:ascii="宋体" w:hAnsi="宋体" w:eastAsia="宋体"/>
                <w:kern w:val="2"/>
                <w:sz w:val="21"/>
                <w:szCs w:val="21"/>
                <w:lang w:eastAsia="zh-CN"/>
              </w:rPr>
              <w:t>同类项目业绩情况</w:t>
            </w:r>
          </w:p>
        </w:tc>
        <w:tc>
          <w:tcPr>
            <w:tcW w:w="710" w:type="dxa"/>
            <w:tcBorders>
              <w:top w:val="single" w:color="000000" w:sz="8" w:space="0"/>
              <w:left w:val="single" w:color="000000" w:sz="8" w:space="0"/>
              <w:bottom w:val="single" w:color="000000" w:sz="8" w:space="0"/>
              <w:right w:val="single" w:color="000000" w:sz="8" w:space="0"/>
            </w:tcBorders>
          </w:tcPr>
          <w:p w14:paraId="367E34F0">
            <w:pPr>
              <w:rPr>
                <w:rFonts w:ascii="宋体" w:hAnsi="宋体" w:eastAsia="宋体" w:cs="宋体"/>
                <w:kern w:val="2"/>
                <w:sz w:val="21"/>
                <w:szCs w:val="21"/>
                <w:lang w:eastAsia="zh-CN"/>
              </w:rPr>
            </w:pPr>
            <w:r>
              <w:rPr>
                <w:rFonts w:hint="eastAsia" w:ascii="宋体" w:hAnsi="宋体" w:eastAsia="宋体" w:cs="宋体"/>
                <w:kern w:val="2"/>
                <w:sz w:val="21"/>
                <w:szCs w:val="21"/>
                <w:lang w:eastAsia="zh-CN"/>
              </w:rPr>
              <w:t>20</w:t>
            </w:r>
          </w:p>
        </w:tc>
        <w:tc>
          <w:tcPr>
            <w:tcW w:w="4330" w:type="dxa"/>
            <w:tcBorders>
              <w:top w:val="single" w:color="000000" w:sz="8" w:space="0"/>
              <w:left w:val="single" w:color="000000" w:sz="8" w:space="0"/>
              <w:bottom w:val="single" w:color="000000" w:sz="8" w:space="0"/>
              <w:right w:val="single" w:color="000000" w:sz="8" w:space="0"/>
            </w:tcBorders>
          </w:tcPr>
          <w:p w14:paraId="5DEA6A8C">
            <w:pPr>
              <w:widowControl w:val="0"/>
              <w:jc w:val="both"/>
              <w:rPr>
                <w:rFonts w:eastAsia="宋体"/>
                <w:b/>
                <w:kern w:val="2"/>
                <w:sz w:val="21"/>
                <w:lang w:eastAsia="zh-CN"/>
              </w:rPr>
            </w:pPr>
            <w:r>
              <w:rPr>
                <w:rFonts w:hint="eastAsia" w:eastAsia="宋体"/>
                <w:b/>
                <w:kern w:val="2"/>
                <w:sz w:val="21"/>
                <w:lang w:eastAsia="zh-CN"/>
              </w:rPr>
              <w:t>（一）评分内容：</w:t>
            </w:r>
          </w:p>
          <w:p w14:paraId="060A9A2C">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投标人自2022年1月1日至投标截止之日（以合同签订日期为准），承担过副省级或以上城市（含下属行政区级单位，不含下属街道办事处）的行政部门或事业单位委托的城市或政务宣传片制作服务，每提供1个业绩得10分，最高得100分。</w:t>
            </w:r>
          </w:p>
          <w:p w14:paraId="75079FEB">
            <w:pPr>
              <w:widowControl w:val="0"/>
              <w:jc w:val="both"/>
              <w:rPr>
                <w:rFonts w:eastAsia="宋体"/>
                <w:b/>
                <w:kern w:val="2"/>
                <w:sz w:val="21"/>
                <w:lang w:eastAsia="zh-CN"/>
              </w:rPr>
            </w:pPr>
            <w:r>
              <w:rPr>
                <w:rFonts w:hint="eastAsia" w:eastAsia="宋体"/>
                <w:b/>
                <w:kern w:val="2"/>
                <w:sz w:val="21"/>
                <w:lang w:eastAsia="zh-CN"/>
              </w:rPr>
              <w:t>（二）评分依据：</w:t>
            </w:r>
          </w:p>
          <w:p w14:paraId="2FE648F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1.要求提供合同关键信息（包括但不限于合同标的、签订时间、双方签章页）作为得分依据，通过合同关键信息无法判断是否得分的，还须同时提供能证明得分的其它证明资料，如合同甲方出具的证明文件或项目报告。</w:t>
            </w:r>
          </w:p>
          <w:p w14:paraId="4D62070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2.提供甲方为行政部门或事业单位的相关证明材料。</w:t>
            </w:r>
          </w:p>
          <w:p w14:paraId="5E2E8494">
            <w:pPr>
              <w:widowControl w:val="0"/>
              <w:rPr>
                <w:rFonts w:ascii="宋体" w:hAnsi="宋体" w:eastAsia="宋体" w:cs="宋体"/>
                <w:kern w:val="2"/>
                <w:sz w:val="21"/>
                <w:szCs w:val="21"/>
                <w:lang w:eastAsia="zh-CN"/>
              </w:rPr>
            </w:pPr>
            <w:r>
              <w:rPr>
                <w:rFonts w:hint="eastAsia" w:ascii="宋体" w:hAnsi="宋体" w:eastAsia="宋体"/>
                <w:kern w:val="2"/>
                <w:sz w:val="21"/>
                <w:szCs w:val="21"/>
                <w:lang w:eastAsia="zh-CN"/>
              </w:rPr>
              <w:t>备注：以上资料均要求提供扫描件，评分中出现无证明资料或证书过期或专家无法凭所提供资料判断是否得分的情况，一律作不得分处理。</w:t>
            </w:r>
          </w:p>
        </w:tc>
      </w:tr>
      <w:tr w14:paraId="6E35F8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continue"/>
            <w:tcBorders>
              <w:top w:val="single" w:color="000000" w:sz="8" w:space="0"/>
              <w:left w:val="single" w:color="000000" w:sz="8" w:space="0"/>
              <w:bottom w:val="single" w:color="000000" w:sz="8" w:space="0"/>
              <w:right w:val="single" w:color="000000" w:sz="8" w:space="0"/>
            </w:tcBorders>
            <w:vAlign w:val="center"/>
          </w:tcPr>
          <w:p w14:paraId="3604578D">
            <w:pPr>
              <w:rPr>
                <w:rFonts w:ascii="宋体" w:hAnsi="宋体" w:eastAsia="宋体" w:cs="宋体"/>
                <w:b/>
                <w:bCs/>
                <w:color w:val="0000FF"/>
                <w:kern w:val="2"/>
                <w:lang w:eastAsia="zh-CN"/>
              </w:rPr>
            </w:pPr>
          </w:p>
        </w:tc>
        <w:tc>
          <w:tcPr>
            <w:tcW w:w="494" w:type="dxa"/>
            <w:tcBorders>
              <w:top w:val="single" w:color="000000" w:sz="8" w:space="0"/>
              <w:left w:val="single" w:color="000000" w:sz="8" w:space="0"/>
              <w:bottom w:val="single" w:color="000000" w:sz="8" w:space="0"/>
              <w:right w:val="single" w:color="000000" w:sz="8" w:space="0"/>
            </w:tcBorders>
          </w:tcPr>
          <w:p w14:paraId="71E17B7A">
            <w:pPr>
              <w:widowControl w:val="0"/>
              <w:wordWrap w:val="0"/>
              <w:jc w:val="center"/>
              <w:rPr>
                <w:rFonts w:ascii="宋体" w:hAnsi="宋体" w:eastAsia="宋体" w:cs="宋体"/>
                <w:kern w:val="2"/>
                <w:sz w:val="21"/>
                <w:szCs w:val="21"/>
                <w:lang w:eastAsia="zh-CN"/>
              </w:rPr>
            </w:pPr>
            <w:r>
              <w:rPr>
                <w:rFonts w:eastAsia="宋体"/>
                <w:kern w:val="2"/>
                <w:sz w:val="21"/>
                <w:szCs w:val="21"/>
                <w:lang w:eastAsia="zh-CN"/>
              </w:rPr>
              <w:t>2</w:t>
            </w:r>
          </w:p>
        </w:tc>
        <w:tc>
          <w:tcPr>
            <w:tcW w:w="2653" w:type="dxa"/>
            <w:tcBorders>
              <w:top w:val="single" w:color="000000" w:sz="8" w:space="0"/>
              <w:left w:val="single" w:color="000000" w:sz="8" w:space="0"/>
              <w:bottom w:val="single" w:color="000000" w:sz="8" w:space="0"/>
              <w:right w:val="single" w:color="000000" w:sz="8" w:space="0"/>
            </w:tcBorders>
            <w:vAlign w:val="center"/>
          </w:tcPr>
          <w:p w14:paraId="2DE8B980">
            <w:pPr>
              <w:rPr>
                <w:rFonts w:ascii="Calibri" w:hAnsi="Calibri" w:eastAsia="宋体" w:cs="宋体"/>
                <w:kern w:val="2"/>
                <w:sz w:val="21"/>
                <w:szCs w:val="22"/>
                <w:lang w:eastAsia="zh-CN"/>
              </w:rPr>
            </w:pPr>
            <w:r>
              <w:rPr>
                <w:rFonts w:hint="eastAsia" w:ascii="宋体" w:hAnsi="宋体" w:eastAsia="宋体"/>
                <w:kern w:val="2"/>
                <w:sz w:val="21"/>
                <w:szCs w:val="21"/>
                <w:lang w:eastAsia="zh-CN"/>
              </w:rPr>
              <w:t>拟安排的项目团队成员</w:t>
            </w:r>
          </w:p>
        </w:tc>
        <w:tc>
          <w:tcPr>
            <w:tcW w:w="710" w:type="dxa"/>
            <w:tcBorders>
              <w:top w:val="single" w:color="000000" w:sz="8" w:space="0"/>
              <w:left w:val="single" w:color="000000" w:sz="8" w:space="0"/>
              <w:bottom w:val="single" w:color="000000" w:sz="8" w:space="0"/>
              <w:right w:val="single" w:color="000000" w:sz="8" w:space="0"/>
            </w:tcBorders>
          </w:tcPr>
          <w:p w14:paraId="3AEEB187">
            <w:pPr>
              <w:rPr>
                <w:rFonts w:ascii="Calibri" w:hAnsi="Calibri" w:eastAsia="宋体" w:cs="宋体"/>
                <w:kern w:val="2"/>
                <w:sz w:val="21"/>
                <w:szCs w:val="22"/>
                <w:lang w:eastAsia="zh-CN"/>
              </w:rPr>
            </w:pPr>
            <w:r>
              <w:rPr>
                <w:rFonts w:hint="eastAsia" w:ascii="Calibri" w:hAnsi="Calibri" w:eastAsia="宋体" w:cs="宋体"/>
                <w:kern w:val="2"/>
                <w:sz w:val="21"/>
                <w:szCs w:val="22"/>
                <w:lang w:eastAsia="zh-CN"/>
              </w:rPr>
              <w:t>20</w:t>
            </w:r>
          </w:p>
        </w:tc>
        <w:tc>
          <w:tcPr>
            <w:tcW w:w="4330" w:type="dxa"/>
            <w:tcBorders>
              <w:top w:val="single" w:color="000000" w:sz="8" w:space="0"/>
              <w:left w:val="single" w:color="000000" w:sz="8" w:space="0"/>
              <w:bottom w:val="single" w:color="000000" w:sz="8" w:space="0"/>
              <w:right w:val="single" w:color="000000" w:sz="8" w:space="0"/>
            </w:tcBorders>
          </w:tcPr>
          <w:p w14:paraId="1E982F65">
            <w:pPr>
              <w:widowControl w:val="0"/>
              <w:jc w:val="both"/>
              <w:rPr>
                <w:rFonts w:eastAsia="宋体"/>
                <w:b/>
                <w:kern w:val="2"/>
                <w:sz w:val="21"/>
                <w:lang w:eastAsia="zh-CN"/>
              </w:rPr>
            </w:pPr>
            <w:r>
              <w:rPr>
                <w:rFonts w:hint="eastAsia" w:eastAsia="宋体"/>
                <w:b/>
                <w:kern w:val="2"/>
                <w:sz w:val="21"/>
                <w:lang w:eastAsia="zh-CN"/>
              </w:rPr>
              <w:t>（一）评分内容：</w:t>
            </w:r>
          </w:p>
          <w:p w14:paraId="40A7804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拟安排的项目团队成员须为投标人自有员工（以社保为准），否则本项不得分。</w:t>
            </w:r>
          </w:p>
          <w:p w14:paraId="28C48580">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（1）导演（仅限1名）</w:t>
            </w:r>
          </w:p>
          <w:p w14:paraId="3177B2EB">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具有AI影片及实拍宣传片制作经验：</w:t>
            </w:r>
          </w:p>
          <w:p w14:paraId="59880C93">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5年（含）及以上，得20分；</w:t>
            </w:r>
          </w:p>
          <w:p w14:paraId="42A2961D">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3年（含）-5年（不含），得15分；</w:t>
            </w:r>
          </w:p>
          <w:p w14:paraId="0B5FF678">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3年（不含）以下，得10分；</w:t>
            </w:r>
          </w:p>
          <w:p w14:paraId="19FBC31F">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本小项最高得20分。</w:t>
            </w:r>
          </w:p>
          <w:p w14:paraId="1E0BE2E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（2）策划（仅限1名）</w:t>
            </w:r>
          </w:p>
          <w:p w14:paraId="627AFA80">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具有AI影片或城市或政务宣传片策划经验：</w:t>
            </w:r>
          </w:p>
          <w:p w14:paraId="4D1A9182">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5年（含）及以上，得20分；</w:t>
            </w:r>
          </w:p>
          <w:p w14:paraId="79022D50">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3年（含）-5年（不含），得15分；</w:t>
            </w:r>
          </w:p>
          <w:p w14:paraId="3B3D5BA8">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3年（不含）以下，得10分；</w:t>
            </w:r>
          </w:p>
          <w:p w14:paraId="5251E69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本小项最高得20分。</w:t>
            </w:r>
          </w:p>
          <w:p w14:paraId="7DF2B57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（3）实景拍摄</w:t>
            </w:r>
          </w:p>
          <w:p w14:paraId="2659BB82">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具有城市或政务宣传片拍摄经验：</w:t>
            </w:r>
          </w:p>
          <w:p w14:paraId="0D49F2E7">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5年（含）及以上，得20分；</w:t>
            </w:r>
          </w:p>
          <w:p w14:paraId="018AEC0F">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3年（含）-5年（不含），得15分；</w:t>
            </w:r>
          </w:p>
          <w:p w14:paraId="0253F298">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3年（不含）以下，得10分；</w:t>
            </w:r>
          </w:p>
          <w:p w14:paraId="23F7CE58">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本小项最高得20分。</w:t>
            </w:r>
          </w:p>
          <w:p w14:paraId="7EAC2E73">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（4）AI生成师</w:t>
            </w:r>
          </w:p>
          <w:p w14:paraId="2FAB5C1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每提供1人得5分，本小项最高得20分，不提供不得分。</w:t>
            </w:r>
          </w:p>
          <w:p w14:paraId="4F27C3D7">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（5）后期剪辑</w:t>
            </w:r>
          </w:p>
          <w:p w14:paraId="7532D4FA">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具有AI影片或城市或政务宣传片后期剪辑经验：</w:t>
            </w:r>
          </w:p>
          <w:p w14:paraId="71E3CC5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5年（含）及以上，得20分；</w:t>
            </w:r>
          </w:p>
          <w:p w14:paraId="4EDCD3B5">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3年（含）-5年（不含），得15分；</w:t>
            </w:r>
          </w:p>
          <w:p w14:paraId="25C9E31D">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3年（不含）以下，得10分；</w:t>
            </w:r>
          </w:p>
          <w:p w14:paraId="7C807E85">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本小项最高得20分。</w:t>
            </w:r>
          </w:p>
          <w:p w14:paraId="4A4EDD4E">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同一人不得担任多个岗位，不重复得分。</w:t>
            </w:r>
          </w:p>
          <w:p w14:paraId="0B5AB284">
            <w:pPr>
              <w:widowControl w:val="0"/>
              <w:rPr>
                <w:rFonts w:ascii="宋体" w:hAnsi="宋体" w:eastAsia="宋体"/>
                <w:kern w:val="2"/>
                <w:sz w:val="21"/>
                <w:szCs w:val="21"/>
                <w:lang w:eastAsia="zh-CN"/>
              </w:rPr>
            </w:pPr>
            <w:r>
              <w:rPr>
                <w:rFonts w:hint="eastAsia" w:ascii="宋体" w:hAnsi="宋体" w:eastAsia="宋体"/>
                <w:kern w:val="2"/>
                <w:sz w:val="21"/>
                <w:szCs w:val="21"/>
                <w:lang w:eastAsia="zh-CN"/>
              </w:rPr>
              <w:t>本项最高得100分。</w:t>
            </w:r>
          </w:p>
          <w:p w14:paraId="6071CAD8">
            <w:pPr>
              <w:widowControl w:val="0"/>
              <w:jc w:val="both"/>
              <w:rPr>
                <w:rFonts w:eastAsia="宋体"/>
                <w:b/>
                <w:kern w:val="2"/>
                <w:sz w:val="21"/>
                <w:lang w:eastAsia="zh-CN"/>
              </w:rPr>
            </w:pPr>
            <w:r>
              <w:rPr>
                <w:rFonts w:hint="eastAsia" w:eastAsia="宋体"/>
                <w:b/>
                <w:kern w:val="2"/>
                <w:sz w:val="21"/>
                <w:lang w:eastAsia="zh-CN"/>
              </w:rPr>
              <w:t>（二）评分依据：</w:t>
            </w:r>
          </w:p>
          <w:p w14:paraId="69435881">
            <w:pPr>
              <w:widowControl w:val="0"/>
              <w:spacing w:after="120"/>
              <w:jc w:val="both"/>
              <w:rPr>
                <w:rFonts w:eastAsia="宋体"/>
                <w:kern w:val="2"/>
                <w:sz w:val="21"/>
                <w:lang w:eastAsia="zh-CN"/>
              </w:rPr>
            </w:pPr>
            <w:r>
              <w:rPr>
                <w:rFonts w:hint="eastAsia" w:eastAsia="宋体"/>
                <w:kern w:val="2"/>
                <w:sz w:val="21"/>
                <w:lang w:eastAsia="zh-CN"/>
              </w:rPr>
              <w:t>1.涉及考察人员工作经验和岗位信息的，要求提供证明相关年限的项目合同关键信息作为得分依据，通过合同关键信息无法判断是否得分的，还须同时提供合同甲方出具的证明文件。</w:t>
            </w:r>
          </w:p>
          <w:p w14:paraId="3485860E">
            <w:pPr>
              <w:widowControl w:val="0"/>
              <w:spacing w:after="120"/>
              <w:jc w:val="both"/>
              <w:rPr>
                <w:rFonts w:eastAsia="宋体"/>
                <w:kern w:val="2"/>
                <w:sz w:val="21"/>
                <w:lang w:eastAsia="zh-CN"/>
              </w:rPr>
            </w:pPr>
            <w:r>
              <w:rPr>
                <w:rFonts w:hint="eastAsia" w:eastAsia="宋体"/>
                <w:kern w:val="2"/>
                <w:sz w:val="21"/>
                <w:lang w:eastAsia="zh-CN"/>
              </w:rPr>
              <w:t>2.涉及人员社保的，要求提供通过投标人缴纳的近三个月的任意一个月的社保证明作为本单位员工的证明依据。若供应商成立不足三个月的，需提供成立情况说明函（格式自拟），无需提供相关人员社保，亦可得分。</w:t>
            </w:r>
          </w:p>
          <w:p w14:paraId="62ED6F08">
            <w:pPr>
              <w:widowControl w:val="0"/>
              <w:spacing w:after="120"/>
              <w:jc w:val="both"/>
              <w:rPr>
                <w:rFonts w:eastAsia="宋体"/>
                <w:kern w:val="2"/>
                <w:sz w:val="21"/>
                <w:lang w:eastAsia="zh-CN"/>
              </w:rPr>
            </w:pPr>
            <w:r>
              <w:rPr>
                <w:rFonts w:hint="eastAsia" w:eastAsia="宋体"/>
                <w:kern w:val="2"/>
                <w:sz w:val="21"/>
                <w:lang w:eastAsia="zh-CN"/>
              </w:rPr>
              <w:t>备注：以上资料均要求提供扫描件，评分中出现无证明资料或证书过期或专家无法凭所提供资料判断的一律不得分。</w:t>
            </w:r>
          </w:p>
        </w:tc>
      </w:tr>
      <w:tr w14:paraId="256E01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continue"/>
            <w:tcBorders>
              <w:top w:val="single" w:color="000000" w:sz="8" w:space="0"/>
              <w:left w:val="single" w:color="000000" w:sz="8" w:space="0"/>
              <w:bottom w:val="single" w:color="000000" w:sz="8" w:space="0"/>
              <w:right w:val="single" w:color="000000" w:sz="8" w:space="0"/>
            </w:tcBorders>
            <w:vAlign w:val="center"/>
          </w:tcPr>
          <w:p w14:paraId="494F8D61">
            <w:pPr>
              <w:rPr>
                <w:rFonts w:ascii="宋体" w:hAnsi="宋体" w:eastAsia="宋体" w:cs="宋体"/>
                <w:b/>
                <w:bCs/>
                <w:color w:val="0000FF"/>
                <w:kern w:val="2"/>
                <w:lang w:eastAsia="zh-CN"/>
              </w:rPr>
            </w:pPr>
          </w:p>
        </w:tc>
        <w:tc>
          <w:tcPr>
            <w:tcW w:w="494" w:type="dxa"/>
            <w:tcBorders>
              <w:top w:val="single" w:color="000000" w:sz="8" w:space="0"/>
              <w:left w:val="single" w:color="000000" w:sz="8" w:space="0"/>
              <w:bottom w:val="single" w:color="000000" w:sz="8" w:space="0"/>
              <w:right w:val="single" w:color="000000" w:sz="8" w:space="0"/>
            </w:tcBorders>
          </w:tcPr>
          <w:p w14:paraId="6C46D2DD">
            <w:pPr>
              <w:widowControl w:val="0"/>
              <w:wordWrap w:val="0"/>
              <w:jc w:val="center"/>
              <w:rPr>
                <w:rFonts w:eastAsia="宋体"/>
                <w:kern w:val="2"/>
                <w:sz w:val="21"/>
                <w:szCs w:val="21"/>
                <w:lang w:eastAsia="zh-CN"/>
              </w:rPr>
            </w:pPr>
            <w:r>
              <w:rPr>
                <w:rFonts w:hint="eastAsia" w:eastAsia="宋体"/>
                <w:kern w:val="2"/>
                <w:sz w:val="21"/>
                <w:szCs w:val="21"/>
                <w:lang w:eastAsia="zh-CN"/>
              </w:rPr>
              <w:t>3</w:t>
            </w:r>
          </w:p>
        </w:tc>
        <w:tc>
          <w:tcPr>
            <w:tcW w:w="2653" w:type="dxa"/>
            <w:tcBorders>
              <w:top w:val="single" w:color="000000" w:sz="8" w:space="0"/>
              <w:left w:val="single" w:color="000000" w:sz="8" w:space="0"/>
              <w:bottom w:val="single" w:color="000000" w:sz="8" w:space="0"/>
              <w:right w:val="single" w:color="000000" w:sz="8" w:space="0"/>
            </w:tcBorders>
            <w:vAlign w:val="center"/>
          </w:tcPr>
          <w:p w14:paraId="6CFCE512">
            <w:pPr>
              <w:rPr>
                <w:rFonts w:ascii="宋体" w:hAnsi="宋体" w:eastAsia="宋体" w:cs="宋体"/>
                <w:kern w:val="2"/>
                <w:sz w:val="21"/>
                <w:szCs w:val="21"/>
                <w:lang w:eastAsia="zh-CN"/>
              </w:rPr>
            </w:pPr>
            <w:r>
              <w:rPr>
                <w:rFonts w:hint="eastAsia" w:ascii="宋体" w:hAnsi="宋体" w:eastAsia="宋体" w:cs="宋体"/>
                <w:kern w:val="2"/>
                <w:sz w:val="21"/>
                <w:szCs w:val="21"/>
                <w:lang w:eastAsia="zh-CN"/>
              </w:rPr>
              <w:t>视频创意方案及演示</w:t>
            </w:r>
          </w:p>
        </w:tc>
        <w:tc>
          <w:tcPr>
            <w:tcW w:w="710" w:type="dxa"/>
            <w:tcBorders>
              <w:top w:val="single" w:color="000000" w:sz="8" w:space="0"/>
              <w:left w:val="single" w:color="000000" w:sz="8" w:space="0"/>
              <w:bottom w:val="single" w:color="000000" w:sz="8" w:space="0"/>
              <w:right w:val="single" w:color="000000" w:sz="8" w:space="0"/>
            </w:tcBorders>
          </w:tcPr>
          <w:p w14:paraId="0C56BE42">
            <w:pPr>
              <w:rPr>
                <w:rFonts w:ascii="Calibri" w:hAnsi="Calibri" w:eastAsia="宋体" w:cs="宋体"/>
                <w:kern w:val="2"/>
                <w:sz w:val="21"/>
                <w:szCs w:val="22"/>
                <w:lang w:eastAsia="zh-CN"/>
              </w:rPr>
            </w:pPr>
            <w:r>
              <w:rPr>
                <w:rFonts w:ascii="Calibri" w:hAnsi="Calibri" w:eastAsia="宋体" w:cs="宋体"/>
                <w:kern w:val="2"/>
                <w:sz w:val="21"/>
                <w:szCs w:val="22"/>
                <w:lang w:eastAsia="zh-CN"/>
              </w:rPr>
              <w:t>15</w:t>
            </w:r>
          </w:p>
        </w:tc>
        <w:tc>
          <w:tcPr>
            <w:tcW w:w="4330" w:type="dxa"/>
            <w:tcBorders>
              <w:top w:val="single" w:color="000000" w:sz="8" w:space="0"/>
              <w:left w:val="single" w:color="000000" w:sz="8" w:space="0"/>
              <w:bottom w:val="single" w:color="000000" w:sz="8" w:space="0"/>
              <w:right w:val="single" w:color="000000" w:sz="8" w:space="0"/>
            </w:tcBorders>
          </w:tcPr>
          <w:p w14:paraId="18F49226">
            <w:pPr>
              <w:pStyle w:val="13"/>
              <w:ind w:left="0" w:leftChars="0" w:firstLine="0" w:firstLineChars="0"/>
            </w:pPr>
            <w:r>
              <w:rPr>
                <w:rFonts w:hint="eastAsia"/>
              </w:rPr>
              <w:t>（一）评分内容：</w:t>
            </w:r>
          </w:p>
          <w:p w14:paraId="0612475B">
            <w:pPr>
              <w:pStyle w:val="13"/>
              <w:ind w:left="0" w:leftChars="0" w:firstLine="0" w:firstLineChars="0"/>
            </w:pPr>
            <w:r>
              <w:rPr>
                <w:rFonts w:hint="eastAsia"/>
              </w:rPr>
              <w:t>根据采购文件的需求，制定贴切本项目的视频创意方案，方案需到评审现场进行演示，需准备演示PPT，演示时间为8分钟（含样片展示），内容包括：</w:t>
            </w:r>
          </w:p>
          <w:p w14:paraId="7455BC54">
            <w:pPr>
              <w:pStyle w:val="13"/>
              <w:ind w:left="0" w:leftChars="0" w:firstLine="0" w:firstLineChars="0"/>
            </w:pPr>
            <w:r>
              <w:rPr>
                <w:rFonts w:hint="eastAsia"/>
              </w:rPr>
              <w:t>1.项目概述</w:t>
            </w:r>
          </w:p>
          <w:p w14:paraId="2753B21E">
            <w:pPr>
              <w:pStyle w:val="13"/>
              <w:ind w:left="0" w:leftChars="0" w:firstLine="0" w:firstLineChars="0"/>
            </w:pPr>
            <w:r>
              <w:rPr>
                <w:rFonts w:hint="eastAsia"/>
              </w:rPr>
              <w:t>2.创意阐述</w:t>
            </w:r>
          </w:p>
          <w:p w14:paraId="40A70BE1">
            <w:pPr>
              <w:pStyle w:val="13"/>
              <w:ind w:left="0" w:leftChars="0" w:firstLine="0" w:firstLineChars="0"/>
            </w:pPr>
            <w:r>
              <w:rPr>
                <w:rFonts w:hint="eastAsia"/>
              </w:rPr>
              <w:t>3.内容框架</w:t>
            </w:r>
          </w:p>
          <w:p w14:paraId="1CE5D799">
            <w:pPr>
              <w:pStyle w:val="13"/>
              <w:ind w:left="0" w:leftChars="0" w:firstLine="0" w:firstLineChars="0"/>
            </w:pPr>
            <w:r>
              <w:rPr>
                <w:rFonts w:hint="eastAsia"/>
              </w:rPr>
              <w:t>4.制作周期</w:t>
            </w:r>
          </w:p>
          <w:p w14:paraId="4B61F4C0">
            <w:pPr>
              <w:pStyle w:val="13"/>
              <w:ind w:left="0" w:leftChars="0" w:firstLine="0" w:firstLineChars="0"/>
            </w:pPr>
            <w:r>
              <w:rPr>
                <w:rFonts w:hint="eastAsia"/>
              </w:rPr>
              <w:t>5.推广计划</w:t>
            </w:r>
          </w:p>
          <w:p w14:paraId="04D7EDD0">
            <w:pPr>
              <w:pStyle w:val="13"/>
              <w:ind w:left="0" w:leftChars="0" w:firstLine="0" w:firstLineChars="0"/>
            </w:pPr>
            <w:r>
              <w:rPr>
                <w:rFonts w:hint="eastAsia"/>
              </w:rPr>
              <w:t>6.以往做过的同类样片展示。（样片需为AI融合实拍类型）</w:t>
            </w:r>
          </w:p>
          <w:p w14:paraId="5DB9E75F">
            <w:pPr>
              <w:pStyle w:val="13"/>
              <w:ind w:left="0" w:leftChars="0" w:firstLine="0" w:firstLineChars="0"/>
            </w:pPr>
            <w:r>
              <w:rPr>
                <w:rFonts w:hint="eastAsia"/>
              </w:rPr>
              <w:t>（二）评分依据：</w:t>
            </w:r>
          </w:p>
          <w:p w14:paraId="08CE4E3F">
            <w:pPr>
              <w:pStyle w:val="13"/>
              <w:ind w:left="0" w:leftChars="0" w:firstLine="0" w:firstLineChars="0"/>
            </w:pPr>
            <w:r>
              <w:rPr>
                <w:rFonts w:hint="eastAsia"/>
              </w:rPr>
              <w:t>1.提供以上6点内容得40分，未提供不得分。</w:t>
            </w:r>
          </w:p>
          <w:p w14:paraId="489183D5">
            <w:pPr>
              <w:pStyle w:val="13"/>
              <w:ind w:left="0" w:leftChars="0" w:firstLine="0" w:firstLineChars="0"/>
            </w:pPr>
            <w:r>
              <w:rPr>
                <w:rFonts w:hint="eastAsia"/>
              </w:rPr>
              <w:t xml:space="preserve">2.在此基础上，根据方案的完整性、科学性、创新性、实操性及同类样片展示等维度开展综合评分。 </w:t>
            </w:r>
          </w:p>
          <w:p w14:paraId="49EF13D6">
            <w:pPr>
              <w:pStyle w:val="13"/>
              <w:ind w:left="0" w:leftChars="0" w:firstLine="0" w:firstLineChars="0"/>
            </w:pPr>
            <w:r>
              <w:rPr>
                <w:rFonts w:hint="eastAsia"/>
              </w:rPr>
              <w:t xml:space="preserve">（1）方案内容全面、科学：要素覆盖完整，逻辑严谨，贴合宣传定位，信息客观准确。 </w:t>
            </w:r>
          </w:p>
          <w:p w14:paraId="1398B072">
            <w:pPr>
              <w:pStyle w:val="13"/>
              <w:ind w:left="0" w:leftChars="0" w:firstLine="0" w:firstLineChars="0"/>
            </w:pPr>
            <w:r>
              <w:rPr>
                <w:rFonts w:hint="eastAsia"/>
              </w:rPr>
              <w:t xml:space="preserve">（2）方案框架结构完整、系统：章节条理清晰，逻辑闭环，模块衔接顺畅，无关键内容缺失。 </w:t>
            </w:r>
          </w:p>
          <w:p w14:paraId="65E36703">
            <w:pPr>
              <w:pStyle w:val="13"/>
              <w:ind w:left="0" w:leftChars="0" w:firstLine="0" w:firstLineChars="0"/>
            </w:pPr>
            <w:r>
              <w:rPr>
                <w:rFonts w:hint="eastAsia"/>
              </w:rPr>
              <w:t>（3）方案亮点突出、工作量设置合理可行：创意紧扣罗湖城区特色和最新发展规划，亮点鲜明；任务体量匹配资源周期，落地可执行；同类展示样片的匹配度高，可看性强，制作优良。</w:t>
            </w:r>
          </w:p>
          <w:p w14:paraId="750CBB21">
            <w:pPr>
              <w:pStyle w:val="13"/>
              <w:ind w:left="0" w:leftChars="0" w:firstLine="0" w:firstLineChars="0"/>
            </w:pPr>
            <w:r>
              <w:rPr>
                <w:rFonts w:hint="eastAsia"/>
              </w:rPr>
              <w:t>满足以上3项要求的评价为优，加</w:t>
            </w:r>
            <w:r>
              <w:t>60</w:t>
            </w:r>
            <w:r>
              <w:rPr>
                <w:rFonts w:hint="eastAsia"/>
              </w:rPr>
              <w:t>分。</w:t>
            </w:r>
          </w:p>
          <w:p w14:paraId="5178EEF6">
            <w:pPr>
              <w:pStyle w:val="13"/>
              <w:ind w:left="0" w:leftChars="0" w:firstLine="0" w:firstLineChars="0"/>
            </w:pPr>
            <w:r>
              <w:rPr>
                <w:rFonts w:hint="eastAsia"/>
              </w:rPr>
              <w:t>满足以上2项要求的评价为良，加</w:t>
            </w:r>
            <w:r>
              <w:t>4</w:t>
            </w:r>
            <w:r>
              <w:rPr>
                <w:rFonts w:hint="eastAsia"/>
              </w:rPr>
              <w:t>0分。</w:t>
            </w:r>
          </w:p>
          <w:p w14:paraId="15C8EB99">
            <w:pPr>
              <w:widowControl w:val="0"/>
              <w:spacing w:after="120"/>
              <w:jc w:val="both"/>
              <w:rPr>
                <w:rFonts w:ascii="宋体" w:hAnsi="宋体" w:eastAsia="宋体"/>
                <w:kern w:val="2"/>
                <w:sz w:val="21"/>
                <w:szCs w:val="21"/>
                <w:lang w:eastAsia="zh-CN"/>
              </w:rPr>
            </w:pPr>
            <w:r>
              <w:rPr>
                <w:rFonts w:hint="eastAsia" w:ascii="宋体" w:hAnsi="宋体" w:eastAsia="宋体" w:cs="宋体"/>
                <w:lang w:eastAsia="zh-CN"/>
              </w:rPr>
              <w:t>其他情况的评价为差，不加分。如评审为差，评审专家须书面说明理由，并记录在档。</w:t>
            </w:r>
          </w:p>
        </w:tc>
      </w:tr>
      <w:tr w14:paraId="355FEC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continue"/>
            <w:tcBorders>
              <w:top w:val="single" w:color="000000" w:sz="8" w:space="0"/>
              <w:left w:val="single" w:color="000000" w:sz="8" w:space="0"/>
              <w:bottom w:val="single" w:color="000000" w:sz="8" w:space="0"/>
              <w:right w:val="single" w:color="000000" w:sz="8" w:space="0"/>
            </w:tcBorders>
            <w:vAlign w:val="center"/>
          </w:tcPr>
          <w:p w14:paraId="592A3988">
            <w:pPr>
              <w:rPr>
                <w:rFonts w:ascii="宋体" w:hAnsi="宋体" w:eastAsia="宋体" w:cs="宋体"/>
                <w:b/>
                <w:bCs/>
                <w:color w:val="0000FF"/>
                <w:kern w:val="2"/>
                <w:lang w:eastAsia="zh-CN"/>
              </w:rPr>
            </w:pPr>
          </w:p>
        </w:tc>
        <w:tc>
          <w:tcPr>
            <w:tcW w:w="494" w:type="dxa"/>
            <w:tcBorders>
              <w:top w:val="single" w:color="000000" w:sz="8" w:space="0"/>
              <w:left w:val="single" w:color="000000" w:sz="8" w:space="0"/>
              <w:bottom w:val="single" w:color="000000" w:sz="8" w:space="0"/>
              <w:right w:val="single" w:color="000000" w:sz="8" w:space="0"/>
            </w:tcBorders>
          </w:tcPr>
          <w:p w14:paraId="4B21C3BC">
            <w:pPr>
              <w:widowControl w:val="0"/>
              <w:wordWrap w:val="0"/>
              <w:jc w:val="center"/>
              <w:rPr>
                <w:rFonts w:eastAsia="宋体"/>
                <w:kern w:val="2"/>
                <w:sz w:val="21"/>
                <w:szCs w:val="21"/>
                <w:lang w:eastAsia="zh-CN"/>
              </w:rPr>
            </w:pPr>
            <w:r>
              <w:rPr>
                <w:rFonts w:hint="eastAsia" w:eastAsia="宋体"/>
                <w:kern w:val="2"/>
                <w:sz w:val="21"/>
                <w:szCs w:val="21"/>
                <w:lang w:eastAsia="zh-CN"/>
              </w:rPr>
              <w:t>4</w:t>
            </w:r>
          </w:p>
        </w:tc>
        <w:tc>
          <w:tcPr>
            <w:tcW w:w="2653" w:type="dxa"/>
            <w:tcBorders>
              <w:top w:val="single" w:color="000000" w:sz="8" w:space="0"/>
              <w:left w:val="single" w:color="000000" w:sz="8" w:space="0"/>
              <w:bottom w:val="single" w:color="000000" w:sz="8" w:space="0"/>
              <w:right w:val="single" w:color="000000" w:sz="8" w:space="0"/>
            </w:tcBorders>
            <w:vAlign w:val="center"/>
          </w:tcPr>
          <w:p w14:paraId="1D48C7F0">
            <w:pPr>
              <w:rPr>
                <w:rFonts w:ascii="宋体" w:hAnsi="宋体" w:eastAsia="宋体"/>
                <w:color w:val="FF0000"/>
                <w:kern w:val="2"/>
                <w:sz w:val="21"/>
                <w:lang w:eastAsia="zh-CN"/>
              </w:rPr>
            </w:pPr>
            <w:r>
              <w:rPr>
                <w:rFonts w:hint="eastAsia" w:eastAsia="宋体"/>
                <w:color w:val="000000"/>
                <w:kern w:val="2"/>
                <w:sz w:val="21"/>
                <w:lang w:eastAsia="zh-CN"/>
              </w:rPr>
              <w:t xml:space="preserve">获奖情况     </w:t>
            </w:r>
          </w:p>
        </w:tc>
        <w:tc>
          <w:tcPr>
            <w:tcW w:w="710" w:type="dxa"/>
            <w:tcBorders>
              <w:top w:val="single" w:color="000000" w:sz="8" w:space="0"/>
              <w:left w:val="single" w:color="000000" w:sz="8" w:space="0"/>
              <w:bottom w:val="single" w:color="000000" w:sz="8" w:space="0"/>
              <w:right w:val="single" w:color="000000" w:sz="8" w:space="0"/>
            </w:tcBorders>
          </w:tcPr>
          <w:p w14:paraId="12A7447E">
            <w:pPr>
              <w:rPr>
                <w:rFonts w:ascii="Calibri" w:hAnsi="Calibri" w:eastAsia="宋体" w:cs="宋体"/>
                <w:kern w:val="2"/>
                <w:sz w:val="21"/>
                <w:szCs w:val="22"/>
                <w:lang w:eastAsia="zh-CN"/>
              </w:rPr>
            </w:pPr>
            <w:r>
              <w:rPr>
                <w:rFonts w:hint="eastAsia" w:ascii="Calibri" w:hAnsi="Calibri" w:eastAsia="宋体" w:cs="宋体"/>
                <w:kern w:val="2"/>
                <w:sz w:val="21"/>
                <w:szCs w:val="22"/>
                <w:lang w:eastAsia="zh-CN"/>
              </w:rPr>
              <w:t>1</w:t>
            </w:r>
            <w:r>
              <w:rPr>
                <w:rFonts w:ascii="Calibri" w:hAnsi="Calibri" w:eastAsia="宋体" w:cs="宋体"/>
                <w:kern w:val="2"/>
                <w:sz w:val="21"/>
                <w:szCs w:val="22"/>
                <w:lang w:eastAsia="zh-CN"/>
              </w:rPr>
              <w:t>5</w:t>
            </w:r>
          </w:p>
        </w:tc>
        <w:tc>
          <w:tcPr>
            <w:tcW w:w="4330" w:type="dxa"/>
            <w:tcBorders>
              <w:top w:val="single" w:color="000000" w:sz="8" w:space="0"/>
              <w:left w:val="single" w:color="000000" w:sz="8" w:space="0"/>
              <w:bottom w:val="single" w:color="000000" w:sz="8" w:space="0"/>
              <w:right w:val="single" w:color="000000" w:sz="8" w:space="0"/>
            </w:tcBorders>
          </w:tcPr>
          <w:p w14:paraId="06260D82">
            <w:pPr>
              <w:widowControl w:val="0"/>
              <w:jc w:val="both"/>
              <w:rPr>
                <w:rFonts w:eastAsia="宋体"/>
                <w:b/>
                <w:kern w:val="2"/>
                <w:sz w:val="21"/>
                <w:lang w:eastAsia="zh-CN"/>
              </w:rPr>
            </w:pPr>
            <w:r>
              <w:rPr>
                <w:rFonts w:hint="eastAsia" w:eastAsia="宋体"/>
                <w:b/>
                <w:kern w:val="2"/>
                <w:sz w:val="21"/>
                <w:lang w:eastAsia="zh-CN"/>
              </w:rPr>
              <w:t>（一）评分内容：</w:t>
            </w:r>
          </w:p>
          <w:p w14:paraId="73EE9931">
            <w:pPr>
              <w:rPr>
                <w:rFonts w:eastAsia="宋体"/>
                <w:kern w:val="2"/>
                <w:sz w:val="21"/>
                <w:lang w:eastAsia="zh-CN"/>
              </w:rPr>
            </w:pPr>
            <w:r>
              <w:rPr>
                <w:rFonts w:hint="eastAsia" w:eastAsia="宋体"/>
                <w:kern w:val="2"/>
                <w:sz w:val="21"/>
                <w:lang w:eastAsia="zh-CN"/>
              </w:rPr>
              <w:t>投标人自2022年1月1日至本项目截标之日内获得的AI影片奖项（以颁发日期为准），每提供1个得10分，最高得100分。</w:t>
            </w:r>
          </w:p>
          <w:p w14:paraId="0145FAFE">
            <w:pPr>
              <w:widowControl w:val="0"/>
              <w:spacing w:line="360" w:lineRule="auto"/>
              <w:jc w:val="both"/>
              <w:rPr>
                <w:rFonts w:eastAsia="宋体"/>
                <w:b/>
                <w:bCs/>
                <w:kern w:val="2"/>
                <w:lang w:eastAsia="zh-CN"/>
              </w:rPr>
            </w:pPr>
            <w:r>
              <w:rPr>
                <w:rFonts w:hint="eastAsia" w:eastAsia="宋体"/>
                <w:b/>
                <w:bCs/>
                <w:kern w:val="2"/>
                <w:sz w:val="21"/>
                <w:lang w:eastAsia="zh-CN"/>
              </w:rPr>
              <w:t>如同一作品获多种奖项，不重复得分，不同作品可累计得分。</w:t>
            </w:r>
          </w:p>
          <w:p w14:paraId="47410EDD">
            <w:pPr>
              <w:widowControl w:val="0"/>
              <w:jc w:val="both"/>
              <w:rPr>
                <w:rFonts w:eastAsia="宋体"/>
                <w:b/>
                <w:kern w:val="2"/>
                <w:sz w:val="21"/>
                <w:lang w:eastAsia="zh-CN"/>
              </w:rPr>
            </w:pPr>
            <w:r>
              <w:rPr>
                <w:rFonts w:hint="eastAsia" w:eastAsia="宋体"/>
                <w:b/>
                <w:kern w:val="2"/>
                <w:sz w:val="21"/>
                <w:lang w:eastAsia="zh-CN"/>
              </w:rPr>
              <w:t>（二）评分依据：</w:t>
            </w:r>
          </w:p>
          <w:p w14:paraId="71C6360F">
            <w:pPr>
              <w:rPr>
                <w:rFonts w:eastAsia="宋体"/>
                <w:kern w:val="2"/>
                <w:sz w:val="21"/>
                <w:lang w:eastAsia="zh-CN"/>
              </w:rPr>
            </w:pPr>
            <w:r>
              <w:rPr>
                <w:rFonts w:hint="eastAsia" w:eastAsia="宋体"/>
                <w:kern w:val="2"/>
                <w:sz w:val="21"/>
                <w:lang w:eastAsia="zh-CN"/>
              </w:rPr>
              <w:t>需提供奖项照片或获奖（荣誉）证书扫描件作为得分依据；</w:t>
            </w:r>
          </w:p>
          <w:p w14:paraId="6C74C43D">
            <w:pPr>
              <w:rPr>
                <w:rFonts w:eastAsia="宋体"/>
                <w:kern w:val="2"/>
                <w:sz w:val="21"/>
                <w:lang w:eastAsia="zh-CN"/>
              </w:rPr>
            </w:pPr>
            <w:r>
              <w:rPr>
                <w:rFonts w:hint="eastAsia" w:eastAsia="宋体"/>
                <w:kern w:val="2"/>
                <w:sz w:val="21"/>
                <w:lang w:eastAsia="zh-CN"/>
              </w:rPr>
              <w:t>若为投标人所承接项目获奖的，还需同时提供合同关键信息（包括但不限于合同标的、签订时间、双方签章页）作为得分依据，通过合同关键信息无法判断是否得分的，还须同时提供能证明得分的其它证明资料，如合同甲方出具的证明文件或项目报告。</w:t>
            </w:r>
          </w:p>
          <w:p w14:paraId="4E3E0590">
            <w:pPr>
              <w:rPr>
                <w:rFonts w:ascii="宋体" w:hAnsi="宋体" w:eastAsia="宋体" w:cs="宋体"/>
                <w:kern w:val="2"/>
                <w:sz w:val="21"/>
                <w:szCs w:val="21"/>
                <w:lang w:eastAsia="zh-CN"/>
              </w:rPr>
            </w:pPr>
            <w:r>
              <w:rPr>
                <w:rFonts w:hint="eastAsia" w:eastAsia="宋体"/>
                <w:kern w:val="2"/>
                <w:sz w:val="21"/>
                <w:lang w:eastAsia="zh-CN"/>
              </w:rPr>
              <w:t>备注：以上资料均要求提供扫描件，评分中出现无证明资料或证书过期或专家无法凭所提供资料判断是否得分的情况，一律作不得分处理。</w:t>
            </w:r>
          </w:p>
        </w:tc>
      </w:tr>
      <w:tr w14:paraId="69C52A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continue"/>
            <w:tcBorders>
              <w:top w:val="single" w:color="000000" w:sz="8" w:space="0"/>
              <w:left w:val="single" w:color="000000" w:sz="8" w:space="0"/>
              <w:bottom w:val="single" w:color="000000" w:sz="8" w:space="0"/>
              <w:right w:val="single" w:color="000000" w:sz="8" w:space="0"/>
            </w:tcBorders>
            <w:vAlign w:val="center"/>
          </w:tcPr>
          <w:p w14:paraId="7E41CB11">
            <w:pPr>
              <w:rPr>
                <w:rFonts w:ascii="宋体" w:hAnsi="宋体" w:eastAsia="宋体" w:cs="宋体"/>
                <w:b/>
                <w:bCs/>
                <w:color w:val="0000FF"/>
                <w:kern w:val="2"/>
                <w:lang w:eastAsia="zh-CN"/>
              </w:rPr>
            </w:pPr>
          </w:p>
        </w:tc>
        <w:tc>
          <w:tcPr>
            <w:tcW w:w="494" w:type="dxa"/>
            <w:tcBorders>
              <w:top w:val="single" w:color="000000" w:sz="8" w:space="0"/>
              <w:left w:val="single" w:color="000000" w:sz="8" w:space="0"/>
              <w:bottom w:val="single" w:color="000000" w:sz="8" w:space="0"/>
              <w:right w:val="single" w:color="000000" w:sz="8" w:space="0"/>
            </w:tcBorders>
          </w:tcPr>
          <w:p w14:paraId="1C05C4CF">
            <w:pPr>
              <w:widowControl w:val="0"/>
              <w:wordWrap w:val="0"/>
              <w:jc w:val="center"/>
              <w:rPr>
                <w:rFonts w:eastAsia="宋体"/>
                <w:kern w:val="2"/>
                <w:sz w:val="21"/>
                <w:szCs w:val="21"/>
                <w:lang w:eastAsia="zh-CN"/>
              </w:rPr>
            </w:pPr>
            <w:r>
              <w:rPr>
                <w:rFonts w:hint="eastAsia" w:eastAsia="宋体"/>
                <w:kern w:val="2"/>
                <w:sz w:val="21"/>
                <w:szCs w:val="21"/>
                <w:lang w:eastAsia="zh-CN"/>
              </w:rPr>
              <w:t>5</w:t>
            </w:r>
          </w:p>
        </w:tc>
        <w:tc>
          <w:tcPr>
            <w:tcW w:w="2653" w:type="dxa"/>
            <w:tcBorders>
              <w:top w:val="single" w:color="000000" w:sz="8" w:space="0"/>
              <w:left w:val="single" w:color="000000" w:sz="8" w:space="0"/>
              <w:bottom w:val="single" w:color="000000" w:sz="8" w:space="0"/>
              <w:right w:val="single" w:color="000000" w:sz="8" w:space="0"/>
            </w:tcBorders>
            <w:vAlign w:val="center"/>
          </w:tcPr>
          <w:p w14:paraId="1175FCC7">
            <w:pPr>
              <w:rPr>
                <w:rFonts w:eastAsia="宋体"/>
                <w:kern w:val="2"/>
                <w:sz w:val="21"/>
                <w:szCs w:val="21"/>
                <w:lang w:eastAsia="zh-CN"/>
              </w:rPr>
            </w:pPr>
            <w:r>
              <w:rPr>
                <w:rFonts w:hint="eastAsia" w:eastAsia="宋体"/>
                <w:color w:val="000000"/>
                <w:kern w:val="2"/>
                <w:sz w:val="21"/>
                <w:lang w:eastAsia="zh-CN"/>
              </w:rPr>
              <w:t>同类作品传播力情况</w:t>
            </w:r>
          </w:p>
        </w:tc>
        <w:tc>
          <w:tcPr>
            <w:tcW w:w="710" w:type="dxa"/>
            <w:tcBorders>
              <w:top w:val="single" w:color="000000" w:sz="8" w:space="0"/>
              <w:left w:val="single" w:color="000000" w:sz="8" w:space="0"/>
              <w:bottom w:val="single" w:color="000000" w:sz="8" w:space="0"/>
              <w:right w:val="single" w:color="000000" w:sz="8" w:space="0"/>
            </w:tcBorders>
          </w:tcPr>
          <w:p w14:paraId="44ECBE43">
            <w:pPr>
              <w:rPr>
                <w:rFonts w:ascii="Calibri" w:hAnsi="Calibri" w:eastAsia="宋体" w:cs="宋体"/>
                <w:kern w:val="2"/>
                <w:sz w:val="21"/>
                <w:szCs w:val="22"/>
                <w:lang w:eastAsia="zh-CN"/>
              </w:rPr>
            </w:pPr>
            <w:r>
              <w:rPr>
                <w:rFonts w:hint="eastAsia" w:ascii="Calibri" w:hAnsi="Calibri" w:eastAsia="宋体" w:cs="宋体"/>
                <w:kern w:val="2"/>
                <w:sz w:val="21"/>
                <w:szCs w:val="22"/>
                <w:lang w:eastAsia="zh-CN"/>
              </w:rPr>
              <w:t>15</w:t>
            </w:r>
          </w:p>
        </w:tc>
        <w:tc>
          <w:tcPr>
            <w:tcW w:w="4330" w:type="dxa"/>
            <w:tcBorders>
              <w:top w:val="single" w:color="000000" w:sz="8" w:space="0"/>
              <w:left w:val="single" w:color="000000" w:sz="8" w:space="0"/>
              <w:bottom w:val="single" w:color="000000" w:sz="8" w:space="0"/>
              <w:right w:val="single" w:color="000000" w:sz="8" w:space="0"/>
            </w:tcBorders>
          </w:tcPr>
          <w:p w14:paraId="1D0AEB73">
            <w:pPr>
              <w:widowControl w:val="0"/>
              <w:jc w:val="both"/>
              <w:rPr>
                <w:rFonts w:eastAsia="宋体"/>
                <w:b/>
                <w:kern w:val="2"/>
                <w:sz w:val="21"/>
                <w:lang w:eastAsia="zh-CN"/>
              </w:rPr>
            </w:pPr>
            <w:r>
              <w:rPr>
                <w:rFonts w:hint="eastAsia" w:eastAsia="宋体"/>
                <w:b/>
                <w:kern w:val="2"/>
                <w:sz w:val="21"/>
                <w:lang w:eastAsia="zh-CN"/>
              </w:rPr>
              <w:t>（一）评分内容：</w:t>
            </w:r>
          </w:p>
          <w:p w14:paraId="761F769C">
            <w:pPr>
              <w:rPr>
                <w:rFonts w:hint="eastAsia" w:eastAsia="宋体"/>
                <w:color w:val="FF0000"/>
                <w:kern w:val="2"/>
                <w:sz w:val="21"/>
                <w:lang w:eastAsia="zh-CN"/>
              </w:rPr>
            </w:pPr>
            <w:r>
              <w:rPr>
                <w:rFonts w:hint="eastAsia" w:eastAsia="宋体"/>
                <w:kern w:val="2"/>
                <w:sz w:val="21"/>
                <w:lang w:eastAsia="zh-CN"/>
              </w:rPr>
              <w:t>1.2023年1月1日起本项目截标之日内制作的电影级4K(3840*2160)画质：AI宣传片或城市形象宣传片或文旅片，</w:t>
            </w:r>
            <w:r>
              <w:rPr>
                <w:rFonts w:hint="eastAsia" w:eastAsia="宋体"/>
                <w:color w:val="FF0000"/>
                <w:kern w:val="2"/>
                <w:sz w:val="21"/>
                <w:lang w:val="en-US" w:eastAsia="zh-CN"/>
              </w:rPr>
              <w:t>每提供一个得10分</w:t>
            </w:r>
            <w:r>
              <w:rPr>
                <w:rFonts w:hint="eastAsia" w:eastAsia="宋体"/>
                <w:color w:val="FF0000"/>
                <w:kern w:val="2"/>
                <w:sz w:val="21"/>
                <w:lang w:eastAsia="zh-CN"/>
              </w:rPr>
              <w:t>，未提供有效案例材料的不得分。</w:t>
            </w:r>
          </w:p>
          <w:p w14:paraId="46891370">
            <w:pPr>
              <w:rPr>
                <w:rFonts w:hint="eastAsia" w:eastAsia="宋体"/>
                <w:color w:val="FF0000"/>
                <w:kern w:val="2"/>
                <w:sz w:val="21"/>
                <w:lang w:val="en-US" w:eastAsia="zh-CN"/>
              </w:rPr>
            </w:pPr>
            <w:r>
              <w:rPr>
                <w:rFonts w:hint="eastAsia" w:eastAsia="宋体"/>
                <w:color w:val="FF0000"/>
                <w:kern w:val="2"/>
                <w:sz w:val="21"/>
                <w:lang w:val="en-US" w:eastAsia="zh-CN"/>
              </w:rPr>
              <w:t>本小项最高10分。</w:t>
            </w:r>
          </w:p>
          <w:p w14:paraId="5EB84238">
            <w:pPr>
              <w:rPr>
                <w:rFonts w:hint="default" w:eastAsia="宋体"/>
                <w:kern w:val="2"/>
                <w:sz w:val="21"/>
                <w:lang w:val="en-US" w:eastAsia="zh-CN"/>
              </w:rPr>
            </w:pPr>
          </w:p>
          <w:p w14:paraId="2831497E">
            <w:pPr>
              <w:rPr>
                <w:rFonts w:eastAsia="宋体"/>
                <w:kern w:val="2"/>
                <w:sz w:val="21"/>
                <w:lang w:eastAsia="zh-CN"/>
              </w:rPr>
            </w:pPr>
            <w:r>
              <w:rPr>
                <w:rFonts w:hint="eastAsia" w:eastAsia="宋体"/>
                <w:kern w:val="2"/>
                <w:sz w:val="21"/>
                <w:lang w:eastAsia="zh-CN"/>
              </w:rPr>
              <w:t>在此基础上，根据投标人提供案例质量、制作水准、政务宣传经验、全网传播效果等维度加分。</w:t>
            </w:r>
          </w:p>
          <w:p w14:paraId="0435D297">
            <w:pPr>
              <w:rPr>
                <w:rFonts w:eastAsia="宋体"/>
                <w:kern w:val="2"/>
                <w:sz w:val="21"/>
                <w:lang w:eastAsia="zh-CN"/>
              </w:rPr>
            </w:pPr>
            <w:r>
              <w:rPr>
                <w:rFonts w:hint="eastAsia" w:eastAsia="宋体"/>
                <w:kern w:val="2"/>
                <w:sz w:val="21"/>
                <w:lang w:eastAsia="zh-CN"/>
              </w:rPr>
              <w:t>每提供1部全网传播量500万（含）以上作品得20分；</w:t>
            </w:r>
          </w:p>
          <w:p w14:paraId="1F855433">
            <w:pPr>
              <w:rPr>
                <w:rFonts w:eastAsia="宋体"/>
                <w:kern w:val="2"/>
                <w:sz w:val="21"/>
                <w:lang w:eastAsia="zh-CN"/>
              </w:rPr>
            </w:pPr>
            <w:r>
              <w:rPr>
                <w:rFonts w:hint="eastAsia" w:eastAsia="宋体"/>
                <w:kern w:val="2"/>
                <w:sz w:val="21"/>
                <w:lang w:eastAsia="zh-CN"/>
              </w:rPr>
              <w:t>每提供1部全网传播量100万（含）-500万（不含）的作品得10分；</w:t>
            </w:r>
          </w:p>
          <w:p w14:paraId="010288CF">
            <w:pPr>
              <w:rPr>
                <w:rFonts w:eastAsia="宋体"/>
                <w:kern w:val="2"/>
                <w:sz w:val="21"/>
                <w:lang w:eastAsia="zh-CN"/>
              </w:rPr>
            </w:pPr>
            <w:r>
              <w:rPr>
                <w:rFonts w:hint="eastAsia" w:eastAsia="宋体"/>
                <w:kern w:val="2"/>
                <w:sz w:val="21"/>
                <w:lang w:eastAsia="zh-CN"/>
              </w:rPr>
              <w:t>每提供1部全网传播量不足100万（不含）不得分；</w:t>
            </w:r>
          </w:p>
          <w:p w14:paraId="7F1092D5">
            <w:pPr>
              <w:widowControl w:val="0"/>
              <w:spacing w:line="360" w:lineRule="auto"/>
              <w:jc w:val="both"/>
              <w:rPr>
                <w:rFonts w:eastAsia="宋体"/>
                <w:b/>
                <w:bCs/>
                <w:color w:val="FF0000"/>
                <w:kern w:val="2"/>
                <w:lang w:eastAsia="zh-CN"/>
              </w:rPr>
            </w:pPr>
            <w:r>
              <w:rPr>
                <w:rFonts w:hint="eastAsia" w:eastAsia="宋体"/>
                <w:b/>
                <w:bCs/>
                <w:color w:val="FF0000"/>
                <w:kern w:val="2"/>
                <w:sz w:val="21"/>
                <w:lang w:eastAsia="zh-CN"/>
              </w:rPr>
              <w:t>本小项最高加90分</w:t>
            </w:r>
          </w:p>
          <w:p w14:paraId="39794464">
            <w:pPr>
              <w:rPr>
                <w:rFonts w:eastAsia="宋体"/>
                <w:kern w:val="2"/>
                <w:sz w:val="21"/>
                <w:lang w:eastAsia="zh-CN"/>
              </w:rPr>
            </w:pPr>
            <w:r>
              <w:rPr>
                <w:rFonts w:hint="eastAsia" w:eastAsia="宋体"/>
                <w:kern w:val="2"/>
                <w:sz w:val="21"/>
                <w:lang w:eastAsia="zh-CN"/>
              </w:rPr>
              <w:t>本项最高得100分。</w:t>
            </w:r>
          </w:p>
          <w:p w14:paraId="06800C98">
            <w:pPr>
              <w:widowControl w:val="0"/>
              <w:jc w:val="both"/>
              <w:rPr>
                <w:rFonts w:eastAsia="宋体"/>
                <w:b/>
                <w:kern w:val="2"/>
                <w:sz w:val="21"/>
                <w:lang w:eastAsia="zh-CN"/>
              </w:rPr>
            </w:pPr>
            <w:r>
              <w:rPr>
                <w:rFonts w:hint="eastAsia" w:eastAsia="宋体"/>
                <w:b/>
                <w:kern w:val="2"/>
                <w:sz w:val="21"/>
                <w:lang w:eastAsia="zh-CN"/>
              </w:rPr>
              <w:t>（二）评分依据：</w:t>
            </w:r>
          </w:p>
          <w:p w14:paraId="75F35E0A">
            <w:pPr>
              <w:rPr>
                <w:rFonts w:eastAsia="宋体"/>
                <w:kern w:val="2"/>
                <w:sz w:val="21"/>
                <w:lang w:eastAsia="zh-CN"/>
              </w:rPr>
            </w:pPr>
            <w:r>
              <w:rPr>
                <w:rFonts w:hint="eastAsia" w:eastAsia="宋体"/>
                <w:kern w:val="2"/>
                <w:sz w:val="21"/>
                <w:lang w:eastAsia="zh-CN"/>
              </w:rPr>
              <w:t>提供案例视频播放数据证明或截图或展播证明。</w:t>
            </w:r>
          </w:p>
          <w:p w14:paraId="79BD4BF3">
            <w:pPr>
              <w:widowControl w:val="0"/>
              <w:spacing w:line="360" w:lineRule="auto"/>
              <w:jc w:val="both"/>
              <w:rPr>
                <w:rFonts w:ascii="宋体" w:hAnsi="宋体" w:eastAsia="宋体" w:cs="宋体"/>
                <w:b/>
                <w:bCs/>
                <w:kern w:val="2"/>
                <w:szCs w:val="21"/>
                <w:lang w:eastAsia="zh-CN"/>
              </w:rPr>
            </w:pPr>
            <w:r>
              <w:rPr>
                <w:rFonts w:eastAsia="宋体"/>
                <w:kern w:val="2"/>
                <w:sz w:val="21"/>
                <w:lang w:eastAsia="zh-CN"/>
              </w:rPr>
              <w:t>备注：以上资料均要求提供扫描件，评分中出现无证明资料或专家无法凭所提供资料判断是否得分的情况，一律作不得分处理。</w:t>
            </w:r>
          </w:p>
        </w:tc>
      </w:tr>
      <w:tr w14:paraId="73A166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79" w:hRule="atLeast"/>
          <w:jc w:val="center"/>
        </w:trPr>
        <w:tc>
          <w:tcPr>
            <w:tcW w:w="669" w:type="dxa"/>
            <w:vMerge w:val="restart"/>
            <w:tcBorders>
              <w:left w:val="single" w:color="000000" w:sz="8" w:space="0"/>
              <w:right w:val="single" w:color="000000" w:sz="8" w:space="0"/>
            </w:tcBorders>
          </w:tcPr>
          <w:p w14:paraId="03D64E43">
            <w:pPr>
              <w:jc w:val="both"/>
              <w:rPr>
                <w:rFonts w:ascii="宋体" w:hAnsi="宋体" w:eastAsia="宋体" w:cs="宋体"/>
                <w:b/>
                <w:bCs/>
                <w:color w:val="0000FF"/>
                <w:kern w:val="2"/>
                <w:lang w:eastAsia="zh-CN"/>
              </w:rPr>
            </w:pPr>
            <w:r>
              <w:rPr>
                <w:rFonts w:hint="eastAsia" w:ascii="宋体" w:hAnsi="宋体" w:eastAsia="宋体" w:cs="宋体"/>
                <w:b/>
                <w:bCs/>
                <w:color w:val="0000FF"/>
                <w:kern w:val="2"/>
                <w:lang w:eastAsia="zh-CN"/>
              </w:rPr>
              <w:t>3</w:t>
            </w:r>
          </w:p>
        </w:tc>
        <w:tc>
          <w:tcPr>
            <w:tcW w:w="3857" w:type="dxa"/>
            <w:gridSpan w:val="3"/>
            <w:tcBorders>
              <w:top w:val="single" w:color="000000" w:sz="8" w:space="0"/>
              <w:left w:val="single" w:color="000000" w:sz="8" w:space="0"/>
              <w:bottom w:val="single" w:color="000000" w:sz="8" w:space="0"/>
              <w:right w:val="single" w:color="000000" w:sz="8" w:space="0"/>
            </w:tcBorders>
          </w:tcPr>
          <w:p w14:paraId="0379FC92">
            <w:pPr>
              <w:widowControl w:val="0"/>
              <w:wordWrap w:val="0"/>
              <w:jc w:val="center"/>
              <w:rPr>
                <w:rFonts w:ascii="宋体" w:hAnsi="宋体" w:eastAsia="宋体" w:cs="宋体"/>
                <w:kern w:val="2"/>
                <w:sz w:val="21"/>
                <w:szCs w:val="21"/>
                <w:lang w:eastAsia="zh-CN"/>
              </w:rPr>
            </w:pPr>
            <w:r>
              <w:rPr>
                <w:rFonts w:hint="eastAsia" w:eastAsia="宋体"/>
                <w:b/>
                <w:bCs/>
                <w:color w:val="0000FF"/>
                <w:kern w:val="2"/>
                <w:sz w:val="21"/>
                <w:lang w:eastAsia="zh-CN"/>
              </w:rPr>
              <w:t>诚信情况</w:t>
            </w:r>
          </w:p>
        </w:tc>
        <w:tc>
          <w:tcPr>
            <w:tcW w:w="4330" w:type="dxa"/>
            <w:tcBorders>
              <w:top w:val="single" w:color="000000" w:sz="8" w:space="0"/>
              <w:left w:val="single" w:color="000000" w:sz="8" w:space="0"/>
              <w:bottom w:val="single" w:color="000000" w:sz="8" w:space="0"/>
              <w:right w:val="single" w:color="000000" w:sz="8" w:space="0"/>
            </w:tcBorders>
          </w:tcPr>
          <w:p w14:paraId="15F6AB17">
            <w:pPr>
              <w:widowControl w:val="0"/>
              <w:wordWrap w:val="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5</w:t>
            </w:r>
          </w:p>
        </w:tc>
      </w:tr>
      <w:tr w14:paraId="7B1DFB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continue"/>
            <w:tcBorders>
              <w:left w:val="single" w:color="000000" w:sz="8" w:space="0"/>
              <w:right w:val="single" w:color="000000" w:sz="8" w:space="0"/>
            </w:tcBorders>
            <w:vAlign w:val="center"/>
          </w:tcPr>
          <w:p w14:paraId="0608207C">
            <w:pPr>
              <w:rPr>
                <w:rFonts w:ascii="宋体" w:hAnsi="宋体" w:eastAsia="宋体" w:cs="宋体"/>
                <w:b/>
                <w:bCs/>
                <w:color w:val="0000FF"/>
                <w:kern w:val="2"/>
                <w:lang w:eastAsia="zh-CN"/>
              </w:rPr>
            </w:pPr>
            <w:bookmarkStart w:id="2" w:name="OLE_LINK14" w:colFirst="1" w:colLast="4"/>
          </w:p>
        </w:tc>
        <w:tc>
          <w:tcPr>
            <w:tcW w:w="494" w:type="dxa"/>
            <w:tcBorders>
              <w:top w:val="single" w:color="000000" w:sz="8" w:space="0"/>
              <w:left w:val="single" w:color="000000" w:sz="8" w:space="0"/>
              <w:bottom w:val="single" w:color="000000" w:sz="8" w:space="0"/>
              <w:right w:val="single" w:color="000000" w:sz="8" w:space="0"/>
            </w:tcBorders>
            <w:shd w:val="clear" w:color="auto" w:fill="DBEEF3"/>
            <w:vAlign w:val="center"/>
          </w:tcPr>
          <w:p w14:paraId="471DB5BD">
            <w:pPr>
              <w:widowControl w:val="0"/>
              <w:wordWrap w:val="0"/>
              <w:jc w:val="center"/>
              <w:rPr>
                <w:rFonts w:ascii="宋体" w:hAnsi="宋体" w:eastAsia="宋体" w:cs="宋体"/>
                <w:kern w:val="2"/>
                <w:sz w:val="21"/>
                <w:szCs w:val="21"/>
                <w:lang w:eastAsia="zh-CN"/>
              </w:rPr>
            </w:pPr>
            <w:r>
              <w:rPr>
                <w:rFonts w:hint="eastAsia" w:eastAsia="宋体"/>
                <w:kern w:val="2"/>
                <w:sz w:val="21"/>
                <w:szCs w:val="21"/>
                <w:lang w:eastAsia="zh-CN"/>
              </w:rPr>
              <w:t>序号</w:t>
            </w:r>
          </w:p>
        </w:tc>
        <w:tc>
          <w:tcPr>
            <w:tcW w:w="2653" w:type="dxa"/>
            <w:tcBorders>
              <w:top w:val="single" w:color="000000" w:sz="8" w:space="0"/>
              <w:left w:val="single" w:color="000000" w:sz="8" w:space="0"/>
              <w:bottom w:val="single" w:color="000000" w:sz="8" w:space="0"/>
              <w:right w:val="single" w:color="000000" w:sz="8" w:space="0"/>
            </w:tcBorders>
            <w:shd w:val="clear" w:color="auto" w:fill="DBEEF3"/>
            <w:vAlign w:val="center"/>
          </w:tcPr>
          <w:p w14:paraId="24857CA6">
            <w:pPr>
              <w:widowControl w:val="0"/>
              <w:wordWrap w:val="0"/>
              <w:jc w:val="center"/>
              <w:rPr>
                <w:rFonts w:ascii="宋体" w:hAnsi="宋体" w:eastAsia="宋体" w:cs="宋体"/>
                <w:kern w:val="2"/>
                <w:sz w:val="21"/>
                <w:szCs w:val="21"/>
                <w:lang w:eastAsia="zh-CN"/>
              </w:rPr>
            </w:pPr>
            <w:r>
              <w:rPr>
                <w:rFonts w:hint="eastAsia" w:eastAsia="宋体"/>
                <w:kern w:val="2"/>
                <w:sz w:val="21"/>
                <w:szCs w:val="21"/>
                <w:lang w:eastAsia="zh-CN"/>
              </w:rPr>
              <w:t>评分因素</w:t>
            </w:r>
          </w:p>
        </w:tc>
        <w:tc>
          <w:tcPr>
            <w:tcW w:w="710" w:type="dxa"/>
            <w:tcBorders>
              <w:top w:val="single" w:color="000000" w:sz="8" w:space="0"/>
              <w:left w:val="single" w:color="000000" w:sz="8" w:space="0"/>
              <w:bottom w:val="single" w:color="000000" w:sz="8" w:space="0"/>
              <w:right w:val="single" w:color="000000" w:sz="8" w:space="0"/>
            </w:tcBorders>
            <w:shd w:val="clear" w:color="auto" w:fill="DBEEF3"/>
            <w:vAlign w:val="center"/>
          </w:tcPr>
          <w:p w14:paraId="7357CF03">
            <w:pPr>
              <w:widowControl w:val="0"/>
              <w:wordWrap w:val="0"/>
              <w:jc w:val="center"/>
              <w:rPr>
                <w:rFonts w:ascii="宋体" w:hAnsi="宋体" w:eastAsia="宋体" w:cs="宋体"/>
                <w:kern w:val="2"/>
                <w:sz w:val="21"/>
                <w:szCs w:val="21"/>
                <w:lang w:eastAsia="zh-CN"/>
              </w:rPr>
            </w:pPr>
            <w:r>
              <w:rPr>
                <w:rFonts w:hint="eastAsia" w:eastAsia="宋体"/>
                <w:kern w:val="2"/>
                <w:sz w:val="21"/>
                <w:szCs w:val="21"/>
                <w:lang w:eastAsia="zh-CN"/>
              </w:rPr>
              <w:t>权重</w:t>
            </w:r>
          </w:p>
        </w:tc>
        <w:tc>
          <w:tcPr>
            <w:tcW w:w="4330" w:type="dxa"/>
            <w:tcBorders>
              <w:top w:val="single" w:color="000000" w:sz="8" w:space="0"/>
              <w:left w:val="single" w:color="000000" w:sz="8" w:space="0"/>
              <w:bottom w:val="single" w:color="000000" w:sz="8" w:space="0"/>
              <w:right w:val="single" w:color="000000" w:sz="8" w:space="0"/>
            </w:tcBorders>
            <w:shd w:val="clear" w:color="auto" w:fill="DBEEF3"/>
            <w:vAlign w:val="center"/>
          </w:tcPr>
          <w:p w14:paraId="7E87327A">
            <w:pPr>
              <w:widowControl w:val="0"/>
              <w:jc w:val="center"/>
              <w:rPr>
                <w:rFonts w:ascii="宋体" w:hAnsi="宋体" w:eastAsia="宋体"/>
                <w:color w:val="FF0000"/>
                <w:kern w:val="2"/>
                <w:sz w:val="21"/>
                <w:lang w:eastAsia="zh-CN"/>
              </w:rPr>
            </w:pPr>
            <w:r>
              <w:rPr>
                <w:rFonts w:hint="eastAsia" w:eastAsia="宋体"/>
                <w:kern w:val="2"/>
                <w:sz w:val="21"/>
                <w:szCs w:val="21"/>
                <w:lang w:eastAsia="zh-CN"/>
              </w:rPr>
              <w:t>评分准则</w:t>
            </w:r>
          </w:p>
        </w:tc>
      </w:tr>
      <w:bookmarkEnd w:id="2"/>
      <w:tr w14:paraId="2A5BA1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69" w:type="dxa"/>
            <w:vMerge w:val="continue"/>
            <w:tcBorders>
              <w:left w:val="single" w:color="000000" w:sz="8" w:space="0"/>
              <w:right w:val="single" w:color="000000" w:sz="8" w:space="0"/>
            </w:tcBorders>
            <w:vAlign w:val="center"/>
          </w:tcPr>
          <w:p w14:paraId="62C0AB1D">
            <w:pPr>
              <w:rPr>
                <w:rFonts w:ascii="宋体" w:hAnsi="宋体" w:eastAsia="宋体" w:cs="宋体"/>
                <w:b/>
                <w:bCs/>
                <w:color w:val="0000FF"/>
                <w:kern w:val="2"/>
                <w:lang w:eastAsia="zh-CN"/>
              </w:rPr>
            </w:pPr>
          </w:p>
        </w:tc>
        <w:tc>
          <w:tcPr>
            <w:tcW w:w="494" w:type="dxa"/>
            <w:tcBorders>
              <w:top w:val="single" w:color="000000" w:sz="8" w:space="0"/>
              <w:left w:val="single" w:color="000000" w:sz="8" w:space="0"/>
              <w:bottom w:val="single" w:color="000000" w:sz="8" w:space="0"/>
              <w:right w:val="single" w:color="000000" w:sz="8" w:space="0"/>
            </w:tcBorders>
          </w:tcPr>
          <w:p w14:paraId="53AAB3EE">
            <w:pPr>
              <w:widowControl w:val="0"/>
              <w:wordWrap w:val="0"/>
              <w:jc w:val="center"/>
              <w:rPr>
                <w:rFonts w:eastAsia="宋体"/>
                <w:kern w:val="2"/>
                <w:sz w:val="21"/>
                <w:szCs w:val="21"/>
                <w:lang w:eastAsia="zh-CN"/>
              </w:rPr>
            </w:pPr>
            <w:r>
              <w:rPr>
                <w:rFonts w:hint="eastAsia" w:eastAsia="宋体"/>
                <w:kern w:val="2"/>
                <w:sz w:val="21"/>
                <w:szCs w:val="21"/>
                <w:lang w:eastAsia="zh-CN"/>
              </w:rPr>
              <w:t>1</w:t>
            </w:r>
          </w:p>
        </w:tc>
        <w:tc>
          <w:tcPr>
            <w:tcW w:w="2653" w:type="dxa"/>
            <w:tcBorders>
              <w:top w:val="single" w:color="000000" w:sz="8" w:space="0"/>
              <w:left w:val="single" w:color="000000" w:sz="8" w:space="0"/>
              <w:bottom w:val="single" w:color="000000" w:sz="8" w:space="0"/>
              <w:right w:val="single" w:color="000000" w:sz="8" w:space="0"/>
            </w:tcBorders>
          </w:tcPr>
          <w:p w14:paraId="2F6A9A5F">
            <w:pPr>
              <w:widowControl w:val="0"/>
              <w:rPr>
                <w:rFonts w:ascii="Calibri" w:hAnsi="Calibri" w:eastAsia="宋体" w:cs="宋体"/>
                <w:kern w:val="2"/>
                <w:sz w:val="21"/>
                <w:szCs w:val="22"/>
                <w:lang w:eastAsia="zh-CN"/>
              </w:rPr>
            </w:pPr>
            <w:r>
              <w:rPr>
                <w:rFonts w:eastAsia="宋体"/>
                <w:kern w:val="2"/>
                <w:sz w:val="21"/>
                <w:szCs w:val="21"/>
                <w:lang w:eastAsia="zh-CN"/>
              </w:rPr>
              <w:t>诚信情况</w:t>
            </w:r>
          </w:p>
        </w:tc>
        <w:tc>
          <w:tcPr>
            <w:tcW w:w="710" w:type="dxa"/>
            <w:tcBorders>
              <w:top w:val="single" w:color="000000" w:sz="8" w:space="0"/>
              <w:left w:val="single" w:color="000000" w:sz="8" w:space="0"/>
              <w:bottom w:val="single" w:color="000000" w:sz="8" w:space="0"/>
              <w:right w:val="single" w:color="000000" w:sz="8" w:space="0"/>
            </w:tcBorders>
          </w:tcPr>
          <w:p w14:paraId="43048A7A">
            <w:pPr>
              <w:widowControl w:val="0"/>
              <w:wordWrap w:val="0"/>
              <w:jc w:val="center"/>
              <w:rPr>
                <w:rFonts w:ascii="宋体" w:hAnsi="宋体" w:eastAsia="宋体" w:cs="宋体"/>
                <w:kern w:val="2"/>
                <w:sz w:val="21"/>
                <w:szCs w:val="21"/>
                <w:lang w:eastAsia="zh-CN"/>
              </w:rPr>
            </w:pPr>
            <w:r>
              <w:rPr>
                <w:rFonts w:hint="eastAsia" w:ascii="宋体" w:hAnsi="宋体" w:eastAsia="宋体" w:cs="宋体"/>
                <w:b/>
                <w:bCs/>
                <w:color w:val="0000FF"/>
                <w:sz w:val="21"/>
                <w:szCs w:val="21"/>
                <w:lang w:eastAsia="zh-CN" w:bidi="ar"/>
              </w:rPr>
              <w:t>5</w:t>
            </w:r>
          </w:p>
        </w:tc>
        <w:tc>
          <w:tcPr>
            <w:tcW w:w="4330" w:type="dxa"/>
            <w:tcBorders>
              <w:top w:val="single" w:color="000000" w:sz="8" w:space="0"/>
              <w:left w:val="single" w:color="000000" w:sz="8" w:space="0"/>
              <w:bottom w:val="single" w:color="000000" w:sz="8" w:space="0"/>
              <w:right w:val="single" w:color="000000" w:sz="8" w:space="0"/>
            </w:tcBorders>
          </w:tcPr>
          <w:p w14:paraId="1625B295">
            <w:pPr>
              <w:widowControl w:val="0"/>
              <w:wordWrap w:val="0"/>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投标人存在《深圳市财政局政府采购供应商信用信息管理办法》（深财规〔2023〕3号）列明的一般行政处罚信息、一般违法失信记录信息的，本项不得分，不存在上述情形的本项得满分。投标人无需提供任何证明材料，评标过程中由工作人员向谈判小组提供有关供应商诚信查询结果。“深圳政府采购智慧平台信用库”作为供应商信用信息的法定查询渠道之一。</w:t>
            </w:r>
          </w:p>
          <w:p w14:paraId="53F85D0D">
            <w:pPr>
              <w:widowControl w:val="0"/>
              <w:wordWrap w:val="0"/>
              <w:jc w:val="both"/>
              <w:rPr>
                <w:rFonts w:ascii="宋体" w:hAnsi="宋体" w:eastAsia="宋体"/>
                <w:color w:val="FF0000"/>
                <w:kern w:val="2"/>
                <w:sz w:val="21"/>
                <w:lang w:eastAsia="zh-CN"/>
              </w:rPr>
            </w:pPr>
            <w:r>
              <w:rPr>
                <w:rFonts w:hint="eastAsia" w:ascii="宋体" w:hAnsi="宋体" w:eastAsia="宋体" w:cs="宋体"/>
                <w:kern w:val="2"/>
                <w:sz w:val="21"/>
                <w:szCs w:val="21"/>
                <w:lang w:eastAsia="zh-CN"/>
              </w:rPr>
              <w:t>查询渠道：通过“信用中国”（www.creditchina.gov.cn，下载信用信息报告）、“中国政府采购网”（www.ccgp.gov.cn）以及“深圳市政府采购监管网”（http://zfcg.sz.gov.cn）以及深圳市、区财政部门认可的“供应商诚信档案库”查查询供应商信用信息，信用信息以开标当日的查询结果为准。</w:t>
            </w:r>
          </w:p>
        </w:tc>
      </w:tr>
    </w:tbl>
    <w:p w14:paraId="39842FCC">
      <w:pPr>
        <w:rPr>
          <w:rFonts w:ascii="黑体" w:hAnsi="黑体" w:eastAsia="黑体"/>
          <w:color w:val="FF0000"/>
          <w:kern w:val="2"/>
          <w:sz w:val="28"/>
          <w:szCs w:val="28"/>
          <w:lang w:eastAsia="zh-CN"/>
        </w:rPr>
      </w:pPr>
    </w:p>
    <w:p w14:paraId="6176C91A">
      <w:pPr>
        <w:widowControl w:val="0"/>
        <w:spacing w:before="280" w:after="280" w:line="320" w:lineRule="exact"/>
        <w:jc w:val="center"/>
        <w:outlineLvl w:val="1"/>
        <w:rPr>
          <w:rFonts w:ascii="黑体" w:hAnsi="黑体" w:eastAsia="黑体"/>
          <w:kern w:val="2"/>
          <w:sz w:val="28"/>
          <w:szCs w:val="40"/>
          <w:lang w:eastAsia="zh-CN"/>
        </w:rPr>
      </w:pPr>
      <w:bookmarkStart w:id="3" w:name="OLE_LINK34"/>
      <w:r>
        <w:rPr>
          <w:rFonts w:hint="eastAsia" w:ascii="黑体" w:hAnsi="黑体" w:eastAsia="黑体"/>
          <w:kern w:val="2"/>
          <w:sz w:val="28"/>
          <w:szCs w:val="40"/>
          <w:lang w:eastAsia="zh-CN"/>
        </w:rPr>
        <w:t>定标方法</w:t>
      </w:r>
    </w:p>
    <w:p w14:paraId="3EAE00BB">
      <w:pPr>
        <w:widowControl w:val="0"/>
        <w:jc w:val="center"/>
        <w:rPr>
          <w:rFonts w:eastAsia="宋体"/>
          <w:kern w:val="2"/>
          <w:sz w:val="21"/>
          <w:lang w:eastAsia="zh-CN"/>
        </w:rPr>
      </w:pPr>
      <w:r>
        <w:rPr>
          <w:rFonts w:hint="eastAsia" w:eastAsia="宋体"/>
          <w:b/>
          <w:kern w:val="2"/>
          <w:sz w:val="21"/>
          <w:lang w:eastAsia="zh-CN"/>
        </w:rPr>
        <w:t>非评定分离项目</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8"/>
        <w:gridCol w:w="5978"/>
      </w:tblGrid>
      <w:tr w14:paraId="2908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vAlign w:val="center"/>
          </w:tcPr>
          <w:p w14:paraId="47CB66E1">
            <w:pPr>
              <w:widowControl w:val="0"/>
              <w:jc w:val="center"/>
              <w:rPr>
                <w:rFonts w:eastAsia="宋体"/>
                <w:b/>
                <w:bCs/>
                <w:kern w:val="2"/>
                <w:sz w:val="21"/>
                <w:lang w:eastAsia="zh-CN"/>
              </w:rPr>
            </w:pPr>
            <w:r>
              <w:rPr>
                <w:rFonts w:hint="eastAsia" w:eastAsia="宋体"/>
                <w:b/>
                <w:bCs/>
                <w:kern w:val="2"/>
                <w:sz w:val="21"/>
                <w:lang w:eastAsia="zh-CN"/>
              </w:rPr>
              <w:t>评标方法</w:t>
            </w:r>
          </w:p>
        </w:tc>
        <w:tc>
          <w:tcPr>
            <w:tcW w:w="5909" w:type="dxa"/>
            <w:vAlign w:val="center"/>
          </w:tcPr>
          <w:p w14:paraId="6CDDE24E">
            <w:pPr>
              <w:widowControl w:val="0"/>
              <w:jc w:val="center"/>
              <w:rPr>
                <w:rFonts w:eastAsia="宋体"/>
                <w:b/>
                <w:bCs/>
                <w:kern w:val="2"/>
                <w:sz w:val="21"/>
                <w:lang w:eastAsia="zh-CN"/>
              </w:rPr>
            </w:pPr>
            <w:r>
              <w:rPr>
                <w:rFonts w:hint="eastAsia" w:eastAsia="宋体"/>
                <w:b/>
                <w:bCs/>
                <w:kern w:val="2"/>
                <w:sz w:val="21"/>
                <w:lang w:eastAsia="zh-CN"/>
              </w:rPr>
              <w:t>综合评分法</w:t>
            </w:r>
          </w:p>
        </w:tc>
      </w:tr>
      <w:tr w14:paraId="3333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844" w:type="dxa"/>
            <w:vAlign w:val="center"/>
          </w:tcPr>
          <w:p w14:paraId="04509653">
            <w:pPr>
              <w:widowControl w:val="0"/>
              <w:jc w:val="center"/>
              <w:rPr>
                <w:rFonts w:eastAsia="宋体"/>
                <w:kern w:val="2"/>
                <w:sz w:val="21"/>
                <w:lang w:eastAsia="zh-CN"/>
              </w:rPr>
            </w:pPr>
            <w:r>
              <w:rPr>
                <w:rFonts w:hint="eastAsia" w:eastAsia="宋体"/>
                <w:kern w:val="2"/>
                <w:sz w:val="21"/>
                <w:lang w:eastAsia="zh-CN"/>
              </w:rPr>
              <w:t>候选中标供应商家数</w:t>
            </w:r>
          </w:p>
        </w:tc>
        <w:tc>
          <w:tcPr>
            <w:tcW w:w="5909" w:type="dxa"/>
            <w:vAlign w:val="center"/>
          </w:tcPr>
          <w:p w14:paraId="03042437">
            <w:pPr>
              <w:widowControl w:val="0"/>
              <w:jc w:val="center"/>
              <w:rPr>
                <w:rFonts w:eastAsia="宋体"/>
                <w:kern w:val="2"/>
                <w:sz w:val="21"/>
                <w:lang w:eastAsia="zh-CN"/>
              </w:rPr>
            </w:pPr>
            <w:r>
              <w:rPr>
                <w:rFonts w:hint="eastAsia" w:eastAsia="宋体"/>
                <w:kern w:val="2"/>
                <w:sz w:val="21"/>
                <w:lang w:eastAsia="zh-CN"/>
              </w:rPr>
              <w:t>3</w:t>
            </w:r>
          </w:p>
        </w:tc>
      </w:tr>
      <w:tr w14:paraId="70C1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vAlign w:val="center"/>
          </w:tcPr>
          <w:p w14:paraId="24B298B0">
            <w:pPr>
              <w:widowControl w:val="0"/>
              <w:jc w:val="center"/>
              <w:rPr>
                <w:rFonts w:eastAsia="宋体"/>
                <w:kern w:val="2"/>
                <w:sz w:val="21"/>
                <w:lang w:eastAsia="zh-CN"/>
              </w:rPr>
            </w:pPr>
            <w:r>
              <w:rPr>
                <w:rFonts w:hint="eastAsia" w:eastAsia="宋体"/>
                <w:kern w:val="2"/>
                <w:sz w:val="21"/>
                <w:lang w:eastAsia="zh-CN"/>
              </w:rPr>
              <w:t>中标供应商家数</w:t>
            </w:r>
          </w:p>
        </w:tc>
        <w:tc>
          <w:tcPr>
            <w:tcW w:w="5909" w:type="dxa"/>
            <w:vAlign w:val="center"/>
          </w:tcPr>
          <w:p w14:paraId="494D9F22">
            <w:pPr>
              <w:widowControl w:val="0"/>
              <w:jc w:val="center"/>
              <w:rPr>
                <w:rFonts w:eastAsia="宋体"/>
                <w:kern w:val="2"/>
                <w:sz w:val="21"/>
                <w:lang w:eastAsia="zh-CN"/>
              </w:rPr>
            </w:pPr>
            <w:r>
              <w:rPr>
                <w:rFonts w:hint="eastAsia" w:eastAsia="宋体"/>
                <w:kern w:val="2"/>
                <w:sz w:val="21"/>
                <w:lang w:eastAsia="zh-CN"/>
              </w:rPr>
              <w:t>1</w:t>
            </w:r>
          </w:p>
        </w:tc>
      </w:tr>
    </w:tbl>
    <w:p w14:paraId="293BF2C5">
      <w:pPr>
        <w:widowControl w:val="0"/>
        <w:spacing w:line="320" w:lineRule="exact"/>
        <w:ind w:firstLine="411" w:firstLineChars="196"/>
        <w:jc w:val="both"/>
        <w:rPr>
          <w:rFonts w:eastAsia="宋体"/>
          <w:kern w:val="2"/>
          <w:sz w:val="21"/>
          <w:szCs w:val="21"/>
          <w:lang w:eastAsia="zh-CN"/>
        </w:rPr>
      </w:pPr>
    </w:p>
    <w:p w14:paraId="5CA9013B">
      <w:pPr>
        <w:widowControl w:val="0"/>
        <w:ind w:firstLine="411" w:firstLineChars="196"/>
        <w:jc w:val="both"/>
        <w:rPr>
          <w:rFonts w:ascii="宋体" w:hAnsi="宋体" w:eastAsia="宋体" w:cs="宋体"/>
          <w:color w:val="FF0000"/>
          <w:sz w:val="21"/>
          <w:szCs w:val="21"/>
          <w:lang w:eastAsia="zh-CN"/>
        </w:rPr>
      </w:pPr>
      <w:r>
        <w:rPr>
          <w:rFonts w:hint="eastAsia" w:ascii="宋体" w:hAnsi="宋体" w:eastAsia="宋体" w:cs="宋体"/>
          <w:sz w:val="21"/>
          <w:szCs w:val="21"/>
          <w:lang w:eastAsia="zh-CN"/>
        </w:rPr>
        <w:t>评标结果按评审后得分由高到低顺序排列。得分相同的，按响应报价由低到高顺序排列。得分且响应报价相同的并列。响应文件满足招标文件全部实质性要求，且按照评审因素的量化指标评审得分最高的投标人为排名第一的中标候选人（排名第二的投标人为第一递补中标候选人、排名第三的投标人为第二递补中标候选人）。中标候选人并列的，采取随机抽取的方式确定，具体操作办法及流程由评标委员会确定。</w:t>
      </w:r>
      <w:r>
        <w:rPr>
          <w:rFonts w:hint="eastAsia" w:ascii="宋体" w:hAnsi="宋体" w:eastAsia="宋体" w:cs="宋体"/>
          <w:color w:val="FF0000"/>
          <w:sz w:val="21"/>
          <w:szCs w:val="21"/>
          <w:lang w:eastAsia="zh-CN"/>
        </w:rPr>
        <w:t>如排名第一的中标候选人被认定投标或中标无效，符合法定情形时，依法顺次替补；合格供应商不符合法定数量时，应当重新开展采购活动。</w:t>
      </w:r>
    </w:p>
    <w:p w14:paraId="218DA626">
      <w:pPr>
        <w:widowControl w:val="0"/>
        <w:ind w:firstLine="411" w:firstLineChars="196"/>
        <w:jc w:val="both"/>
        <w:rPr>
          <w:rFonts w:ascii="宋体" w:hAnsi="宋体" w:eastAsia="宋体" w:cs="宋体"/>
          <w:sz w:val="21"/>
          <w:szCs w:val="21"/>
          <w:lang w:eastAsia="zh-CN"/>
        </w:rPr>
      </w:pPr>
    </w:p>
    <w:p w14:paraId="58EE4480">
      <w:pPr>
        <w:widowControl w:val="0"/>
        <w:ind w:firstLine="630" w:firstLineChars="300"/>
        <w:jc w:val="both"/>
        <w:rPr>
          <w:rFonts w:eastAsia="宋体"/>
          <w:kern w:val="2"/>
          <w:sz w:val="21"/>
          <w:lang w:eastAsia="zh-CN"/>
        </w:rPr>
      </w:pPr>
    </w:p>
    <w:p w14:paraId="7B6EDCA1">
      <w:pPr>
        <w:widowControl w:val="0"/>
        <w:spacing w:before="280" w:after="280" w:line="320" w:lineRule="exact"/>
        <w:jc w:val="center"/>
        <w:outlineLvl w:val="1"/>
        <w:rPr>
          <w:rFonts w:ascii="黑体" w:hAnsi="黑体" w:eastAsia="黑体"/>
          <w:kern w:val="2"/>
          <w:sz w:val="28"/>
          <w:szCs w:val="40"/>
          <w:lang w:eastAsia="zh-CN"/>
        </w:rPr>
      </w:pPr>
      <w:r>
        <w:rPr>
          <w:rFonts w:hint="eastAsia" w:eastAsia="宋体"/>
          <w:b/>
          <w:kern w:val="2"/>
          <w:lang w:eastAsia="zh-CN"/>
        </w:rPr>
        <w:t>采购代理服务费</w:t>
      </w:r>
    </w:p>
    <w:p w14:paraId="62A85824">
      <w:pPr>
        <w:widowControl w:val="0"/>
        <w:ind w:firstLine="422" w:firstLineChars="200"/>
        <w:jc w:val="both"/>
        <w:rPr>
          <w:rFonts w:eastAsia="宋体"/>
          <w:b/>
          <w:kern w:val="2"/>
          <w:sz w:val="21"/>
          <w:lang w:eastAsia="zh-CN"/>
        </w:rPr>
      </w:pPr>
      <w:bookmarkStart w:id="4" w:name="OLE_LINK29"/>
      <w:r>
        <w:rPr>
          <w:rFonts w:hint="eastAsia" w:eastAsia="宋体"/>
          <w:b/>
          <w:kern w:val="2"/>
          <w:sz w:val="21"/>
          <w:lang w:eastAsia="zh-CN"/>
        </w:rPr>
        <w:t>本项目为代理服务项目，将向中标（成交）供应商收取代理服务费。</w:t>
      </w:r>
    </w:p>
    <w:p w14:paraId="43C31370">
      <w:pPr>
        <w:widowControl w:val="0"/>
        <w:ind w:firstLine="420" w:firstLineChars="200"/>
        <w:jc w:val="both"/>
        <w:rPr>
          <w:rFonts w:eastAsia="宋体"/>
          <w:kern w:val="2"/>
          <w:sz w:val="21"/>
          <w:lang w:eastAsia="zh-CN"/>
        </w:rPr>
      </w:pPr>
      <w:r>
        <w:rPr>
          <w:rFonts w:hint="eastAsia" w:eastAsia="宋体"/>
          <w:kern w:val="2"/>
          <w:sz w:val="21"/>
          <w:lang w:eastAsia="zh-CN"/>
        </w:rPr>
        <w:t>中标</w:t>
      </w:r>
      <w:bookmarkEnd w:id="4"/>
      <w:r>
        <w:rPr>
          <w:rFonts w:hint="eastAsia" w:eastAsia="宋体"/>
          <w:kern w:val="2"/>
          <w:sz w:val="21"/>
          <w:lang w:eastAsia="zh-CN"/>
        </w:rPr>
        <w:t>（成交）供应商应在</w:t>
      </w:r>
      <w:r>
        <w:rPr>
          <w:rFonts w:hint="eastAsia" w:eastAsia="宋体"/>
          <w:color w:val="0000FF"/>
          <w:kern w:val="2"/>
          <w:sz w:val="21"/>
          <w:lang w:eastAsia="zh-CN"/>
        </w:rPr>
        <w:t>中标（成交)结果公示结束之日的次日起7个工作日</w:t>
      </w:r>
      <w:r>
        <w:rPr>
          <w:rFonts w:hint="eastAsia" w:eastAsia="宋体"/>
          <w:kern w:val="2"/>
          <w:sz w:val="21"/>
          <w:lang w:eastAsia="zh-CN"/>
        </w:rPr>
        <w:t>内须向深圳公共资源交易中心（深圳交易集团有限公司罗湖分公司）交纳代理服务费。若因中标（成交）供应商交纳代理服务费所产生的时间影响到合同签订的，由中标（成交）供应商自行承担责任。代理服务费标准参照下列标准收取。</w:t>
      </w:r>
      <w:r>
        <w:rPr>
          <w:rFonts w:hint="eastAsia" w:eastAsia="宋体"/>
          <w:b/>
          <w:color w:val="FF0000"/>
          <w:kern w:val="2"/>
          <w:sz w:val="21"/>
          <w:lang w:eastAsia="zh-CN"/>
        </w:rPr>
        <w:t>本项目类型为服务采购：</w:t>
      </w:r>
    </w:p>
    <w:p w14:paraId="72D28128">
      <w:pPr>
        <w:widowControl w:val="0"/>
        <w:ind w:firstLine="420" w:firstLineChars="200"/>
        <w:jc w:val="both"/>
        <w:rPr>
          <w:rFonts w:eastAsia="宋体"/>
          <w:kern w:val="2"/>
          <w:sz w:val="21"/>
          <w:lang w:eastAsia="zh-CN"/>
        </w:rPr>
      </w:pPr>
      <w:r>
        <w:rPr>
          <w:rFonts w:hint="eastAsia" w:eastAsia="宋体"/>
          <w:kern w:val="2"/>
          <w:sz w:val="21"/>
          <w:lang w:eastAsia="zh-CN"/>
        </w:rPr>
        <w:t>（1）代理服务费以《中标（成交）通知书》确定的中标（成交）金额作为计算基数，按差额定率累进法计算。</w:t>
      </w:r>
    </w:p>
    <w:p w14:paraId="299B04FF">
      <w:pPr>
        <w:widowControl w:val="0"/>
        <w:ind w:firstLine="420" w:firstLineChars="200"/>
        <w:jc w:val="both"/>
        <w:rPr>
          <w:rFonts w:eastAsia="宋体"/>
          <w:kern w:val="2"/>
          <w:sz w:val="21"/>
          <w:lang w:eastAsia="zh-CN"/>
        </w:rPr>
      </w:pPr>
      <w:r>
        <w:rPr>
          <w:rFonts w:hint="eastAsia" w:eastAsia="宋体"/>
          <w:kern w:val="2"/>
          <w:sz w:val="21"/>
          <w:lang w:eastAsia="zh-CN"/>
        </w:rPr>
        <w:t>（2）中标（成交）金额的各部分费率如下表：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7"/>
        <w:gridCol w:w="1870"/>
        <w:gridCol w:w="1870"/>
        <w:gridCol w:w="1870"/>
      </w:tblGrid>
      <w:tr w14:paraId="6B1F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14:paraId="16F62846">
            <w:pPr>
              <w:spacing w:line="360" w:lineRule="auto"/>
              <w:jc w:val="center"/>
              <w:rPr>
                <w:rFonts w:eastAsia="宋体"/>
                <w:kern w:val="2"/>
                <w:sz w:val="21"/>
                <w:lang w:eastAsia="zh-CN"/>
              </w:rPr>
            </w:pPr>
            <w:r>
              <w:rPr>
                <w:rFonts w:hint="eastAsia" w:eastAsia="宋体"/>
                <w:kern w:val="2"/>
                <w:sz w:val="21"/>
                <w:lang w:eastAsia="zh-CN"/>
              </w:rPr>
              <w:t>中标（成交）金额</w:t>
            </w:r>
          </w:p>
        </w:tc>
        <w:tc>
          <w:tcPr>
            <w:tcW w:w="1799" w:type="dxa"/>
            <w:vAlign w:val="center"/>
          </w:tcPr>
          <w:p w14:paraId="7EF4B608">
            <w:pPr>
              <w:spacing w:line="360" w:lineRule="auto"/>
              <w:jc w:val="center"/>
              <w:rPr>
                <w:rFonts w:eastAsia="宋体"/>
                <w:kern w:val="2"/>
                <w:sz w:val="21"/>
                <w:lang w:eastAsia="zh-CN"/>
              </w:rPr>
            </w:pPr>
            <w:r>
              <w:rPr>
                <w:rFonts w:hint="eastAsia" w:eastAsia="宋体"/>
                <w:kern w:val="2"/>
                <w:sz w:val="21"/>
                <w:lang w:eastAsia="zh-CN"/>
              </w:rPr>
              <w:t>货物采购</w:t>
            </w:r>
          </w:p>
        </w:tc>
        <w:tc>
          <w:tcPr>
            <w:tcW w:w="1799" w:type="dxa"/>
            <w:vAlign w:val="center"/>
          </w:tcPr>
          <w:p w14:paraId="215F6E80">
            <w:pPr>
              <w:spacing w:line="360" w:lineRule="auto"/>
              <w:jc w:val="center"/>
              <w:rPr>
                <w:rFonts w:eastAsia="宋体"/>
                <w:kern w:val="2"/>
                <w:sz w:val="21"/>
                <w:lang w:eastAsia="zh-CN"/>
              </w:rPr>
            </w:pPr>
            <w:r>
              <w:rPr>
                <w:rFonts w:hint="eastAsia" w:eastAsia="宋体"/>
                <w:kern w:val="2"/>
                <w:sz w:val="21"/>
                <w:lang w:eastAsia="zh-CN"/>
              </w:rPr>
              <w:t>服务采购</w:t>
            </w:r>
          </w:p>
        </w:tc>
        <w:tc>
          <w:tcPr>
            <w:tcW w:w="1799" w:type="dxa"/>
            <w:vAlign w:val="center"/>
          </w:tcPr>
          <w:p w14:paraId="2ACF59F2">
            <w:pPr>
              <w:spacing w:line="360" w:lineRule="auto"/>
              <w:jc w:val="center"/>
              <w:rPr>
                <w:rFonts w:eastAsia="宋体"/>
                <w:kern w:val="2"/>
                <w:sz w:val="21"/>
                <w:lang w:eastAsia="zh-CN"/>
              </w:rPr>
            </w:pPr>
            <w:r>
              <w:rPr>
                <w:rFonts w:hint="eastAsia" w:eastAsia="宋体"/>
                <w:kern w:val="2"/>
                <w:sz w:val="21"/>
                <w:lang w:eastAsia="zh-CN"/>
              </w:rPr>
              <w:t>工程采购</w:t>
            </w:r>
          </w:p>
        </w:tc>
      </w:tr>
      <w:tr w14:paraId="718E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7C878C4">
            <w:pPr>
              <w:spacing w:line="360" w:lineRule="auto"/>
              <w:jc w:val="center"/>
              <w:rPr>
                <w:rFonts w:eastAsia="宋体"/>
                <w:kern w:val="2"/>
                <w:sz w:val="21"/>
                <w:lang w:eastAsia="zh-CN"/>
              </w:rPr>
            </w:pPr>
            <w:r>
              <w:rPr>
                <w:rFonts w:hint="eastAsia" w:eastAsia="宋体"/>
                <w:kern w:val="2"/>
                <w:sz w:val="21"/>
                <w:lang w:eastAsia="zh-CN"/>
              </w:rPr>
              <w:t>100万元以下</w:t>
            </w:r>
          </w:p>
        </w:tc>
        <w:tc>
          <w:tcPr>
            <w:tcW w:w="1799" w:type="dxa"/>
            <w:vAlign w:val="center"/>
          </w:tcPr>
          <w:p w14:paraId="6534AC52">
            <w:pPr>
              <w:spacing w:line="360" w:lineRule="auto"/>
              <w:jc w:val="center"/>
              <w:rPr>
                <w:rFonts w:eastAsia="宋体"/>
                <w:kern w:val="2"/>
                <w:sz w:val="21"/>
                <w:lang w:eastAsia="zh-CN"/>
              </w:rPr>
            </w:pPr>
            <w:r>
              <w:rPr>
                <w:rFonts w:hint="eastAsia" w:eastAsia="宋体"/>
                <w:kern w:val="2"/>
                <w:sz w:val="21"/>
                <w:lang w:eastAsia="zh-CN"/>
              </w:rPr>
              <w:t>1.5%</w:t>
            </w:r>
          </w:p>
        </w:tc>
        <w:tc>
          <w:tcPr>
            <w:tcW w:w="1799" w:type="dxa"/>
            <w:vAlign w:val="center"/>
          </w:tcPr>
          <w:p w14:paraId="31105995">
            <w:pPr>
              <w:spacing w:line="360" w:lineRule="auto"/>
              <w:jc w:val="center"/>
              <w:rPr>
                <w:rFonts w:eastAsia="宋体"/>
                <w:kern w:val="2"/>
                <w:sz w:val="21"/>
                <w:lang w:eastAsia="zh-CN"/>
              </w:rPr>
            </w:pPr>
            <w:r>
              <w:rPr>
                <w:rFonts w:hint="eastAsia" w:eastAsia="宋体"/>
                <w:kern w:val="2"/>
                <w:sz w:val="21"/>
                <w:lang w:eastAsia="zh-CN"/>
              </w:rPr>
              <w:t>1.5%</w:t>
            </w:r>
          </w:p>
        </w:tc>
        <w:tc>
          <w:tcPr>
            <w:tcW w:w="1799" w:type="dxa"/>
            <w:vAlign w:val="center"/>
          </w:tcPr>
          <w:p w14:paraId="454558C2">
            <w:pPr>
              <w:spacing w:line="360" w:lineRule="auto"/>
              <w:jc w:val="center"/>
              <w:rPr>
                <w:rFonts w:eastAsia="宋体"/>
                <w:kern w:val="2"/>
                <w:sz w:val="21"/>
                <w:lang w:eastAsia="zh-CN"/>
              </w:rPr>
            </w:pPr>
            <w:r>
              <w:rPr>
                <w:rFonts w:hint="eastAsia" w:eastAsia="宋体"/>
                <w:kern w:val="2"/>
                <w:sz w:val="21"/>
                <w:lang w:eastAsia="zh-CN"/>
              </w:rPr>
              <w:t>1.0%</w:t>
            </w:r>
          </w:p>
        </w:tc>
      </w:tr>
      <w:tr w14:paraId="42BE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2820E2C3">
            <w:pPr>
              <w:spacing w:line="360" w:lineRule="auto"/>
              <w:jc w:val="center"/>
              <w:rPr>
                <w:rFonts w:eastAsia="宋体"/>
                <w:kern w:val="2"/>
                <w:sz w:val="21"/>
                <w:lang w:eastAsia="zh-CN"/>
              </w:rPr>
            </w:pPr>
            <w:r>
              <w:rPr>
                <w:rFonts w:hint="eastAsia" w:eastAsia="宋体"/>
                <w:kern w:val="2"/>
                <w:sz w:val="21"/>
                <w:lang w:eastAsia="zh-CN"/>
              </w:rPr>
              <w:t>100万元（含）-500万元</w:t>
            </w:r>
          </w:p>
        </w:tc>
        <w:tc>
          <w:tcPr>
            <w:tcW w:w="1799" w:type="dxa"/>
            <w:vAlign w:val="center"/>
          </w:tcPr>
          <w:p w14:paraId="57CC4179">
            <w:pPr>
              <w:spacing w:line="360" w:lineRule="auto"/>
              <w:jc w:val="center"/>
              <w:rPr>
                <w:rFonts w:eastAsia="宋体"/>
                <w:kern w:val="2"/>
                <w:sz w:val="21"/>
                <w:lang w:eastAsia="zh-CN"/>
              </w:rPr>
            </w:pPr>
            <w:r>
              <w:rPr>
                <w:rFonts w:hint="eastAsia" w:eastAsia="宋体"/>
                <w:kern w:val="2"/>
                <w:sz w:val="21"/>
                <w:lang w:eastAsia="zh-CN"/>
              </w:rPr>
              <w:t>1.1%</w:t>
            </w:r>
          </w:p>
        </w:tc>
        <w:tc>
          <w:tcPr>
            <w:tcW w:w="1799" w:type="dxa"/>
            <w:vAlign w:val="center"/>
          </w:tcPr>
          <w:p w14:paraId="1385E4D0">
            <w:pPr>
              <w:spacing w:line="360" w:lineRule="auto"/>
              <w:jc w:val="center"/>
              <w:rPr>
                <w:rFonts w:eastAsia="宋体"/>
                <w:kern w:val="2"/>
                <w:sz w:val="21"/>
                <w:lang w:eastAsia="zh-CN"/>
              </w:rPr>
            </w:pPr>
            <w:r>
              <w:rPr>
                <w:rFonts w:hint="eastAsia" w:eastAsia="宋体"/>
                <w:kern w:val="2"/>
                <w:sz w:val="21"/>
                <w:lang w:eastAsia="zh-CN"/>
              </w:rPr>
              <w:t>0.8%</w:t>
            </w:r>
          </w:p>
        </w:tc>
        <w:tc>
          <w:tcPr>
            <w:tcW w:w="1799" w:type="dxa"/>
            <w:vAlign w:val="center"/>
          </w:tcPr>
          <w:p w14:paraId="73DF96E1">
            <w:pPr>
              <w:spacing w:line="360" w:lineRule="auto"/>
              <w:jc w:val="center"/>
              <w:rPr>
                <w:rFonts w:eastAsia="宋体"/>
                <w:kern w:val="2"/>
                <w:sz w:val="21"/>
                <w:lang w:eastAsia="zh-CN"/>
              </w:rPr>
            </w:pPr>
            <w:r>
              <w:rPr>
                <w:rFonts w:hint="eastAsia" w:eastAsia="宋体"/>
                <w:kern w:val="2"/>
                <w:sz w:val="21"/>
                <w:lang w:eastAsia="zh-CN"/>
              </w:rPr>
              <w:t>0.7%</w:t>
            </w:r>
          </w:p>
        </w:tc>
      </w:tr>
      <w:tr w14:paraId="7941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3C40DBD">
            <w:pPr>
              <w:spacing w:line="360" w:lineRule="auto"/>
              <w:jc w:val="center"/>
              <w:rPr>
                <w:rFonts w:eastAsia="宋体"/>
                <w:kern w:val="2"/>
                <w:sz w:val="21"/>
                <w:lang w:eastAsia="zh-CN"/>
              </w:rPr>
            </w:pPr>
            <w:r>
              <w:rPr>
                <w:rFonts w:hint="eastAsia" w:eastAsia="宋体"/>
                <w:kern w:val="2"/>
                <w:sz w:val="21"/>
                <w:lang w:eastAsia="zh-CN"/>
              </w:rPr>
              <w:t>500万元（含）-1000万元</w:t>
            </w:r>
          </w:p>
        </w:tc>
        <w:tc>
          <w:tcPr>
            <w:tcW w:w="1799" w:type="dxa"/>
            <w:vAlign w:val="center"/>
          </w:tcPr>
          <w:p w14:paraId="792CF661">
            <w:pPr>
              <w:spacing w:line="360" w:lineRule="auto"/>
              <w:jc w:val="center"/>
              <w:rPr>
                <w:rFonts w:eastAsia="宋体"/>
                <w:kern w:val="2"/>
                <w:sz w:val="21"/>
                <w:lang w:eastAsia="zh-CN"/>
              </w:rPr>
            </w:pPr>
            <w:r>
              <w:rPr>
                <w:rFonts w:hint="eastAsia" w:eastAsia="宋体"/>
                <w:kern w:val="2"/>
                <w:sz w:val="21"/>
                <w:lang w:eastAsia="zh-CN"/>
              </w:rPr>
              <w:t>0.8%</w:t>
            </w:r>
          </w:p>
        </w:tc>
        <w:tc>
          <w:tcPr>
            <w:tcW w:w="1799" w:type="dxa"/>
            <w:vAlign w:val="center"/>
          </w:tcPr>
          <w:p w14:paraId="67F4BD29">
            <w:pPr>
              <w:spacing w:line="360" w:lineRule="auto"/>
              <w:jc w:val="center"/>
              <w:rPr>
                <w:rFonts w:eastAsia="宋体"/>
                <w:kern w:val="2"/>
                <w:sz w:val="21"/>
                <w:lang w:eastAsia="zh-CN"/>
              </w:rPr>
            </w:pPr>
            <w:r>
              <w:rPr>
                <w:rFonts w:hint="eastAsia" w:eastAsia="宋体"/>
                <w:kern w:val="2"/>
                <w:sz w:val="21"/>
                <w:lang w:eastAsia="zh-CN"/>
              </w:rPr>
              <w:t>0.45%</w:t>
            </w:r>
          </w:p>
        </w:tc>
        <w:tc>
          <w:tcPr>
            <w:tcW w:w="1799" w:type="dxa"/>
            <w:vAlign w:val="center"/>
          </w:tcPr>
          <w:p w14:paraId="0AFA13A0">
            <w:pPr>
              <w:spacing w:line="360" w:lineRule="auto"/>
              <w:jc w:val="center"/>
              <w:rPr>
                <w:rFonts w:eastAsia="宋体"/>
                <w:kern w:val="2"/>
                <w:sz w:val="21"/>
                <w:lang w:eastAsia="zh-CN"/>
              </w:rPr>
            </w:pPr>
            <w:r>
              <w:rPr>
                <w:rFonts w:hint="eastAsia" w:eastAsia="宋体"/>
                <w:kern w:val="2"/>
                <w:sz w:val="21"/>
                <w:lang w:eastAsia="zh-CN"/>
              </w:rPr>
              <w:t>0.55%</w:t>
            </w:r>
          </w:p>
        </w:tc>
      </w:tr>
      <w:tr w14:paraId="7B2D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490FE272">
            <w:pPr>
              <w:spacing w:line="360" w:lineRule="auto"/>
              <w:jc w:val="center"/>
              <w:rPr>
                <w:rFonts w:eastAsia="宋体"/>
                <w:kern w:val="2"/>
                <w:sz w:val="21"/>
                <w:lang w:eastAsia="zh-CN"/>
              </w:rPr>
            </w:pPr>
            <w:r>
              <w:rPr>
                <w:rFonts w:hint="eastAsia" w:eastAsia="宋体"/>
                <w:kern w:val="2"/>
                <w:sz w:val="21"/>
                <w:lang w:eastAsia="zh-CN"/>
              </w:rPr>
              <w:t>1000万元（含）-5000万元</w:t>
            </w:r>
          </w:p>
        </w:tc>
        <w:tc>
          <w:tcPr>
            <w:tcW w:w="1799" w:type="dxa"/>
            <w:vAlign w:val="center"/>
          </w:tcPr>
          <w:p w14:paraId="3639F687">
            <w:pPr>
              <w:spacing w:line="360" w:lineRule="auto"/>
              <w:jc w:val="center"/>
              <w:rPr>
                <w:rFonts w:eastAsia="宋体"/>
                <w:kern w:val="2"/>
                <w:sz w:val="21"/>
                <w:lang w:eastAsia="zh-CN"/>
              </w:rPr>
            </w:pPr>
            <w:r>
              <w:rPr>
                <w:rFonts w:hint="eastAsia" w:eastAsia="宋体"/>
                <w:kern w:val="2"/>
                <w:sz w:val="21"/>
                <w:lang w:eastAsia="zh-CN"/>
              </w:rPr>
              <w:t>0.5%</w:t>
            </w:r>
          </w:p>
        </w:tc>
        <w:tc>
          <w:tcPr>
            <w:tcW w:w="1799" w:type="dxa"/>
            <w:vAlign w:val="center"/>
          </w:tcPr>
          <w:p w14:paraId="10D39C89">
            <w:pPr>
              <w:spacing w:line="360" w:lineRule="auto"/>
              <w:jc w:val="center"/>
              <w:rPr>
                <w:rFonts w:eastAsia="宋体"/>
                <w:kern w:val="2"/>
                <w:sz w:val="21"/>
                <w:lang w:eastAsia="zh-CN"/>
              </w:rPr>
            </w:pPr>
            <w:r>
              <w:rPr>
                <w:rFonts w:hint="eastAsia" w:eastAsia="宋体"/>
                <w:kern w:val="2"/>
                <w:sz w:val="21"/>
                <w:lang w:eastAsia="zh-CN"/>
              </w:rPr>
              <w:t>0.25%</w:t>
            </w:r>
          </w:p>
        </w:tc>
        <w:tc>
          <w:tcPr>
            <w:tcW w:w="1799" w:type="dxa"/>
            <w:vAlign w:val="center"/>
          </w:tcPr>
          <w:p w14:paraId="63A7FAFB">
            <w:pPr>
              <w:spacing w:line="360" w:lineRule="auto"/>
              <w:jc w:val="center"/>
              <w:rPr>
                <w:rFonts w:eastAsia="宋体"/>
                <w:kern w:val="2"/>
                <w:sz w:val="21"/>
                <w:lang w:eastAsia="zh-CN"/>
              </w:rPr>
            </w:pPr>
            <w:r>
              <w:rPr>
                <w:rFonts w:hint="eastAsia" w:eastAsia="宋体"/>
                <w:kern w:val="2"/>
                <w:sz w:val="21"/>
                <w:lang w:eastAsia="zh-CN"/>
              </w:rPr>
              <w:t>0.35%</w:t>
            </w:r>
          </w:p>
        </w:tc>
      </w:tr>
      <w:tr w14:paraId="5CB9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035BF9B">
            <w:pPr>
              <w:spacing w:line="360" w:lineRule="auto"/>
              <w:jc w:val="center"/>
              <w:rPr>
                <w:rFonts w:eastAsia="宋体"/>
                <w:kern w:val="2"/>
                <w:sz w:val="21"/>
                <w:lang w:eastAsia="zh-CN"/>
              </w:rPr>
            </w:pPr>
            <w:r>
              <w:rPr>
                <w:rFonts w:hint="eastAsia" w:eastAsia="宋体"/>
                <w:kern w:val="2"/>
                <w:sz w:val="21"/>
                <w:lang w:eastAsia="zh-CN"/>
              </w:rPr>
              <w:t>5000万元（含）-1亿元</w:t>
            </w:r>
          </w:p>
        </w:tc>
        <w:tc>
          <w:tcPr>
            <w:tcW w:w="1799" w:type="dxa"/>
            <w:vAlign w:val="center"/>
          </w:tcPr>
          <w:p w14:paraId="23128F9C">
            <w:pPr>
              <w:spacing w:line="360" w:lineRule="auto"/>
              <w:jc w:val="center"/>
              <w:rPr>
                <w:rFonts w:eastAsia="宋体"/>
                <w:kern w:val="2"/>
                <w:sz w:val="21"/>
                <w:lang w:eastAsia="zh-CN"/>
              </w:rPr>
            </w:pPr>
            <w:r>
              <w:rPr>
                <w:rFonts w:hint="eastAsia" w:eastAsia="宋体"/>
                <w:kern w:val="2"/>
                <w:sz w:val="21"/>
                <w:lang w:eastAsia="zh-CN"/>
              </w:rPr>
              <w:t>0.25%</w:t>
            </w:r>
          </w:p>
        </w:tc>
        <w:tc>
          <w:tcPr>
            <w:tcW w:w="1799" w:type="dxa"/>
            <w:vAlign w:val="center"/>
          </w:tcPr>
          <w:p w14:paraId="18258C8E">
            <w:pPr>
              <w:spacing w:line="360" w:lineRule="auto"/>
              <w:jc w:val="center"/>
              <w:rPr>
                <w:rFonts w:eastAsia="宋体"/>
                <w:kern w:val="2"/>
                <w:sz w:val="21"/>
                <w:lang w:eastAsia="zh-CN"/>
              </w:rPr>
            </w:pPr>
            <w:r>
              <w:rPr>
                <w:rFonts w:hint="eastAsia" w:eastAsia="宋体"/>
                <w:kern w:val="2"/>
                <w:sz w:val="21"/>
                <w:lang w:eastAsia="zh-CN"/>
              </w:rPr>
              <w:t>0.1%</w:t>
            </w:r>
          </w:p>
        </w:tc>
        <w:tc>
          <w:tcPr>
            <w:tcW w:w="1799" w:type="dxa"/>
            <w:vAlign w:val="center"/>
          </w:tcPr>
          <w:p w14:paraId="2C025FF0">
            <w:pPr>
              <w:spacing w:line="360" w:lineRule="auto"/>
              <w:jc w:val="center"/>
              <w:rPr>
                <w:rFonts w:eastAsia="宋体"/>
                <w:kern w:val="2"/>
                <w:sz w:val="21"/>
                <w:lang w:eastAsia="zh-CN"/>
              </w:rPr>
            </w:pPr>
            <w:r>
              <w:rPr>
                <w:rFonts w:hint="eastAsia" w:eastAsia="宋体"/>
                <w:kern w:val="2"/>
                <w:sz w:val="21"/>
                <w:lang w:eastAsia="zh-CN"/>
              </w:rPr>
              <w:t>0.2%</w:t>
            </w:r>
          </w:p>
        </w:tc>
      </w:tr>
      <w:tr w14:paraId="5B36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D7995DE">
            <w:pPr>
              <w:spacing w:line="360" w:lineRule="auto"/>
              <w:jc w:val="center"/>
              <w:rPr>
                <w:rFonts w:eastAsia="宋体"/>
                <w:kern w:val="2"/>
                <w:sz w:val="21"/>
                <w:lang w:eastAsia="zh-CN"/>
              </w:rPr>
            </w:pPr>
            <w:r>
              <w:rPr>
                <w:rFonts w:hint="eastAsia" w:eastAsia="宋体"/>
                <w:kern w:val="2"/>
                <w:sz w:val="21"/>
                <w:lang w:eastAsia="zh-CN"/>
              </w:rPr>
              <w:t>1亿元（含）-5亿元</w:t>
            </w:r>
          </w:p>
        </w:tc>
        <w:tc>
          <w:tcPr>
            <w:tcW w:w="1799" w:type="dxa"/>
            <w:vAlign w:val="center"/>
          </w:tcPr>
          <w:p w14:paraId="61465A29">
            <w:pPr>
              <w:spacing w:line="360" w:lineRule="auto"/>
              <w:jc w:val="center"/>
              <w:rPr>
                <w:rFonts w:eastAsia="宋体"/>
                <w:kern w:val="2"/>
                <w:sz w:val="21"/>
                <w:lang w:eastAsia="zh-CN"/>
              </w:rPr>
            </w:pPr>
            <w:r>
              <w:rPr>
                <w:rFonts w:hint="eastAsia" w:eastAsia="宋体"/>
                <w:kern w:val="2"/>
                <w:sz w:val="21"/>
                <w:lang w:eastAsia="zh-CN"/>
              </w:rPr>
              <w:t>0.05%</w:t>
            </w:r>
          </w:p>
        </w:tc>
        <w:tc>
          <w:tcPr>
            <w:tcW w:w="1799" w:type="dxa"/>
            <w:vAlign w:val="center"/>
          </w:tcPr>
          <w:p w14:paraId="57DC3493">
            <w:pPr>
              <w:spacing w:line="360" w:lineRule="auto"/>
              <w:jc w:val="center"/>
              <w:rPr>
                <w:rFonts w:eastAsia="宋体"/>
                <w:kern w:val="2"/>
                <w:sz w:val="21"/>
                <w:lang w:eastAsia="zh-CN"/>
              </w:rPr>
            </w:pPr>
            <w:r>
              <w:rPr>
                <w:rFonts w:hint="eastAsia" w:eastAsia="宋体"/>
                <w:kern w:val="2"/>
                <w:sz w:val="21"/>
                <w:lang w:eastAsia="zh-CN"/>
              </w:rPr>
              <w:t>0.05%</w:t>
            </w:r>
          </w:p>
        </w:tc>
        <w:tc>
          <w:tcPr>
            <w:tcW w:w="1799" w:type="dxa"/>
            <w:vAlign w:val="center"/>
          </w:tcPr>
          <w:p w14:paraId="48D35F47">
            <w:pPr>
              <w:spacing w:line="360" w:lineRule="auto"/>
              <w:jc w:val="center"/>
              <w:rPr>
                <w:rFonts w:eastAsia="宋体"/>
                <w:kern w:val="2"/>
                <w:sz w:val="21"/>
                <w:lang w:eastAsia="zh-CN"/>
              </w:rPr>
            </w:pPr>
            <w:r>
              <w:rPr>
                <w:rFonts w:hint="eastAsia" w:eastAsia="宋体"/>
                <w:kern w:val="2"/>
                <w:sz w:val="21"/>
                <w:lang w:eastAsia="zh-CN"/>
              </w:rPr>
              <w:t>0.05%</w:t>
            </w:r>
          </w:p>
        </w:tc>
      </w:tr>
      <w:tr w14:paraId="1614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259CB69B">
            <w:pPr>
              <w:spacing w:line="360" w:lineRule="auto"/>
              <w:jc w:val="center"/>
              <w:rPr>
                <w:rFonts w:eastAsia="宋体"/>
                <w:kern w:val="2"/>
                <w:sz w:val="21"/>
                <w:lang w:eastAsia="zh-CN"/>
              </w:rPr>
            </w:pPr>
            <w:r>
              <w:rPr>
                <w:rFonts w:hint="eastAsia" w:eastAsia="宋体"/>
                <w:kern w:val="2"/>
                <w:sz w:val="21"/>
                <w:lang w:eastAsia="zh-CN"/>
              </w:rPr>
              <w:t>5亿元（含）-10亿元</w:t>
            </w:r>
          </w:p>
        </w:tc>
        <w:tc>
          <w:tcPr>
            <w:tcW w:w="1799" w:type="dxa"/>
            <w:vAlign w:val="center"/>
          </w:tcPr>
          <w:p w14:paraId="1B4EF303">
            <w:pPr>
              <w:spacing w:line="360" w:lineRule="auto"/>
              <w:jc w:val="center"/>
              <w:rPr>
                <w:rFonts w:eastAsia="宋体"/>
                <w:kern w:val="2"/>
                <w:sz w:val="21"/>
                <w:lang w:eastAsia="zh-CN"/>
              </w:rPr>
            </w:pPr>
            <w:r>
              <w:rPr>
                <w:rFonts w:hint="eastAsia" w:eastAsia="宋体"/>
                <w:kern w:val="2"/>
                <w:sz w:val="21"/>
                <w:lang w:eastAsia="zh-CN"/>
              </w:rPr>
              <w:t>0.035%</w:t>
            </w:r>
          </w:p>
        </w:tc>
        <w:tc>
          <w:tcPr>
            <w:tcW w:w="1799" w:type="dxa"/>
            <w:vAlign w:val="center"/>
          </w:tcPr>
          <w:p w14:paraId="1DDB9BB3">
            <w:pPr>
              <w:spacing w:line="360" w:lineRule="auto"/>
              <w:jc w:val="center"/>
              <w:rPr>
                <w:rFonts w:eastAsia="宋体"/>
                <w:kern w:val="2"/>
                <w:sz w:val="21"/>
                <w:lang w:eastAsia="zh-CN"/>
              </w:rPr>
            </w:pPr>
            <w:r>
              <w:rPr>
                <w:rFonts w:hint="eastAsia" w:eastAsia="宋体"/>
                <w:kern w:val="2"/>
                <w:sz w:val="21"/>
                <w:lang w:eastAsia="zh-CN"/>
              </w:rPr>
              <w:t>0.035%</w:t>
            </w:r>
          </w:p>
        </w:tc>
        <w:tc>
          <w:tcPr>
            <w:tcW w:w="1799" w:type="dxa"/>
            <w:vAlign w:val="center"/>
          </w:tcPr>
          <w:p w14:paraId="66340A49">
            <w:pPr>
              <w:spacing w:line="360" w:lineRule="auto"/>
              <w:jc w:val="center"/>
              <w:rPr>
                <w:rFonts w:eastAsia="宋体"/>
                <w:kern w:val="2"/>
                <w:sz w:val="21"/>
                <w:lang w:eastAsia="zh-CN"/>
              </w:rPr>
            </w:pPr>
            <w:r>
              <w:rPr>
                <w:rFonts w:hint="eastAsia" w:eastAsia="宋体"/>
                <w:kern w:val="2"/>
                <w:sz w:val="21"/>
                <w:lang w:eastAsia="zh-CN"/>
              </w:rPr>
              <w:t>0.035%</w:t>
            </w:r>
          </w:p>
        </w:tc>
      </w:tr>
      <w:tr w14:paraId="5B41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14:paraId="78D0D7B9">
            <w:pPr>
              <w:spacing w:line="360" w:lineRule="auto"/>
              <w:jc w:val="center"/>
              <w:rPr>
                <w:rFonts w:eastAsia="宋体"/>
                <w:kern w:val="2"/>
                <w:sz w:val="21"/>
                <w:lang w:eastAsia="zh-CN"/>
              </w:rPr>
            </w:pPr>
            <w:r>
              <w:rPr>
                <w:rFonts w:hint="eastAsia" w:eastAsia="宋体"/>
                <w:kern w:val="2"/>
                <w:sz w:val="21"/>
                <w:lang w:eastAsia="zh-CN"/>
              </w:rPr>
              <w:t>10亿元（含）-50亿元</w:t>
            </w:r>
          </w:p>
        </w:tc>
        <w:tc>
          <w:tcPr>
            <w:tcW w:w="1799" w:type="dxa"/>
            <w:vAlign w:val="center"/>
          </w:tcPr>
          <w:p w14:paraId="7D5080AA">
            <w:pPr>
              <w:spacing w:line="360" w:lineRule="auto"/>
              <w:jc w:val="center"/>
              <w:rPr>
                <w:rFonts w:eastAsia="宋体"/>
                <w:kern w:val="2"/>
                <w:sz w:val="21"/>
                <w:lang w:eastAsia="zh-CN"/>
              </w:rPr>
            </w:pPr>
            <w:r>
              <w:rPr>
                <w:rFonts w:hint="eastAsia" w:eastAsia="宋体"/>
                <w:kern w:val="2"/>
                <w:sz w:val="21"/>
                <w:lang w:eastAsia="zh-CN"/>
              </w:rPr>
              <w:t>0.008%</w:t>
            </w:r>
          </w:p>
        </w:tc>
        <w:tc>
          <w:tcPr>
            <w:tcW w:w="1799" w:type="dxa"/>
            <w:vAlign w:val="center"/>
          </w:tcPr>
          <w:p w14:paraId="4700D13A">
            <w:pPr>
              <w:spacing w:line="360" w:lineRule="auto"/>
              <w:jc w:val="center"/>
              <w:rPr>
                <w:rFonts w:eastAsia="宋体"/>
                <w:kern w:val="2"/>
                <w:sz w:val="21"/>
                <w:lang w:eastAsia="zh-CN"/>
              </w:rPr>
            </w:pPr>
            <w:r>
              <w:rPr>
                <w:rFonts w:hint="eastAsia" w:eastAsia="宋体"/>
                <w:kern w:val="2"/>
                <w:sz w:val="21"/>
                <w:lang w:eastAsia="zh-CN"/>
              </w:rPr>
              <w:t>0.008%</w:t>
            </w:r>
          </w:p>
        </w:tc>
        <w:tc>
          <w:tcPr>
            <w:tcW w:w="1799" w:type="dxa"/>
            <w:vAlign w:val="center"/>
          </w:tcPr>
          <w:p w14:paraId="41D2AB95">
            <w:pPr>
              <w:spacing w:line="360" w:lineRule="auto"/>
              <w:jc w:val="center"/>
              <w:rPr>
                <w:rFonts w:eastAsia="宋体"/>
                <w:kern w:val="2"/>
                <w:sz w:val="21"/>
                <w:lang w:eastAsia="zh-CN"/>
              </w:rPr>
            </w:pPr>
            <w:r>
              <w:rPr>
                <w:rFonts w:hint="eastAsia" w:eastAsia="宋体"/>
                <w:kern w:val="2"/>
                <w:sz w:val="21"/>
                <w:lang w:eastAsia="zh-CN"/>
              </w:rPr>
              <w:t>0.008%</w:t>
            </w:r>
          </w:p>
        </w:tc>
      </w:tr>
      <w:tr w14:paraId="7E80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2ADE633">
            <w:pPr>
              <w:spacing w:line="360" w:lineRule="auto"/>
              <w:jc w:val="center"/>
              <w:rPr>
                <w:rFonts w:eastAsia="宋体"/>
                <w:kern w:val="2"/>
                <w:sz w:val="21"/>
                <w:lang w:eastAsia="zh-CN"/>
              </w:rPr>
            </w:pPr>
            <w:r>
              <w:rPr>
                <w:rFonts w:hint="eastAsia" w:eastAsia="宋体"/>
                <w:kern w:val="2"/>
                <w:sz w:val="21"/>
                <w:lang w:eastAsia="zh-CN"/>
              </w:rPr>
              <w:t>50亿元（含）-100亿元</w:t>
            </w:r>
          </w:p>
        </w:tc>
        <w:tc>
          <w:tcPr>
            <w:tcW w:w="1799" w:type="dxa"/>
            <w:vAlign w:val="center"/>
          </w:tcPr>
          <w:p w14:paraId="73BB3EA5">
            <w:pPr>
              <w:spacing w:line="360" w:lineRule="auto"/>
              <w:jc w:val="center"/>
              <w:rPr>
                <w:rFonts w:eastAsia="宋体"/>
                <w:kern w:val="2"/>
                <w:sz w:val="21"/>
                <w:lang w:eastAsia="zh-CN"/>
              </w:rPr>
            </w:pPr>
            <w:r>
              <w:rPr>
                <w:rFonts w:hint="eastAsia" w:eastAsia="宋体"/>
                <w:kern w:val="2"/>
                <w:sz w:val="21"/>
                <w:lang w:eastAsia="zh-CN"/>
              </w:rPr>
              <w:t>0.006%</w:t>
            </w:r>
          </w:p>
        </w:tc>
        <w:tc>
          <w:tcPr>
            <w:tcW w:w="1799" w:type="dxa"/>
            <w:vAlign w:val="center"/>
          </w:tcPr>
          <w:p w14:paraId="1EBBB830">
            <w:pPr>
              <w:spacing w:line="360" w:lineRule="auto"/>
              <w:jc w:val="center"/>
              <w:rPr>
                <w:rFonts w:eastAsia="宋体"/>
                <w:kern w:val="2"/>
                <w:sz w:val="21"/>
                <w:lang w:eastAsia="zh-CN"/>
              </w:rPr>
            </w:pPr>
            <w:r>
              <w:rPr>
                <w:rFonts w:hint="eastAsia" w:eastAsia="宋体"/>
                <w:kern w:val="2"/>
                <w:sz w:val="21"/>
                <w:lang w:eastAsia="zh-CN"/>
              </w:rPr>
              <w:t>0.006%</w:t>
            </w:r>
          </w:p>
        </w:tc>
        <w:tc>
          <w:tcPr>
            <w:tcW w:w="1799" w:type="dxa"/>
            <w:vAlign w:val="center"/>
          </w:tcPr>
          <w:p w14:paraId="38EBD6A2">
            <w:pPr>
              <w:spacing w:line="360" w:lineRule="auto"/>
              <w:jc w:val="center"/>
              <w:rPr>
                <w:rFonts w:eastAsia="宋体"/>
                <w:kern w:val="2"/>
                <w:sz w:val="21"/>
                <w:lang w:eastAsia="zh-CN"/>
              </w:rPr>
            </w:pPr>
            <w:r>
              <w:rPr>
                <w:rFonts w:hint="eastAsia" w:eastAsia="宋体"/>
                <w:kern w:val="2"/>
                <w:sz w:val="21"/>
                <w:lang w:eastAsia="zh-CN"/>
              </w:rPr>
              <w:t>0.006%</w:t>
            </w:r>
          </w:p>
        </w:tc>
      </w:tr>
      <w:tr w14:paraId="2BC3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66BDB426">
            <w:pPr>
              <w:spacing w:line="360" w:lineRule="auto"/>
              <w:jc w:val="center"/>
              <w:rPr>
                <w:rFonts w:eastAsia="宋体"/>
                <w:kern w:val="2"/>
                <w:sz w:val="21"/>
                <w:lang w:eastAsia="zh-CN"/>
              </w:rPr>
            </w:pPr>
            <w:r>
              <w:rPr>
                <w:rFonts w:hint="eastAsia" w:eastAsia="宋体"/>
                <w:kern w:val="2"/>
                <w:sz w:val="21"/>
                <w:lang w:eastAsia="zh-CN"/>
              </w:rPr>
              <w:t>100亿元（含）以上</w:t>
            </w:r>
          </w:p>
        </w:tc>
        <w:tc>
          <w:tcPr>
            <w:tcW w:w="1799" w:type="dxa"/>
            <w:vAlign w:val="center"/>
          </w:tcPr>
          <w:p w14:paraId="3116A527">
            <w:pPr>
              <w:spacing w:line="360" w:lineRule="auto"/>
              <w:jc w:val="center"/>
              <w:rPr>
                <w:rFonts w:eastAsia="宋体"/>
                <w:kern w:val="2"/>
                <w:sz w:val="21"/>
                <w:lang w:eastAsia="zh-CN"/>
              </w:rPr>
            </w:pPr>
            <w:r>
              <w:rPr>
                <w:rFonts w:hint="eastAsia" w:eastAsia="宋体"/>
                <w:kern w:val="2"/>
                <w:sz w:val="21"/>
                <w:lang w:eastAsia="zh-CN"/>
              </w:rPr>
              <w:t>0.004%</w:t>
            </w:r>
          </w:p>
        </w:tc>
        <w:tc>
          <w:tcPr>
            <w:tcW w:w="1799" w:type="dxa"/>
            <w:vAlign w:val="center"/>
          </w:tcPr>
          <w:p w14:paraId="12F23195">
            <w:pPr>
              <w:spacing w:line="360" w:lineRule="auto"/>
              <w:jc w:val="center"/>
              <w:rPr>
                <w:rFonts w:eastAsia="宋体"/>
                <w:kern w:val="2"/>
                <w:sz w:val="21"/>
                <w:lang w:eastAsia="zh-CN"/>
              </w:rPr>
            </w:pPr>
            <w:r>
              <w:rPr>
                <w:rFonts w:hint="eastAsia" w:eastAsia="宋体"/>
                <w:kern w:val="2"/>
                <w:sz w:val="21"/>
                <w:lang w:eastAsia="zh-CN"/>
              </w:rPr>
              <w:t>0.004%</w:t>
            </w:r>
          </w:p>
        </w:tc>
        <w:tc>
          <w:tcPr>
            <w:tcW w:w="1799" w:type="dxa"/>
            <w:vAlign w:val="center"/>
          </w:tcPr>
          <w:p w14:paraId="6A5D0911">
            <w:pPr>
              <w:spacing w:line="360" w:lineRule="auto"/>
              <w:jc w:val="center"/>
              <w:rPr>
                <w:rFonts w:eastAsia="宋体"/>
                <w:kern w:val="2"/>
                <w:sz w:val="21"/>
                <w:lang w:eastAsia="zh-CN"/>
              </w:rPr>
            </w:pPr>
            <w:r>
              <w:rPr>
                <w:rFonts w:hint="eastAsia" w:eastAsia="宋体"/>
                <w:kern w:val="2"/>
                <w:sz w:val="21"/>
                <w:lang w:eastAsia="zh-CN"/>
              </w:rPr>
              <w:t>0.004%</w:t>
            </w:r>
          </w:p>
        </w:tc>
      </w:tr>
    </w:tbl>
    <w:p w14:paraId="127510C9">
      <w:pPr>
        <w:widowControl w:val="0"/>
        <w:jc w:val="both"/>
        <w:rPr>
          <w:rFonts w:eastAsia="宋体"/>
          <w:kern w:val="2"/>
          <w:sz w:val="21"/>
          <w:lang w:eastAsia="zh-CN"/>
        </w:rPr>
      </w:pPr>
    </w:p>
    <w:p w14:paraId="4E0EF328">
      <w:pPr>
        <w:widowControl w:val="0"/>
        <w:ind w:firstLine="420" w:firstLineChars="200"/>
        <w:jc w:val="both"/>
        <w:rPr>
          <w:rFonts w:eastAsia="宋体"/>
          <w:kern w:val="2"/>
          <w:sz w:val="21"/>
          <w:lang w:eastAsia="zh-CN"/>
        </w:rPr>
      </w:pPr>
      <w:r>
        <w:rPr>
          <w:rFonts w:hint="eastAsia" w:eastAsia="宋体"/>
          <w:kern w:val="2"/>
          <w:sz w:val="21"/>
          <w:lang w:eastAsia="zh-CN"/>
        </w:rPr>
        <w:t>备注：1.每宗交易代理服务费不低于 5000 元；</w:t>
      </w:r>
    </w:p>
    <w:p w14:paraId="25687270">
      <w:pPr>
        <w:widowControl w:val="0"/>
        <w:ind w:firstLine="420" w:firstLineChars="200"/>
        <w:jc w:val="both"/>
        <w:rPr>
          <w:rFonts w:eastAsia="宋体"/>
          <w:kern w:val="2"/>
          <w:sz w:val="21"/>
          <w:lang w:eastAsia="zh-CN"/>
        </w:rPr>
      </w:pPr>
      <w:r>
        <w:rPr>
          <w:rFonts w:hint="eastAsia" w:eastAsia="宋体"/>
          <w:kern w:val="2"/>
          <w:sz w:val="21"/>
          <w:lang w:eastAsia="zh-CN"/>
        </w:rPr>
        <w:t>2.对于报总价的采购类项目，中标（成交）价为中标（成交）金额；对于报单价、折扣或费率的采购类项目，中标（成交）价为预算上限金额或经委托方与代理方确定的支付上限金额；</w:t>
      </w:r>
    </w:p>
    <w:p w14:paraId="3CAFD614">
      <w:pPr>
        <w:widowControl w:val="0"/>
        <w:ind w:firstLine="420" w:firstLineChars="200"/>
        <w:jc w:val="both"/>
        <w:rPr>
          <w:rFonts w:eastAsia="宋体"/>
          <w:kern w:val="2"/>
          <w:sz w:val="21"/>
          <w:lang w:eastAsia="zh-CN"/>
        </w:rPr>
      </w:pPr>
    </w:p>
    <w:p w14:paraId="4F3694D8">
      <w:pPr>
        <w:widowControl w:val="0"/>
        <w:ind w:firstLine="420" w:firstLineChars="200"/>
        <w:jc w:val="both"/>
        <w:rPr>
          <w:rFonts w:eastAsia="宋体"/>
          <w:kern w:val="2"/>
          <w:sz w:val="21"/>
          <w:lang w:eastAsia="zh-CN"/>
        </w:rPr>
      </w:pPr>
      <w:r>
        <w:rPr>
          <w:rFonts w:hint="eastAsia" w:eastAsia="宋体"/>
          <w:kern w:val="2"/>
          <w:sz w:val="21"/>
          <w:lang w:eastAsia="zh-CN"/>
        </w:rPr>
        <w:t>如某货物采购项目，中标（成交）金额为600万元，总共交纳的代理服务费的具体计算过程如下：</w:t>
      </w:r>
    </w:p>
    <w:p w14:paraId="6D303388">
      <w:pPr>
        <w:widowControl w:val="0"/>
        <w:ind w:firstLine="420" w:firstLineChars="200"/>
        <w:jc w:val="both"/>
        <w:rPr>
          <w:rFonts w:eastAsia="宋体"/>
          <w:kern w:val="2"/>
          <w:sz w:val="21"/>
          <w:lang w:eastAsia="zh-CN"/>
        </w:rPr>
      </w:pPr>
      <w:r>
        <w:rPr>
          <w:rFonts w:hint="eastAsia" w:eastAsia="宋体"/>
          <w:kern w:val="2"/>
          <w:sz w:val="21"/>
          <w:lang w:eastAsia="zh-CN"/>
        </w:rPr>
        <w:t>标准代理服务费＝（100万以下部分的代理服务费）+（100万～500万部分的代理服务费）+（500万～600万部分的代理服务费）＝100万元×1.5%+（500-100）万元×1.1%+（600-500）万元×0.8%=1.5万元+4.4万元+0.8万元＝6.7万元</w:t>
      </w:r>
    </w:p>
    <w:p w14:paraId="0B467618">
      <w:pPr>
        <w:widowControl w:val="0"/>
        <w:ind w:firstLine="420" w:firstLineChars="200"/>
        <w:jc w:val="both"/>
        <w:rPr>
          <w:rFonts w:eastAsia="宋体"/>
          <w:kern w:val="2"/>
          <w:sz w:val="21"/>
          <w:lang w:eastAsia="zh-CN"/>
        </w:rPr>
      </w:pPr>
      <w:r>
        <w:rPr>
          <w:rFonts w:hint="eastAsia" w:eastAsia="宋体"/>
          <w:kern w:val="2"/>
          <w:sz w:val="21"/>
          <w:lang w:eastAsia="zh-CN"/>
        </w:rPr>
        <w:t>（3）中标（成交）供应商中标（成交）后，必须按规定采用银行对公转账方式向深圳交易集团有限公司直接交纳代理服务费，交纳信息及要求按照缴款（付款）通知书执行。</w:t>
      </w:r>
    </w:p>
    <w:p w14:paraId="161E6410">
      <w:pPr>
        <w:widowControl w:val="0"/>
        <w:ind w:firstLine="422" w:firstLineChars="200"/>
        <w:jc w:val="both"/>
        <w:rPr>
          <w:rFonts w:eastAsia="宋体"/>
          <w:b/>
          <w:color w:val="FF0000"/>
          <w:kern w:val="2"/>
          <w:sz w:val="21"/>
          <w:lang w:eastAsia="zh-CN"/>
        </w:rPr>
      </w:pPr>
      <w:r>
        <w:rPr>
          <w:rFonts w:hint="eastAsia" w:eastAsia="宋体"/>
          <w:b/>
          <w:color w:val="FF0000"/>
          <w:kern w:val="2"/>
          <w:sz w:val="21"/>
          <w:lang w:eastAsia="zh-CN"/>
        </w:rPr>
        <w:t>基本户信息：</w:t>
      </w:r>
    </w:p>
    <w:p w14:paraId="3439D72F">
      <w:pPr>
        <w:widowControl w:val="0"/>
        <w:ind w:firstLine="420" w:firstLineChars="200"/>
        <w:jc w:val="both"/>
        <w:rPr>
          <w:rFonts w:eastAsia="宋体"/>
          <w:color w:val="FF0000"/>
          <w:kern w:val="2"/>
          <w:sz w:val="21"/>
          <w:lang w:eastAsia="zh-CN"/>
        </w:rPr>
      </w:pPr>
      <w:r>
        <w:rPr>
          <w:rFonts w:hint="eastAsia" w:eastAsia="宋体"/>
          <w:color w:val="FF0000"/>
          <w:kern w:val="2"/>
          <w:sz w:val="21"/>
          <w:lang w:eastAsia="zh-CN"/>
        </w:rPr>
        <w:t>账户名：深圳交易集团有限公司</w:t>
      </w:r>
    </w:p>
    <w:p w14:paraId="44EE3E04">
      <w:pPr>
        <w:widowControl w:val="0"/>
        <w:ind w:firstLine="420" w:firstLineChars="200"/>
        <w:jc w:val="both"/>
        <w:rPr>
          <w:rFonts w:eastAsia="宋体"/>
          <w:color w:val="FF0000"/>
          <w:kern w:val="2"/>
          <w:sz w:val="21"/>
          <w:lang w:eastAsia="zh-CN"/>
        </w:rPr>
      </w:pPr>
      <w:r>
        <w:rPr>
          <w:rFonts w:hint="eastAsia" w:eastAsia="宋体"/>
          <w:color w:val="FF0000"/>
          <w:kern w:val="2"/>
          <w:sz w:val="21"/>
          <w:lang w:eastAsia="zh-CN"/>
        </w:rPr>
        <w:t>账号：</w:t>
      </w:r>
      <w:r>
        <w:rPr>
          <w:rFonts w:eastAsia="宋体"/>
          <w:color w:val="FF0000"/>
          <w:kern w:val="2"/>
          <w:sz w:val="21"/>
          <w:lang w:eastAsia="zh-CN"/>
        </w:rPr>
        <w:t>632766021</w:t>
      </w:r>
    </w:p>
    <w:p w14:paraId="3CB1B171">
      <w:pPr>
        <w:widowControl w:val="0"/>
        <w:ind w:firstLine="420" w:firstLineChars="200"/>
        <w:jc w:val="both"/>
        <w:rPr>
          <w:rFonts w:eastAsia="宋体"/>
          <w:color w:val="FF0000"/>
          <w:kern w:val="2"/>
          <w:sz w:val="21"/>
          <w:lang w:eastAsia="zh-CN"/>
        </w:rPr>
      </w:pPr>
      <w:r>
        <w:rPr>
          <w:rFonts w:hint="eastAsia" w:eastAsia="宋体"/>
          <w:color w:val="FF0000"/>
          <w:kern w:val="2"/>
          <w:sz w:val="21"/>
          <w:lang w:eastAsia="zh-CN"/>
        </w:rPr>
        <w:t>开户行：民生银行深圳五洲支行</w:t>
      </w:r>
    </w:p>
    <w:p w14:paraId="4B1C56E5">
      <w:pPr>
        <w:widowControl w:val="0"/>
        <w:ind w:firstLine="422" w:firstLineChars="200"/>
        <w:jc w:val="both"/>
        <w:rPr>
          <w:rFonts w:eastAsia="宋体"/>
          <w:b/>
          <w:color w:val="FF0000"/>
          <w:kern w:val="2"/>
          <w:sz w:val="21"/>
          <w:lang w:eastAsia="zh-CN"/>
        </w:rPr>
      </w:pPr>
      <w:r>
        <w:rPr>
          <w:rFonts w:hint="eastAsia" w:eastAsia="宋体"/>
          <w:b/>
          <w:color w:val="FF0000"/>
          <w:kern w:val="2"/>
          <w:sz w:val="21"/>
          <w:lang w:eastAsia="zh-CN"/>
        </w:rPr>
        <w:t>转账备注：</w:t>
      </w:r>
    </w:p>
    <w:p w14:paraId="3A8FDE73">
      <w:pPr>
        <w:widowControl w:val="0"/>
        <w:ind w:firstLine="420" w:firstLineChars="200"/>
        <w:jc w:val="both"/>
        <w:rPr>
          <w:rFonts w:eastAsia="宋体"/>
          <w:color w:val="FF0000"/>
          <w:kern w:val="2"/>
          <w:sz w:val="21"/>
          <w:lang w:eastAsia="zh-CN"/>
        </w:rPr>
      </w:pPr>
      <w:r>
        <w:rPr>
          <w:rFonts w:hint="eastAsia" w:eastAsia="宋体"/>
          <w:color w:val="FF0000"/>
          <w:kern w:val="2"/>
          <w:sz w:val="21"/>
          <w:lang w:eastAsia="zh-CN"/>
        </w:rPr>
        <w:t>项目编号+项目名称+中标（成交）金额+中标（成交）供应商名称</w:t>
      </w:r>
    </w:p>
    <w:p w14:paraId="3F77FA62">
      <w:pPr>
        <w:widowControl w:val="0"/>
        <w:spacing w:after="120"/>
        <w:ind w:firstLine="420" w:firstLineChars="200"/>
        <w:jc w:val="both"/>
        <w:rPr>
          <w:rFonts w:eastAsia="宋体"/>
          <w:kern w:val="2"/>
          <w:sz w:val="21"/>
          <w:lang w:eastAsia="zh-CN"/>
        </w:rPr>
      </w:pPr>
    </w:p>
    <w:p w14:paraId="761B6F86">
      <w:pPr>
        <w:jc w:val="center"/>
        <w:rPr>
          <w:rFonts w:ascii="黑体" w:hAnsi="黑体" w:eastAsia="黑体"/>
          <w:kern w:val="2"/>
          <w:sz w:val="28"/>
          <w:szCs w:val="40"/>
          <w:lang w:eastAsia="zh-CN"/>
        </w:rPr>
      </w:pPr>
    </w:p>
    <w:p w14:paraId="3DFB3197">
      <w:pPr>
        <w:jc w:val="center"/>
        <w:outlineLvl w:val="1"/>
        <w:rPr>
          <w:rFonts w:ascii="黑体" w:hAnsi="黑体" w:eastAsia="黑体"/>
          <w:kern w:val="2"/>
          <w:sz w:val="28"/>
          <w:szCs w:val="40"/>
          <w:lang w:eastAsia="zh-CN"/>
        </w:rPr>
      </w:pPr>
      <w:r>
        <w:rPr>
          <w:rFonts w:hint="eastAsia" w:ascii="黑体" w:hAnsi="黑体" w:eastAsia="黑体"/>
          <w:kern w:val="2"/>
          <w:sz w:val="28"/>
          <w:szCs w:val="40"/>
          <w:lang w:eastAsia="zh-CN"/>
        </w:rPr>
        <w:t>订单融资情况</w:t>
      </w:r>
    </w:p>
    <w:p w14:paraId="2788E513">
      <w:pPr>
        <w:rPr>
          <w:rFonts w:eastAsia="宋体"/>
          <w:b/>
          <w:kern w:val="2"/>
          <w:sz w:val="21"/>
          <w:lang w:eastAsia="zh-CN"/>
        </w:rPr>
      </w:pPr>
      <w:r>
        <w:rPr>
          <w:rFonts w:hint="eastAsia" w:ascii="宋体" w:hAnsi="宋体" w:eastAsia="宋体"/>
          <w:kern w:val="2"/>
          <w:sz w:val="21"/>
          <w:szCs w:val="21"/>
          <w:lang w:eastAsia="zh-CN"/>
        </w:rPr>
        <w:t xml:space="preserve"> </w:t>
      </w:r>
      <w:r>
        <w:rPr>
          <w:rFonts w:hint="eastAsia" w:eastAsia="宋体"/>
          <w:b/>
          <w:kern w:val="2"/>
          <w:sz w:val="21"/>
          <w:lang w:eastAsia="zh-CN"/>
        </w:rPr>
        <w:t xml:space="preserve">  </w:t>
      </w:r>
    </w:p>
    <w:bookmarkEnd w:id="3"/>
    <w:p w14:paraId="74968DF5">
      <w:pPr>
        <w:widowControl w:val="0"/>
        <w:ind w:firstLine="422" w:firstLineChars="200"/>
        <w:jc w:val="both"/>
        <w:rPr>
          <w:rFonts w:ascii="宋体" w:hAnsi="宋体" w:eastAsia="宋体" w:cs="宋体"/>
          <w:b/>
          <w:bCs/>
          <w:kern w:val="2"/>
          <w:sz w:val="21"/>
          <w:lang w:eastAsia="zh-CN"/>
        </w:rPr>
      </w:pPr>
      <w:r>
        <w:rPr>
          <w:rFonts w:hint="eastAsia" w:ascii="宋体" w:hAnsi="宋体" w:eastAsia="宋体" w:cs="宋体"/>
          <w:b/>
          <w:bCs/>
          <w:kern w:val="2"/>
          <w:sz w:val="21"/>
          <w:lang w:eastAsia="zh-CN"/>
        </w:rPr>
        <w:t>1.关于政府采购订单融资政策</w:t>
      </w:r>
    </w:p>
    <w:p w14:paraId="00003FD8">
      <w:pPr>
        <w:widowControl w:val="0"/>
        <w:ind w:firstLine="420" w:firstLineChars="200"/>
        <w:jc w:val="both"/>
        <w:rPr>
          <w:rFonts w:eastAsia="宋体"/>
          <w:bCs/>
          <w:kern w:val="2"/>
          <w:sz w:val="21"/>
          <w:szCs w:val="21"/>
          <w:lang w:eastAsia="zh-CN"/>
        </w:rPr>
      </w:pPr>
      <w:r>
        <w:rPr>
          <w:rFonts w:hint="eastAsia" w:eastAsia="宋体"/>
          <w:bCs/>
          <w:kern w:val="2"/>
          <w:sz w:val="21"/>
          <w:szCs w:val="21"/>
          <w:lang w:eastAsia="zh-CN"/>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14:paraId="1FFC89E7">
      <w:pPr>
        <w:widowControl w:val="0"/>
        <w:ind w:firstLine="422" w:firstLineChars="200"/>
        <w:jc w:val="both"/>
        <w:rPr>
          <w:rFonts w:ascii="宋体" w:hAnsi="宋体" w:eastAsia="宋体" w:cs="宋体"/>
          <w:b/>
          <w:bCs/>
          <w:kern w:val="2"/>
          <w:sz w:val="21"/>
          <w:lang w:eastAsia="zh-CN"/>
        </w:rPr>
      </w:pPr>
      <w:r>
        <w:rPr>
          <w:rFonts w:hint="eastAsia" w:ascii="宋体" w:hAnsi="宋体" w:eastAsia="宋体" w:cs="宋体"/>
          <w:b/>
          <w:bCs/>
          <w:kern w:val="2"/>
          <w:sz w:val="21"/>
          <w:lang w:eastAsia="zh-CN"/>
        </w:rPr>
        <w:t>2.供应商账户信息</w:t>
      </w:r>
    </w:p>
    <w:p w14:paraId="30A049C9">
      <w:pPr>
        <w:widowControl w:val="0"/>
        <w:ind w:left="480" w:leftChars="200" w:firstLine="210" w:firstLineChars="100"/>
        <w:jc w:val="both"/>
        <w:rPr>
          <w:rFonts w:eastAsia="宋体"/>
          <w:kern w:val="2"/>
          <w:sz w:val="21"/>
          <w:szCs w:val="21"/>
          <w:lang w:eastAsia="zh-CN"/>
        </w:rPr>
      </w:pPr>
      <w:r>
        <w:rPr>
          <w:rFonts w:hint="eastAsia" w:eastAsia="宋体"/>
          <w:kern w:val="2"/>
          <w:sz w:val="21"/>
          <w:szCs w:val="21"/>
          <w:lang w:eastAsia="zh-CN"/>
        </w:rPr>
        <w:t>投标人（单位全称）：</w:t>
      </w:r>
      <w:r>
        <w:rPr>
          <w:rFonts w:hint="eastAsia" w:eastAsia="宋体"/>
          <w:kern w:val="2"/>
          <w:sz w:val="21"/>
          <w:szCs w:val="21"/>
          <w:u w:val="thick"/>
          <w:lang w:eastAsia="zh-CN"/>
        </w:rPr>
        <w:t xml:space="preserve">                           </w:t>
      </w:r>
      <w:r>
        <w:rPr>
          <w:rFonts w:hint="eastAsia" w:eastAsia="宋体"/>
          <w:kern w:val="2"/>
          <w:sz w:val="21"/>
          <w:szCs w:val="21"/>
          <w:lang w:eastAsia="zh-CN"/>
        </w:rPr>
        <w:t xml:space="preserve">；  </w:t>
      </w:r>
    </w:p>
    <w:p w14:paraId="6AF50BEF">
      <w:pPr>
        <w:widowControl w:val="0"/>
        <w:ind w:left="480" w:leftChars="200" w:firstLine="210" w:firstLineChars="100"/>
        <w:jc w:val="both"/>
        <w:rPr>
          <w:rFonts w:eastAsia="宋体"/>
          <w:kern w:val="2"/>
          <w:sz w:val="21"/>
          <w:szCs w:val="21"/>
          <w:lang w:eastAsia="zh-CN"/>
        </w:rPr>
      </w:pPr>
      <w:r>
        <w:rPr>
          <w:rFonts w:hint="eastAsia" w:eastAsia="宋体"/>
          <w:kern w:val="2"/>
          <w:sz w:val="21"/>
          <w:szCs w:val="21"/>
          <w:lang w:eastAsia="zh-CN"/>
        </w:rPr>
        <w:t>投标人单位地址：</w:t>
      </w:r>
      <w:r>
        <w:rPr>
          <w:rFonts w:hint="eastAsia" w:eastAsia="宋体"/>
          <w:kern w:val="2"/>
          <w:sz w:val="21"/>
          <w:szCs w:val="21"/>
          <w:u w:val="thick"/>
          <w:lang w:eastAsia="zh-CN"/>
        </w:rPr>
        <w:t xml:space="preserve">                    </w:t>
      </w:r>
      <w:r>
        <w:rPr>
          <w:rFonts w:hint="eastAsia" w:eastAsia="宋体"/>
          <w:kern w:val="2"/>
          <w:sz w:val="21"/>
          <w:szCs w:val="21"/>
          <w:lang w:eastAsia="zh-CN"/>
        </w:rPr>
        <w:t>；</w:t>
      </w:r>
    </w:p>
    <w:p w14:paraId="4DDEE8DF">
      <w:pPr>
        <w:widowControl w:val="0"/>
        <w:ind w:left="480" w:leftChars="200" w:firstLine="210" w:firstLineChars="100"/>
        <w:jc w:val="both"/>
        <w:rPr>
          <w:rFonts w:eastAsia="宋体"/>
          <w:kern w:val="2"/>
          <w:sz w:val="21"/>
          <w:szCs w:val="21"/>
          <w:lang w:eastAsia="zh-CN"/>
        </w:rPr>
      </w:pPr>
      <w:r>
        <w:rPr>
          <w:rFonts w:hint="eastAsia" w:eastAsia="宋体"/>
          <w:kern w:val="2"/>
          <w:sz w:val="21"/>
          <w:szCs w:val="21"/>
          <w:lang w:eastAsia="zh-CN"/>
        </w:rPr>
        <w:t>法定代表人（负责人）或其授权委托代理人：</w:t>
      </w:r>
      <w:r>
        <w:rPr>
          <w:rFonts w:hint="eastAsia" w:eastAsia="宋体"/>
          <w:kern w:val="2"/>
          <w:sz w:val="21"/>
          <w:szCs w:val="21"/>
          <w:u w:val="thick"/>
          <w:lang w:eastAsia="zh-CN"/>
        </w:rPr>
        <w:t xml:space="preserve">                      </w:t>
      </w:r>
      <w:r>
        <w:rPr>
          <w:rFonts w:hint="eastAsia" w:eastAsia="宋体"/>
          <w:kern w:val="2"/>
          <w:sz w:val="21"/>
          <w:szCs w:val="21"/>
          <w:lang w:eastAsia="zh-CN"/>
        </w:rPr>
        <w:t>；</w:t>
      </w:r>
    </w:p>
    <w:p w14:paraId="356E1F72">
      <w:pPr>
        <w:widowControl w:val="0"/>
        <w:ind w:left="480" w:leftChars="200" w:firstLine="210" w:firstLineChars="100"/>
        <w:jc w:val="both"/>
        <w:rPr>
          <w:rFonts w:eastAsia="宋体"/>
          <w:kern w:val="2"/>
          <w:sz w:val="21"/>
          <w:szCs w:val="21"/>
          <w:u w:val="thick"/>
          <w:lang w:eastAsia="zh-CN"/>
        </w:rPr>
      </w:pPr>
      <w:r>
        <w:rPr>
          <w:rFonts w:hint="eastAsia" w:eastAsia="宋体"/>
          <w:kern w:val="2"/>
          <w:sz w:val="21"/>
          <w:szCs w:val="21"/>
          <w:lang w:eastAsia="zh-CN"/>
        </w:rPr>
        <w:t>联系电话：</w:t>
      </w:r>
      <w:r>
        <w:rPr>
          <w:rFonts w:hint="eastAsia" w:eastAsia="宋体"/>
          <w:kern w:val="2"/>
          <w:sz w:val="21"/>
          <w:szCs w:val="21"/>
          <w:u w:val="thick"/>
          <w:lang w:eastAsia="zh-CN"/>
        </w:rPr>
        <w:t xml:space="preserve">                     </w:t>
      </w:r>
      <w:r>
        <w:rPr>
          <w:rFonts w:hint="eastAsia" w:eastAsia="宋体"/>
          <w:kern w:val="2"/>
          <w:sz w:val="21"/>
          <w:szCs w:val="21"/>
          <w:lang w:eastAsia="zh-CN"/>
        </w:rPr>
        <w:t>；</w:t>
      </w:r>
    </w:p>
    <w:p w14:paraId="235953EB">
      <w:pPr>
        <w:widowControl w:val="0"/>
        <w:ind w:left="480" w:leftChars="200" w:firstLine="210" w:firstLineChars="100"/>
        <w:jc w:val="both"/>
        <w:rPr>
          <w:rFonts w:eastAsia="宋体"/>
          <w:kern w:val="2"/>
          <w:sz w:val="21"/>
          <w:szCs w:val="21"/>
          <w:lang w:eastAsia="zh-CN"/>
        </w:rPr>
      </w:pPr>
      <w:r>
        <w:rPr>
          <w:rFonts w:hint="eastAsia" w:eastAsia="宋体"/>
          <w:kern w:val="2"/>
          <w:sz w:val="21"/>
          <w:szCs w:val="21"/>
          <w:lang w:eastAsia="zh-CN"/>
        </w:rPr>
        <w:t>开户银行名称：</w:t>
      </w:r>
      <w:r>
        <w:rPr>
          <w:rFonts w:hint="eastAsia" w:eastAsia="宋体"/>
          <w:kern w:val="2"/>
          <w:sz w:val="21"/>
          <w:szCs w:val="21"/>
          <w:u w:val="thick"/>
          <w:lang w:eastAsia="zh-CN"/>
        </w:rPr>
        <w:t xml:space="preserve">                                                 </w:t>
      </w:r>
      <w:r>
        <w:rPr>
          <w:rFonts w:hint="eastAsia" w:eastAsia="宋体"/>
          <w:kern w:val="2"/>
          <w:sz w:val="21"/>
          <w:szCs w:val="21"/>
          <w:lang w:eastAsia="zh-CN"/>
        </w:rPr>
        <w:t>；</w:t>
      </w:r>
    </w:p>
    <w:p w14:paraId="7637578A">
      <w:pPr>
        <w:widowControl w:val="0"/>
        <w:ind w:left="480" w:leftChars="200" w:firstLine="210" w:firstLineChars="100"/>
        <w:jc w:val="both"/>
        <w:rPr>
          <w:rFonts w:eastAsia="宋体"/>
          <w:kern w:val="2"/>
          <w:sz w:val="21"/>
          <w:szCs w:val="21"/>
          <w:u w:val="thick"/>
          <w:lang w:eastAsia="zh-CN"/>
        </w:rPr>
      </w:pPr>
      <w:r>
        <w:rPr>
          <w:rFonts w:hint="eastAsia" w:eastAsia="宋体"/>
          <w:kern w:val="2"/>
          <w:sz w:val="21"/>
          <w:szCs w:val="21"/>
          <w:lang w:eastAsia="zh-CN"/>
        </w:rPr>
        <w:t>开户银行账号：</w:t>
      </w:r>
      <w:r>
        <w:rPr>
          <w:rFonts w:hint="eastAsia" w:eastAsia="宋体"/>
          <w:kern w:val="2"/>
          <w:sz w:val="21"/>
          <w:szCs w:val="21"/>
          <w:u w:val="thick"/>
          <w:lang w:eastAsia="zh-CN"/>
        </w:rPr>
        <w:t xml:space="preserve">                                                  </w:t>
      </w:r>
      <w:r>
        <w:rPr>
          <w:rFonts w:hint="eastAsia" w:eastAsia="宋体"/>
          <w:kern w:val="2"/>
          <w:sz w:val="21"/>
          <w:szCs w:val="21"/>
          <w:lang w:eastAsia="zh-CN"/>
        </w:rPr>
        <w:t>；</w:t>
      </w:r>
    </w:p>
    <w:p w14:paraId="5B8FFDD2">
      <w:pPr>
        <w:widowControl w:val="0"/>
        <w:ind w:left="480" w:leftChars="200" w:firstLine="210" w:firstLineChars="100"/>
        <w:jc w:val="both"/>
        <w:rPr>
          <w:rFonts w:eastAsia="宋体"/>
          <w:kern w:val="2"/>
          <w:sz w:val="21"/>
          <w:szCs w:val="21"/>
          <w:lang w:eastAsia="zh-CN"/>
        </w:rPr>
      </w:pPr>
      <w:r>
        <w:rPr>
          <w:rFonts w:hint="eastAsia" w:eastAsia="宋体"/>
          <w:kern w:val="2"/>
          <w:sz w:val="21"/>
          <w:szCs w:val="21"/>
          <w:lang w:eastAsia="zh-CN"/>
        </w:rPr>
        <w:t>开户银行地址：</w:t>
      </w:r>
      <w:r>
        <w:rPr>
          <w:rFonts w:hint="eastAsia" w:eastAsia="宋体"/>
          <w:kern w:val="2"/>
          <w:sz w:val="21"/>
          <w:szCs w:val="21"/>
          <w:u w:val="thick"/>
          <w:lang w:eastAsia="zh-CN"/>
        </w:rPr>
        <w:t xml:space="preserve">                                                  </w:t>
      </w:r>
      <w:r>
        <w:rPr>
          <w:rFonts w:hint="eastAsia" w:eastAsia="宋体"/>
          <w:kern w:val="2"/>
          <w:sz w:val="21"/>
          <w:szCs w:val="21"/>
          <w:lang w:eastAsia="zh-CN"/>
        </w:rPr>
        <w:t>。</w:t>
      </w:r>
    </w:p>
    <w:p w14:paraId="14AE7605">
      <w:pPr>
        <w:widowControl w:val="0"/>
        <w:ind w:left="480" w:leftChars="200" w:firstLine="210" w:firstLineChars="100"/>
        <w:jc w:val="both"/>
        <w:rPr>
          <w:rFonts w:eastAsia="宋体"/>
          <w:kern w:val="2"/>
          <w:sz w:val="21"/>
          <w:szCs w:val="21"/>
          <w:lang w:eastAsia="zh-CN"/>
        </w:rPr>
      </w:pPr>
      <w:r>
        <w:rPr>
          <w:rFonts w:hint="eastAsia" w:eastAsia="宋体"/>
          <w:kern w:val="2"/>
          <w:sz w:val="21"/>
          <w:szCs w:val="21"/>
          <w:lang w:eastAsia="zh-CN"/>
        </w:rPr>
        <w:t xml:space="preserve"> </w:t>
      </w:r>
      <w:r>
        <w:rPr>
          <w:rFonts w:hint="eastAsia" w:ascii="宋体" w:hAnsi="宋体" w:eastAsia="宋体"/>
          <w:b/>
          <w:bCs/>
          <w:color w:val="FF0000"/>
          <w:spacing w:val="-4"/>
          <w:sz w:val="21"/>
          <w:szCs w:val="21"/>
          <w:lang w:eastAsia="zh-CN"/>
        </w:rPr>
        <w:t>注：本项填写内容作为订单融资开展的参考信息，不作为供应商资格性审查及符合性审查条件。</w:t>
      </w:r>
    </w:p>
    <w:p w14:paraId="522335CA">
      <w:pPr>
        <w:widowControl w:val="0"/>
        <w:spacing w:after="120"/>
        <w:ind w:left="480" w:leftChars="200" w:firstLine="420" w:firstLineChars="200"/>
        <w:jc w:val="both"/>
        <w:rPr>
          <w:rFonts w:eastAsia="宋体"/>
          <w:kern w:val="2"/>
          <w:sz w:val="21"/>
          <w:lang w:eastAsia="zh-CN"/>
        </w:rPr>
      </w:pPr>
    </w:p>
    <w:p w14:paraId="20279C0D">
      <w:pPr>
        <w:widowControl w:val="0"/>
        <w:jc w:val="both"/>
        <w:rPr>
          <w:rFonts w:eastAsia="宋体"/>
          <w:kern w:val="2"/>
          <w:sz w:val="21"/>
          <w:lang w:eastAsia="zh-CN"/>
        </w:rPr>
      </w:pPr>
      <w:r>
        <w:rPr>
          <w:rFonts w:hint="eastAsia" w:eastAsia="宋体"/>
          <w:kern w:val="2"/>
          <w:sz w:val="21"/>
          <w:lang w:eastAsia="zh-CN"/>
        </w:rPr>
        <w:br w:type="page"/>
      </w:r>
    </w:p>
    <w:p w14:paraId="5A375599">
      <w:pPr>
        <w:keepNext/>
        <w:keepLines/>
        <w:widowControl w:val="0"/>
        <w:spacing w:before="340" w:after="330" w:line="360" w:lineRule="auto"/>
        <w:jc w:val="center"/>
        <w:outlineLvl w:val="0"/>
        <w:rPr>
          <w:rFonts w:ascii="宋体" w:hAnsi="宋体" w:eastAsia="黑体" w:cs="宋体"/>
          <w:b/>
          <w:bCs/>
          <w:kern w:val="44"/>
          <w:sz w:val="28"/>
          <w:szCs w:val="44"/>
          <w:lang w:eastAsia="zh-CN"/>
        </w:rPr>
      </w:pPr>
      <w:r>
        <w:rPr>
          <w:rFonts w:hint="eastAsia" w:ascii="宋体" w:hAnsi="宋体" w:eastAsia="黑体" w:cs="宋体"/>
          <w:b/>
          <w:bCs/>
          <w:kern w:val="44"/>
          <w:sz w:val="28"/>
          <w:szCs w:val="44"/>
          <w:lang w:eastAsia="zh-CN"/>
        </w:rPr>
        <w:t>第一册  招标项目需求</w:t>
      </w:r>
    </w:p>
    <w:p w14:paraId="42AD66F0">
      <w:pPr>
        <w:keepNext/>
        <w:keepLines/>
        <w:widowControl w:val="0"/>
        <w:adjustRightInd w:val="0"/>
        <w:spacing w:before="260" w:after="260"/>
        <w:jc w:val="center"/>
        <w:outlineLvl w:val="1"/>
        <w:rPr>
          <w:rFonts w:ascii="宋体" w:hAnsi="宋体" w:eastAsia="宋体" w:cs="宋体"/>
          <w:b/>
          <w:bCs/>
          <w:szCs w:val="20"/>
          <w:lang w:eastAsia="zh-CN"/>
        </w:rPr>
      </w:pPr>
      <w:r>
        <w:rPr>
          <w:rFonts w:hint="eastAsia" w:ascii="宋体" w:hAnsi="宋体" w:eastAsia="宋体" w:cs="宋体"/>
          <w:b/>
          <w:bCs/>
          <w:szCs w:val="20"/>
          <w:lang w:eastAsia="zh-CN"/>
        </w:rPr>
        <w:t>第一章  招标公告</w:t>
      </w:r>
    </w:p>
    <w:p w14:paraId="54D8A4CF">
      <w:pPr>
        <w:widowControl w:val="0"/>
        <w:ind w:firstLine="482" w:firstLineChars="200"/>
        <w:jc w:val="both"/>
        <w:rPr>
          <w:rFonts w:ascii="宋体" w:hAnsi="宋体" w:eastAsia="宋体" w:cs="宋体"/>
          <w:b/>
          <w:color w:val="FF0000"/>
          <w:szCs w:val="21"/>
          <w:lang w:eastAsia="zh-CN"/>
        </w:rPr>
      </w:pPr>
      <w:bookmarkStart w:id="5" w:name="OLE_LINK21"/>
      <w:r>
        <w:rPr>
          <w:rFonts w:hint="eastAsia" w:ascii="宋体" w:hAnsi="宋体" w:eastAsia="宋体" w:cs="宋体"/>
          <w:b/>
          <w:color w:val="FF0000"/>
          <w:szCs w:val="21"/>
          <w:lang w:eastAsia="zh-CN"/>
        </w:rPr>
        <w:t>响应供应商资格要求：（投标人应按资格要求提供相关证明文件，</w:t>
      </w:r>
      <w:r>
        <w:rPr>
          <w:rFonts w:hint="eastAsia" w:ascii="宋体" w:hAnsi="宋体" w:eastAsia="宋体" w:cs="宋体"/>
          <w:b/>
          <w:color w:val="FF0000"/>
          <w:szCs w:val="21"/>
          <w:highlight w:val="yellow"/>
          <w:lang w:eastAsia="zh-CN"/>
        </w:rPr>
        <w:t>如供应商资格审查不通过，不得参与本次自行采购活动</w:t>
      </w:r>
      <w:r>
        <w:rPr>
          <w:rFonts w:hint="eastAsia" w:ascii="宋体" w:hAnsi="宋体" w:eastAsia="宋体" w:cs="宋体"/>
          <w:b/>
          <w:color w:val="FF0000"/>
          <w:szCs w:val="21"/>
          <w:lang w:eastAsia="zh-CN"/>
        </w:rPr>
        <w:t>）</w:t>
      </w:r>
    </w:p>
    <w:p w14:paraId="14642E4A">
      <w:pPr>
        <w:widowControl w:val="0"/>
        <w:ind w:firstLine="420" w:firstLineChars="200"/>
        <w:jc w:val="both"/>
        <w:rPr>
          <w:rFonts w:ascii="宋体" w:hAnsi="宋体" w:eastAsia="宋体" w:cs="宋体"/>
          <w:sz w:val="21"/>
          <w:lang w:eastAsia="zh-CN"/>
        </w:rPr>
      </w:pPr>
    </w:p>
    <w:p w14:paraId="7E3AB64C">
      <w:pPr>
        <w:widowControl w:val="0"/>
        <w:ind w:firstLine="420" w:firstLineChars="200"/>
        <w:jc w:val="both"/>
        <w:rPr>
          <w:rFonts w:ascii="宋体" w:hAnsi="宋体" w:eastAsia="宋体" w:cs="宋体"/>
          <w:sz w:val="21"/>
          <w:lang w:eastAsia="zh-CN"/>
        </w:rPr>
      </w:pPr>
      <w:bookmarkStart w:id="6" w:name="OLE_LINK35"/>
      <w:r>
        <w:rPr>
          <w:rFonts w:hint="eastAsia" w:ascii="宋体" w:hAnsi="宋体" w:eastAsia="宋体" w:cs="宋体"/>
          <w:sz w:val="21"/>
          <w:lang w:eastAsia="zh-CN"/>
        </w:rPr>
        <w:t>1.具有独立承担民事责任的能力（提供营业执照或事业单位法人证书等证明资料扫描件，原件备查，分支机构参与响应的，须同时提供总部授权文件且授权书载明其民事责任由总公司承担）；</w:t>
      </w:r>
    </w:p>
    <w:p w14:paraId="57C49CA2">
      <w:pPr>
        <w:widowControl w:val="0"/>
        <w:ind w:firstLine="420" w:firstLineChars="200"/>
        <w:jc w:val="both"/>
        <w:rPr>
          <w:rFonts w:ascii="宋体" w:hAnsi="宋体" w:eastAsia="宋体" w:cs="宋体"/>
          <w:color w:val="FF0000"/>
          <w:sz w:val="21"/>
          <w:lang w:eastAsia="zh-CN"/>
        </w:rPr>
      </w:pPr>
      <w:r>
        <w:rPr>
          <w:rFonts w:hint="eastAsia" w:ascii="宋体" w:hAnsi="宋体" w:eastAsia="宋体" w:cs="宋体"/>
          <w:color w:val="FF0000"/>
          <w:sz w:val="21"/>
          <w:lang w:eastAsia="zh-CN"/>
        </w:rPr>
        <w:t>2.本项目不接受联合体响应，</w:t>
      </w:r>
      <w:r>
        <w:rPr>
          <w:rFonts w:hint="eastAsia" w:ascii="宋体" w:hAnsi="宋体" w:eastAsia="宋体" w:cs="宋体"/>
          <w:color w:val="FF0000"/>
          <w:sz w:val="21"/>
          <w:szCs w:val="21"/>
          <w:lang w:eastAsia="zh-CN"/>
        </w:rPr>
        <w:t>不</w:t>
      </w:r>
      <w:r>
        <w:rPr>
          <w:rFonts w:hint="eastAsia" w:ascii="宋体" w:hAnsi="宋体" w:eastAsia="宋体" w:cs="宋体"/>
          <w:color w:val="FF0000"/>
          <w:sz w:val="21"/>
          <w:lang w:eastAsia="zh-CN"/>
        </w:rPr>
        <w:t>允许非主体非关键性工作分包，禁止转包，是否允许投标人选用进口产品参与响应以招标文件“第二章 项目需求书”为准（由供应商在《政府采购响应及履约承诺函》中作出声明）；</w:t>
      </w:r>
    </w:p>
    <w:p w14:paraId="7954B0D4">
      <w:pPr>
        <w:widowControl w:val="0"/>
        <w:ind w:firstLine="420" w:firstLineChars="200"/>
        <w:jc w:val="both"/>
        <w:rPr>
          <w:rFonts w:ascii="宋体" w:hAnsi="宋体" w:eastAsia="宋体" w:cs="宋体"/>
          <w:sz w:val="21"/>
          <w:lang w:eastAsia="zh-CN"/>
        </w:rPr>
      </w:pPr>
      <w:r>
        <w:rPr>
          <w:rFonts w:hint="eastAsia" w:ascii="宋体" w:hAnsi="宋体" w:eastAsia="宋体" w:cs="宋体"/>
          <w:sz w:val="21"/>
          <w:lang w:eastAsia="zh-CN"/>
        </w:rPr>
        <w:t>3、参与本项目政府采购活动时不存在被有关部门禁止参与政府采购活动且在有效期内的情况（由供应商在《政府采购响应及履约承诺函》中作出声明）；</w:t>
      </w:r>
    </w:p>
    <w:p w14:paraId="0D48447D">
      <w:pPr>
        <w:widowControl w:val="0"/>
        <w:ind w:firstLine="420" w:firstLineChars="200"/>
        <w:jc w:val="both"/>
        <w:rPr>
          <w:rFonts w:ascii="宋体" w:hAnsi="宋体" w:eastAsia="宋体" w:cs="宋体"/>
          <w:sz w:val="21"/>
          <w:lang w:eastAsia="zh-CN"/>
        </w:rPr>
      </w:pPr>
      <w:r>
        <w:rPr>
          <w:rFonts w:hint="eastAsia" w:ascii="宋体" w:hAnsi="宋体" w:eastAsia="宋体" w:cs="宋体"/>
          <w:sz w:val="21"/>
          <w:lang w:eastAsia="zh-CN"/>
        </w:rPr>
        <w:t>4.具备《中华人民共和国政府采购法》第二十二条第一款的条件（由供应商在《政府采购响应及履约承诺函》中作出声明）；</w:t>
      </w:r>
    </w:p>
    <w:p w14:paraId="44027DFC">
      <w:pPr>
        <w:widowControl w:val="0"/>
        <w:ind w:firstLine="420" w:firstLineChars="200"/>
        <w:jc w:val="both"/>
        <w:rPr>
          <w:rFonts w:ascii="宋体" w:hAnsi="宋体" w:eastAsia="宋体" w:cs="宋体"/>
          <w:sz w:val="21"/>
          <w:lang w:eastAsia="zh-CN"/>
        </w:rPr>
      </w:pPr>
      <w:r>
        <w:rPr>
          <w:rFonts w:hint="eastAsia" w:ascii="宋体" w:hAnsi="宋体" w:eastAsia="宋体" w:cs="宋体"/>
          <w:sz w:val="21"/>
          <w:lang w:eastAsia="zh-CN"/>
        </w:rPr>
        <w:t>5.未被列入失信被执行人、重大税收违法案件当事人名单、政府采购严重违法失信行为记录名单（由供应商在《政府采购响应及履约承诺函》中作出声明）；</w:t>
      </w:r>
    </w:p>
    <w:p w14:paraId="4ECE9A0B">
      <w:pPr>
        <w:widowControl w:val="0"/>
        <w:ind w:firstLine="420" w:firstLineChars="200"/>
        <w:jc w:val="both"/>
        <w:rPr>
          <w:rFonts w:ascii="宋体" w:hAnsi="宋体" w:eastAsia="宋体" w:cs="宋体"/>
          <w:sz w:val="21"/>
          <w:lang w:eastAsia="zh-CN"/>
        </w:rPr>
      </w:pPr>
      <w:r>
        <w:rPr>
          <w:rFonts w:hint="eastAsia" w:ascii="宋体" w:hAnsi="宋体" w:eastAsia="宋体" w:cs="宋体"/>
          <w:sz w:val="21"/>
          <w:lang w:eastAsia="zh-CN"/>
        </w:rPr>
        <w:t>6.不存在《深圳市财政局政府采购供应商信用信息管理办法》（深财规〔2023〕3号）列明的严重违法失信行为（由供应商在《政府采购响应及履约承诺函》中作出声明）；</w:t>
      </w:r>
    </w:p>
    <w:p w14:paraId="0C3D6454">
      <w:pPr>
        <w:widowControl w:val="0"/>
        <w:ind w:firstLine="420" w:firstLineChars="200"/>
        <w:jc w:val="both"/>
        <w:rPr>
          <w:rFonts w:ascii="宋体" w:hAnsi="宋体" w:eastAsia="宋体" w:cs="宋体"/>
          <w:sz w:val="21"/>
          <w:lang w:eastAsia="zh-CN"/>
        </w:rPr>
      </w:pPr>
      <w:r>
        <w:rPr>
          <w:rFonts w:hint="eastAsia" w:ascii="宋体" w:hAnsi="宋体" w:eastAsia="宋体" w:cs="宋体"/>
          <w:sz w:val="21"/>
          <w:lang w:eastAsia="zh-CN"/>
        </w:rPr>
        <w:t>7.为采购项目提供整体设计、规范编制或者项目管理、监理、检测等服务的供应商，不得再参加该采购项目的其他采购活动（由供应商在《政府采购响应及履约承诺函》中作出声明）；</w:t>
      </w:r>
    </w:p>
    <w:p w14:paraId="09676593">
      <w:pPr>
        <w:widowControl w:val="0"/>
        <w:ind w:firstLine="420" w:firstLineChars="200"/>
        <w:jc w:val="both"/>
        <w:rPr>
          <w:rFonts w:ascii="宋体" w:hAnsi="宋体" w:eastAsia="宋体" w:cs="宋体"/>
          <w:sz w:val="21"/>
          <w:lang w:eastAsia="zh-CN"/>
        </w:rPr>
      </w:pPr>
      <w:r>
        <w:rPr>
          <w:rFonts w:hint="eastAsia" w:ascii="宋体" w:hAnsi="宋体" w:eastAsia="宋体" w:cs="宋体"/>
          <w:sz w:val="21"/>
          <w:lang w:eastAsia="zh-CN"/>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72445EB0">
      <w:pPr>
        <w:widowControl w:val="0"/>
        <w:ind w:firstLine="420" w:firstLineChars="200"/>
        <w:jc w:val="both"/>
        <w:rPr>
          <w:rFonts w:ascii="宋体" w:hAnsi="宋体" w:eastAsia="宋体" w:cs="宋体"/>
          <w:sz w:val="21"/>
          <w:lang w:eastAsia="zh-CN"/>
        </w:rPr>
      </w:pPr>
      <w:r>
        <w:rPr>
          <w:rFonts w:hint="eastAsia" w:ascii="宋体" w:hAnsi="宋体" w:eastAsia="宋体" w:cs="宋体"/>
          <w:sz w:val="21"/>
          <w:lang w:eastAsia="zh-CN"/>
        </w:rPr>
        <w:t>9.本项目全部专门面向中小企业采购：否。</w:t>
      </w:r>
    </w:p>
    <w:p w14:paraId="0649ADD1">
      <w:pPr>
        <w:widowControl w:val="0"/>
        <w:ind w:firstLine="420" w:firstLineChars="200"/>
        <w:jc w:val="both"/>
        <w:rPr>
          <w:rFonts w:ascii="宋体" w:hAnsi="宋体" w:eastAsia="宋体" w:cs="宋体"/>
          <w:sz w:val="21"/>
          <w:lang w:eastAsia="zh-CN"/>
        </w:rPr>
      </w:pPr>
      <w:r>
        <w:rPr>
          <w:rFonts w:hint="eastAsia" w:ascii="宋体" w:hAnsi="宋体" w:eastAsia="宋体" w:cs="宋体"/>
          <w:sz w:val="21"/>
          <w:lang w:eastAsia="zh-CN"/>
        </w:rPr>
        <w:t>10.必须是采购人推荐的供应商；</w:t>
      </w:r>
    </w:p>
    <w:p w14:paraId="1DFDEA62">
      <w:pPr>
        <w:widowControl w:val="0"/>
        <w:wordWrap w:val="0"/>
        <w:ind w:firstLine="420" w:firstLineChars="200"/>
        <w:jc w:val="both"/>
        <w:rPr>
          <w:rFonts w:ascii="宋体" w:hAnsi="宋体" w:eastAsia="宋体" w:cs="宋体"/>
          <w:sz w:val="21"/>
          <w:szCs w:val="21"/>
          <w:lang w:eastAsia="zh-CN"/>
        </w:rPr>
      </w:pPr>
    </w:p>
    <w:p w14:paraId="47222B2D">
      <w:pPr>
        <w:ind w:firstLine="420" w:firstLineChars="200"/>
        <w:rPr>
          <w:rFonts w:ascii="宋体" w:hAnsi="宋体" w:eastAsia="宋体"/>
          <w:kern w:val="2"/>
          <w:sz w:val="21"/>
          <w:lang w:eastAsia="zh-CN"/>
        </w:rPr>
      </w:pPr>
      <w:r>
        <w:rPr>
          <w:rFonts w:hint="eastAsia" w:ascii="宋体" w:hAnsi="宋体" w:eastAsia="宋体" w:cs="宋体"/>
          <w:sz w:val="21"/>
          <w:szCs w:val="21"/>
          <w:lang w:eastAsia="zh-CN"/>
        </w:rPr>
        <w:t>注：</w:t>
      </w:r>
      <w:r>
        <w:rPr>
          <w:rFonts w:hint="eastAsia" w:ascii="宋体" w:hAnsi="宋体" w:eastAsia="宋体"/>
          <w:kern w:val="2"/>
          <w:sz w:val="21"/>
          <w:lang w:eastAsia="zh-CN"/>
        </w:rPr>
        <w:t>（1）“信用中国”（www.creditchina.gov.cn，查询“信用服务”栏的“重大税收违法失信主体”“失信被执行人”或者下载信用信息报告），“中国政府采购网”（www.ccgp.gov.cn）中的“政府采购严重违法失信行为记录名单”，“深圳市政府采购监管网”（http://zfcg.sz.gov.cn）以及深圳市、区财政部门认可的“供应商诚信档案库”为供应商信用信息的查询渠道，相关信息以开标当日的查询结果为准；</w:t>
      </w:r>
      <w:bookmarkStart w:id="7" w:name="OLE_LINK27"/>
    </w:p>
    <w:p w14:paraId="5A40EAEA">
      <w:pPr>
        <w:ind w:firstLine="420" w:firstLineChars="200"/>
        <w:rPr>
          <w:rFonts w:eastAsia="宋体"/>
          <w:kern w:val="2"/>
          <w:sz w:val="21"/>
          <w:lang w:eastAsia="zh-CN"/>
        </w:rPr>
      </w:pPr>
      <w:r>
        <w:rPr>
          <w:rFonts w:hint="eastAsia" w:ascii="宋体" w:hAnsi="宋体" w:eastAsia="宋体"/>
          <w:kern w:val="2"/>
          <w:sz w:val="21"/>
          <w:lang w:eastAsia="zh-CN"/>
        </w:rPr>
        <w:t>（2）</w:t>
      </w:r>
      <w:r>
        <w:rPr>
          <w:rFonts w:hint="eastAsia" w:eastAsia="宋体"/>
          <w:kern w:val="2"/>
          <w:sz w:val="21"/>
          <w:lang w:eastAsia="zh-CN"/>
        </w:rPr>
        <w:t>供应商参与投标（响应）必须先行办理注册手续。如果是未注册为深圳政府采购的供应商，请访问深圳公共资源交易中心（统一用户中心 https://trade.szggzy.com/ggzy/center/#/login）,先办理注册手续（注册咨询：0755-36568999）,再进行响应报名。</w:t>
      </w:r>
    </w:p>
    <w:bookmarkEnd w:id="6"/>
    <w:bookmarkEnd w:id="7"/>
    <w:p w14:paraId="6E98164A">
      <w:pPr>
        <w:widowControl w:val="0"/>
        <w:jc w:val="both"/>
        <w:rPr>
          <w:rFonts w:ascii="宋体" w:hAnsi="宋体" w:eastAsia="宋体" w:cs="宋体"/>
          <w:b/>
          <w:color w:val="FF0000"/>
          <w:sz w:val="21"/>
          <w:szCs w:val="21"/>
          <w:highlight w:val="yellow"/>
          <w:lang w:eastAsia="zh-CN"/>
        </w:rPr>
      </w:pPr>
    </w:p>
    <w:p w14:paraId="20E35954">
      <w:pPr>
        <w:rPr>
          <w:rFonts w:eastAsia="宋体"/>
          <w:b/>
          <w:color w:val="FF0000"/>
          <w:kern w:val="2"/>
          <w:sz w:val="22"/>
          <w:szCs w:val="18"/>
          <w:lang w:eastAsia="zh-CN"/>
        </w:rPr>
      </w:pPr>
      <w:r>
        <w:rPr>
          <w:rFonts w:hint="eastAsia" w:eastAsia="宋体"/>
          <w:b/>
          <w:kern w:val="2"/>
          <w:sz w:val="22"/>
          <w:szCs w:val="18"/>
          <w:lang w:eastAsia="zh-CN"/>
        </w:rPr>
        <w:t>完整公告内容详见：</w:t>
      </w:r>
      <w:bookmarkStart w:id="8" w:name="OLE_LINK3"/>
      <w:r>
        <w:rPr>
          <w:rFonts w:hint="eastAsia" w:eastAsia="宋体"/>
          <w:b/>
          <w:color w:val="FF0000"/>
          <w:kern w:val="2"/>
          <w:sz w:val="22"/>
          <w:szCs w:val="18"/>
          <w:lang w:eastAsia="zh-CN"/>
        </w:rPr>
        <w:t>深圳交易集团罗湖分公司官网</w:t>
      </w:r>
      <w:r>
        <w:rPr>
          <w:rFonts w:hint="eastAsia" w:eastAsia="宋体"/>
          <w:b/>
          <w:color w:val="FF0000"/>
          <w:kern w:val="2"/>
          <w:sz w:val="22"/>
          <w:szCs w:val="18"/>
          <w:lang w:eastAsia="zh-CN"/>
        </w:rPr>
        <w:fldChar w:fldCharType="begin"/>
      </w:r>
      <w:r>
        <w:rPr>
          <w:rFonts w:hint="eastAsia" w:eastAsia="宋体"/>
          <w:b/>
          <w:color w:val="FF0000"/>
          <w:kern w:val="2"/>
          <w:sz w:val="22"/>
          <w:szCs w:val="18"/>
          <w:lang w:eastAsia="zh-CN"/>
        </w:rPr>
        <w:instrText xml:space="preserve"> HYPERLINK "https://lh.szexgrp.com/jyfw/zfcg-view.html?id=zfcg" </w:instrText>
      </w:r>
      <w:r>
        <w:rPr>
          <w:rFonts w:hint="eastAsia" w:eastAsia="宋体"/>
          <w:b/>
          <w:color w:val="FF0000"/>
          <w:kern w:val="2"/>
          <w:sz w:val="22"/>
          <w:szCs w:val="18"/>
          <w:lang w:eastAsia="zh-CN"/>
        </w:rPr>
        <w:fldChar w:fldCharType="separate"/>
      </w:r>
      <w:r>
        <w:rPr>
          <w:rStyle w:val="17"/>
          <w:rFonts w:hint="eastAsia" w:eastAsia="宋体"/>
          <w:b/>
          <w:kern w:val="2"/>
          <w:sz w:val="22"/>
          <w:szCs w:val="18"/>
          <w:lang w:eastAsia="zh-CN"/>
        </w:rPr>
        <w:t>https://lh.szexgrp.com/jyfw/zfcg-view.html?id=zfcg</w:t>
      </w:r>
      <w:bookmarkEnd w:id="5"/>
      <w:bookmarkEnd w:id="8"/>
      <w:r>
        <w:rPr>
          <w:rFonts w:hint="eastAsia" w:eastAsia="宋体"/>
          <w:b/>
          <w:color w:val="FF0000"/>
          <w:kern w:val="2"/>
          <w:sz w:val="22"/>
          <w:szCs w:val="18"/>
          <w:lang w:eastAsia="zh-CN"/>
        </w:rPr>
        <w:fldChar w:fldCharType="end"/>
      </w:r>
    </w:p>
    <w:p w14:paraId="228E0E70">
      <w:pPr>
        <w:rPr>
          <w:rFonts w:ascii="宋体" w:hAnsi="宋体" w:eastAsia="宋体" w:cs="宋体"/>
          <w:sz w:val="21"/>
          <w:szCs w:val="21"/>
          <w:lang w:eastAsia="zh-CN"/>
        </w:rPr>
      </w:pPr>
    </w:p>
    <w:p w14:paraId="0574B5B8">
      <w:pPr>
        <w:ind w:firstLine="480" w:firstLineChars="200"/>
        <w:rPr>
          <w:rStyle w:val="42"/>
          <w:rFonts w:ascii="等线" w:hAnsi="等线" w:eastAsia="等线" w:cs="Arial"/>
          <w:color w:val="FF0000"/>
          <w:szCs w:val="21"/>
          <w:lang w:eastAsia="zh-CN"/>
        </w:rPr>
      </w:pPr>
      <w:r>
        <w:rPr>
          <w:rStyle w:val="42"/>
          <w:rFonts w:hint="eastAsia" w:cs="Arial"/>
          <w:color w:val="FF0000"/>
          <w:szCs w:val="21"/>
          <w:lang w:eastAsia="zh-CN"/>
        </w:rPr>
        <w:t>参加谈判的供应商谈判代表应在本项目谈判当日</w:t>
      </w:r>
      <w:r>
        <w:rPr>
          <w:rStyle w:val="42"/>
          <w:rFonts w:hint="eastAsia" w:cs="Arial"/>
          <w:color w:val="FF0000"/>
          <w:szCs w:val="21"/>
          <w:highlight w:val="yellow"/>
          <w:lang w:eastAsia="zh-CN"/>
        </w:rPr>
        <w:t>9:</w:t>
      </w:r>
      <w:r>
        <w:rPr>
          <w:rStyle w:val="42"/>
          <w:rFonts w:cs="Arial"/>
          <w:color w:val="FF0000"/>
          <w:szCs w:val="21"/>
          <w:highlight w:val="yellow"/>
          <w:lang w:eastAsia="zh-CN"/>
        </w:rPr>
        <w:t>3</w:t>
      </w:r>
      <w:r>
        <w:rPr>
          <w:rStyle w:val="42"/>
          <w:rFonts w:hint="eastAsia" w:cs="Arial"/>
          <w:color w:val="FF0000"/>
          <w:szCs w:val="21"/>
          <w:highlight w:val="yellow"/>
          <w:lang w:eastAsia="zh-CN"/>
        </w:rPr>
        <w:t>0:00-</w:t>
      </w:r>
      <w:r>
        <w:rPr>
          <w:rStyle w:val="42"/>
          <w:rFonts w:cs="Arial"/>
          <w:color w:val="FF0000"/>
          <w:szCs w:val="21"/>
          <w:highlight w:val="yellow"/>
          <w:lang w:eastAsia="zh-CN"/>
        </w:rPr>
        <w:t>10</w:t>
      </w:r>
      <w:r>
        <w:rPr>
          <w:rStyle w:val="42"/>
          <w:rFonts w:hint="eastAsia" w:cs="Arial"/>
          <w:color w:val="FF0000"/>
          <w:szCs w:val="21"/>
          <w:highlight w:val="yellow"/>
          <w:lang w:eastAsia="zh-CN"/>
        </w:rPr>
        <w:t>:</w:t>
      </w:r>
      <w:r>
        <w:rPr>
          <w:rStyle w:val="42"/>
          <w:rFonts w:cs="Arial"/>
          <w:color w:val="FF0000"/>
          <w:szCs w:val="21"/>
          <w:highlight w:val="yellow"/>
          <w:lang w:eastAsia="zh-CN"/>
        </w:rPr>
        <w:t>0</w:t>
      </w:r>
      <w:r>
        <w:rPr>
          <w:rStyle w:val="42"/>
          <w:rFonts w:hint="eastAsia" w:cs="Arial"/>
          <w:color w:val="FF0000"/>
          <w:szCs w:val="21"/>
          <w:highlight w:val="yellow"/>
          <w:lang w:eastAsia="zh-CN"/>
        </w:rPr>
        <w:t>0:00（应答文件提交截止时间为上午时适用），14:</w:t>
      </w:r>
      <w:r>
        <w:rPr>
          <w:rStyle w:val="42"/>
          <w:rFonts w:cs="Arial"/>
          <w:color w:val="FF0000"/>
          <w:szCs w:val="21"/>
          <w:highlight w:val="yellow"/>
          <w:lang w:eastAsia="zh-CN"/>
        </w:rPr>
        <w:t>3</w:t>
      </w:r>
      <w:r>
        <w:rPr>
          <w:rStyle w:val="42"/>
          <w:rFonts w:hint="eastAsia" w:cs="Arial"/>
          <w:color w:val="FF0000"/>
          <w:szCs w:val="21"/>
          <w:highlight w:val="yellow"/>
          <w:lang w:eastAsia="zh-CN"/>
        </w:rPr>
        <w:t>0:00-1</w:t>
      </w:r>
      <w:r>
        <w:rPr>
          <w:rStyle w:val="42"/>
          <w:rFonts w:cs="Arial"/>
          <w:color w:val="FF0000"/>
          <w:szCs w:val="21"/>
          <w:highlight w:val="yellow"/>
          <w:lang w:eastAsia="zh-CN"/>
        </w:rPr>
        <w:t>5</w:t>
      </w:r>
      <w:r>
        <w:rPr>
          <w:rStyle w:val="42"/>
          <w:rFonts w:hint="eastAsia" w:cs="Arial"/>
          <w:color w:val="FF0000"/>
          <w:szCs w:val="21"/>
          <w:highlight w:val="yellow"/>
          <w:lang w:eastAsia="zh-CN"/>
        </w:rPr>
        <w:t>:</w:t>
      </w:r>
      <w:r>
        <w:rPr>
          <w:rStyle w:val="42"/>
          <w:rFonts w:hint="eastAsia" w:cs="Arial"/>
          <w:color w:val="FF0000"/>
          <w:szCs w:val="21"/>
          <w:highlight w:val="yellow"/>
          <w:lang w:val="en-US" w:eastAsia="zh-CN"/>
        </w:rPr>
        <w:t>00</w:t>
      </w:r>
      <w:r>
        <w:rPr>
          <w:rStyle w:val="42"/>
          <w:rFonts w:hint="eastAsia" w:cs="Arial"/>
          <w:color w:val="FF0000"/>
          <w:szCs w:val="21"/>
          <w:highlight w:val="yellow"/>
          <w:lang w:eastAsia="zh-CN"/>
        </w:rPr>
        <w:t>:00（应答文件提交截止时间为下午时适用）</w:t>
      </w:r>
      <w:r>
        <w:rPr>
          <w:rStyle w:val="42"/>
          <w:rFonts w:hint="eastAsia" w:cs="Arial"/>
          <w:color w:val="FF0000"/>
          <w:szCs w:val="21"/>
          <w:lang w:eastAsia="zh-CN"/>
        </w:rPr>
        <w:t>到谈判现场（深圳市罗湖区深南东路1076号党群服务中心4楼），填写谈判供应商签到表，并交验身份证明文件。身份证明文件指被授权的谈判代表的身份证原件(非中国国籍管辖范围人员，可以提供公安部门认可的身份证明材料)；如被授权的谈判代表不是法定代表人（负责人），也不是谈判应答文件签署授权委托书中列明的可以对谈判应答文件的修改和补充的授权委托代理人，则需同时提供法定代表人（负责人）证明书（加盖公章）、法人授权委托书（加盖公章，授权委托内容至少应当包括授权其在本项目谈判组织实施过程中对谈判应答文件进行修改和补充）、被授权的谈判代表身份证原件作为身份证明文件；以及电脑和电子密钥证书（即政府采购网登录密钥），到政府集中采购机构指定签到地点按现场工作人员指引填写签到表。</w:t>
      </w:r>
    </w:p>
    <w:p w14:paraId="44EA42A8">
      <w:pPr>
        <w:rPr>
          <w:rFonts w:ascii="宋体" w:hAnsi="宋体" w:eastAsia="宋体" w:cs="宋体"/>
          <w:sz w:val="21"/>
          <w:szCs w:val="21"/>
          <w:lang w:eastAsia="zh-CN"/>
        </w:rPr>
      </w:pPr>
      <w:r>
        <w:rPr>
          <w:rFonts w:ascii="宋体" w:hAnsi="宋体" w:eastAsia="宋体" w:cs="宋体"/>
          <w:sz w:val="21"/>
          <w:szCs w:val="21"/>
          <w:lang w:eastAsia="zh-CN"/>
        </w:rPr>
        <w:br w:type="page"/>
      </w:r>
    </w:p>
    <w:p w14:paraId="33198864">
      <w:pPr>
        <w:widowControl w:val="0"/>
        <w:ind w:firstLine="420" w:firstLineChars="200"/>
        <w:jc w:val="both"/>
        <w:rPr>
          <w:rFonts w:ascii="宋体" w:hAnsi="宋体" w:eastAsia="宋体" w:cs="宋体"/>
          <w:sz w:val="21"/>
          <w:szCs w:val="21"/>
          <w:lang w:eastAsia="zh-CN"/>
        </w:rPr>
      </w:pPr>
    </w:p>
    <w:p w14:paraId="7638BA12">
      <w:pPr>
        <w:keepNext/>
        <w:keepLines/>
        <w:widowControl w:val="0"/>
        <w:adjustRightInd w:val="0"/>
        <w:spacing w:before="260" w:after="260"/>
        <w:jc w:val="center"/>
        <w:outlineLvl w:val="1"/>
        <w:rPr>
          <w:rFonts w:ascii="宋体" w:hAnsi="宋体" w:eastAsia="宋体" w:cs="宋体"/>
          <w:b/>
          <w:bCs/>
          <w:szCs w:val="20"/>
          <w:lang w:eastAsia="zh-CN"/>
        </w:rPr>
      </w:pPr>
      <w:r>
        <w:rPr>
          <w:rFonts w:hint="eastAsia" w:ascii="宋体" w:hAnsi="宋体" w:eastAsia="宋体" w:cs="宋体"/>
          <w:b/>
          <w:bCs/>
          <w:szCs w:val="20"/>
          <w:lang w:eastAsia="zh-CN"/>
        </w:rPr>
        <w:t>第二章  项目需求书</w:t>
      </w:r>
    </w:p>
    <w:p w14:paraId="5B5AD6B3">
      <w:pPr>
        <w:keepNext/>
        <w:keepLines/>
        <w:widowControl w:val="0"/>
        <w:spacing w:before="260" w:after="260"/>
        <w:jc w:val="center"/>
        <w:outlineLvl w:val="2"/>
        <w:rPr>
          <w:rFonts w:ascii="黑体" w:hAnsi="宋体" w:eastAsia="黑体" w:cs="宋体"/>
          <w:szCs w:val="32"/>
          <w:lang w:eastAsia="zh-CN"/>
        </w:rPr>
      </w:pPr>
      <w:bookmarkStart w:id="9" w:name="_Toc128884461"/>
      <w:r>
        <w:rPr>
          <w:rFonts w:hint="eastAsia" w:ascii="黑体" w:hAnsi="宋体" w:eastAsia="黑体" w:cs="宋体"/>
          <w:szCs w:val="32"/>
          <w:lang w:eastAsia="zh-CN"/>
        </w:rPr>
        <w:t>一、</w:t>
      </w:r>
      <w:bookmarkEnd w:id="9"/>
      <w:r>
        <w:rPr>
          <w:rFonts w:hint="eastAsia" w:ascii="黑体" w:hAnsi="宋体" w:eastAsia="黑体" w:cs="宋体"/>
          <w:szCs w:val="32"/>
          <w:lang w:eastAsia="zh-CN"/>
        </w:rPr>
        <w:t>项目情况介绍</w:t>
      </w:r>
    </w:p>
    <w:p w14:paraId="521DAB64">
      <w:pPr>
        <w:keepNext/>
        <w:keepLines/>
        <w:widowControl w:val="0"/>
        <w:spacing w:before="280" w:after="290" w:line="374" w:lineRule="auto"/>
        <w:jc w:val="center"/>
        <w:outlineLvl w:val="3"/>
        <w:rPr>
          <w:rFonts w:ascii="Arial" w:hAnsi="Arial" w:eastAsia="黑体"/>
          <w:kern w:val="2"/>
          <w:lang w:eastAsia="zh-CN"/>
        </w:rPr>
      </w:pPr>
      <w:r>
        <w:rPr>
          <w:rFonts w:hint="eastAsia" w:ascii="Arial" w:hAnsi="Arial" w:eastAsia="黑体"/>
          <w:kern w:val="2"/>
          <w:lang w:eastAsia="zh-CN"/>
        </w:rPr>
        <w:t>（一）项目</w:t>
      </w:r>
      <w:bookmarkStart w:id="10" w:name="_Toc128884464"/>
      <w:r>
        <w:rPr>
          <w:rFonts w:hint="eastAsia" w:ascii="Arial" w:hAnsi="Arial" w:eastAsia="黑体"/>
          <w:kern w:val="2"/>
          <w:lang w:eastAsia="zh-CN"/>
        </w:rPr>
        <w:t>概况</w:t>
      </w:r>
    </w:p>
    <w:p w14:paraId="38F398DB">
      <w:pPr>
        <w:widowControl w:val="0"/>
        <w:ind w:firstLine="420" w:firstLineChars="200"/>
        <w:jc w:val="both"/>
        <w:rPr>
          <w:rFonts w:eastAsia="宋体"/>
          <w:kern w:val="2"/>
          <w:sz w:val="21"/>
          <w:lang w:eastAsia="zh-CN"/>
        </w:rPr>
      </w:pPr>
      <w:r>
        <w:rPr>
          <w:rFonts w:hint="eastAsia" w:ascii="宋体" w:hAnsi="宋体" w:eastAsia="宋体"/>
          <w:color w:val="000000"/>
          <w:kern w:val="2"/>
          <w:sz w:val="21"/>
          <w:szCs w:val="21"/>
          <w:lang w:eastAsia="zh-CN"/>
        </w:rPr>
        <w:t>1、</w:t>
      </w:r>
      <w:r>
        <w:rPr>
          <w:rFonts w:hint="eastAsia" w:eastAsia="宋体"/>
          <w:kern w:val="2"/>
          <w:sz w:val="21"/>
          <w:lang w:eastAsia="zh-CN"/>
        </w:rPr>
        <w:t>采购单位：</w:t>
      </w:r>
      <w:r>
        <w:rPr>
          <w:rFonts w:hint="eastAsia" w:eastAsia="宋体"/>
          <w:kern w:val="2"/>
          <w:sz w:val="21"/>
          <w:u w:val="single"/>
          <w:lang w:eastAsia="zh-CN"/>
        </w:rPr>
        <w:t xml:space="preserve"> 深圳市罗湖区融媒体中心                      </w:t>
      </w:r>
    </w:p>
    <w:p w14:paraId="30B9E4D3">
      <w:pPr>
        <w:widowControl w:val="0"/>
        <w:ind w:firstLine="420" w:firstLineChars="200"/>
        <w:jc w:val="both"/>
        <w:rPr>
          <w:rFonts w:eastAsia="宋体"/>
          <w:kern w:val="2"/>
          <w:sz w:val="21"/>
          <w:lang w:eastAsia="zh-CN"/>
        </w:rPr>
      </w:pPr>
      <w:r>
        <w:rPr>
          <w:rFonts w:hint="eastAsia" w:ascii="宋体" w:hAnsi="宋体" w:eastAsia="宋体"/>
          <w:color w:val="000000"/>
          <w:kern w:val="2"/>
          <w:sz w:val="21"/>
          <w:szCs w:val="21"/>
          <w:lang w:eastAsia="zh-CN"/>
        </w:rPr>
        <w:t>2、</w:t>
      </w:r>
      <w:r>
        <w:rPr>
          <w:rFonts w:hint="eastAsia" w:eastAsia="宋体"/>
          <w:kern w:val="2"/>
          <w:sz w:val="21"/>
          <w:lang w:eastAsia="zh-CN"/>
        </w:rPr>
        <w:t>项目关键信息：</w:t>
      </w:r>
    </w:p>
    <w:p w14:paraId="783C23E4">
      <w:pPr>
        <w:widowControl w:val="0"/>
        <w:ind w:firstLine="840" w:firstLineChars="400"/>
        <w:jc w:val="both"/>
        <w:rPr>
          <w:rFonts w:eastAsia="宋体"/>
          <w:kern w:val="2"/>
          <w:sz w:val="21"/>
          <w:lang w:eastAsia="zh-CN"/>
        </w:rPr>
      </w:pPr>
      <w:r>
        <w:rPr>
          <w:rFonts w:hint="eastAsia" w:ascii="宋体" w:hAnsi="宋体" w:eastAsia="宋体"/>
          <w:snapToGrid w:val="0"/>
          <w:color w:val="FF0000"/>
          <w:sz w:val="21"/>
          <w:lang w:eastAsia="zh-CN"/>
        </w:rPr>
        <w:t>（1）本项目预算金额：</w:t>
      </w:r>
      <w:r>
        <w:rPr>
          <w:rFonts w:hint="eastAsia" w:ascii="宋体" w:hAnsi="宋体" w:eastAsia="宋体"/>
          <w:snapToGrid w:val="0"/>
          <w:color w:val="FF0000"/>
          <w:sz w:val="21"/>
          <w:u w:val="single"/>
          <w:lang w:eastAsia="zh-CN"/>
        </w:rPr>
        <w:t xml:space="preserve">  700000   </w:t>
      </w:r>
      <w:r>
        <w:rPr>
          <w:rFonts w:hint="eastAsia" w:ascii="宋体" w:hAnsi="宋体" w:eastAsia="宋体"/>
          <w:snapToGrid w:val="0"/>
          <w:color w:val="FF0000"/>
          <w:sz w:val="21"/>
          <w:lang w:eastAsia="zh-CN"/>
        </w:rPr>
        <w:t>元；</w:t>
      </w:r>
    </w:p>
    <w:p w14:paraId="54DF8427">
      <w:pPr>
        <w:widowControl w:val="0"/>
        <w:spacing w:after="120"/>
        <w:ind w:firstLine="840" w:firstLineChars="400"/>
        <w:jc w:val="both"/>
        <w:rPr>
          <w:rFonts w:eastAsia="宋体"/>
          <w:kern w:val="2"/>
          <w:sz w:val="21"/>
          <w:lang w:eastAsia="zh-CN"/>
        </w:rPr>
      </w:pPr>
      <w:r>
        <w:rPr>
          <w:rFonts w:hint="eastAsia" w:ascii="宋体" w:hAnsi="宋体" w:eastAsia="宋体"/>
          <w:snapToGrid w:val="0"/>
          <w:color w:val="FF0000"/>
          <w:sz w:val="21"/>
          <w:lang w:eastAsia="zh-CN"/>
        </w:rPr>
        <w:t>（2）★本项目服务期限为2</w:t>
      </w:r>
      <w:r>
        <w:rPr>
          <w:rFonts w:ascii="宋体" w:hAnsi="宋体" w:eastAsia="宋体"/>
          <w:snapToGrid w:val="0"/>
          <w:color w:val="FF0000"/>
          <w:sz w:val="21"/>
          <w:lang w:eastAsia="zh-CN"/>
        </w:rPr>
        <w:t>026</w:t>
      </w:r>
      <w:r>
        <w:rPr>
          <w:rFonts w:hint="eastAsia" w:ascii="宋体" w:hAnsi="宋体" w:eastAsia="宋体"/>
          <w:snapToGrid w:val="0"/>
          <w:color w:val="FF0000"/>
          <w:sz w:val="21"/>
          <w:lang w:eastAsia="zh-CN"/>
        </w:rPr>
        <w:t>年1</w:t>
      </w:r>
      <w:r>
        <w:rPr>
          <w:rFonts w:ascii="宋体" w:hAnsi="宋体" w:eastAsia="宋体"/>
          <w:snapToGrid w:val="0"/>
          <w:color w:val="FF0000"/>
          <w:sz w:val="21"/>
          <w:lang w:eastAsia="zh-CN"/>
        </w:rPr>
        <w:t>2</w:t>
      </w:r>
      <w:r>
        <w:rPr>
          <w:rFonts w:hint="eastAsia" w:ascii="宋体" w:hAnsi="宋体" w:eastAsia="宋体"/>
          <w:snapToGrid w:val="0"/>
          <w:color w:val="FF0000"/>
          <w:sz w:val="21"/>
          <w:lang w:eastAsia="zh-CN"/>
        </w:rPr>
        <w:t>月1</w:t>
      </w:r>
      <w:r>
        <w:rPr>
          <w:rFonts w:ascii="宋体" w:hAnsi="宋体" w:eastAsia="宋体"/>
          <w:snapToGrid w:val="0"/>
          <w:color w:val="FF0000"/>
          <w:sz w:val="21"/>
          <w:lang w:eastAsia="zh-CN"/>
        </w:rPr>
        <w:t>5</w:t>
      </w:r>
      <w:r>
        <w:rPr>
          <w:rFonts w:hint="eastAsia" w:ascii="宋体" w:hAnsi="宋体" w:eastAsia="宋体"/>
          <w:snapToGrid w:val="0"/>
          <w:color w:val="FF0000"/>
          <w:sz w:val="21"/>
          <w:lang w:eastAsia="zh-CN"/>
        </w:rPr>
        <w:t>日前完成交付。本项目不是长期服务项目。</w:t>
      </w:r>
    </w:p>
    <w:p w14:paraId="17AF5373">
      <w:pPr>
        <w:widowControl w:val="0"/>
        <w:spacing w:line="360" w:lineRule="exact"/>
        <w:ind w:firstLine="420" w:firstLineChars="200"/>
        <w:rPr>
          <w:rFonts w:eastAsia="宋体"/>
          <w:kern w:val="2"/>
          <w:sz w:val="21"/>
          <w:lang w:eastAsia="zh-CN"/>
        </w:rPr>
      </w:pPr>
      <w:r>
        <w:rPr>
          <w:rFonts w:hint="eastAsia" w:eastAsia="宋体"/>
          <w:kern w:val="2"/>
          <w:sz w:val="21"/>
          <w:lang w:eastAsia="zh-CN"/>
        </w:rPr>
        <w:t>3、供应商为罗湖区融媒体中心提供2026年罗湖城区宣传片定制制作服务。当前，人工智能技术已成为数字文化创作、城市国际传播的核心驱动力，AI生成内容、智能影像制作等新技术大幅提升宣传片的视觉质感、传播效率与国际表现力，为大型国际会议、城市形象等宣传提供了全新呈现方式。为全方位展示罗湖城区形象，本项目采用传统实拍+ AI生成深度融合创新技术，全方位、立体化、国际化展示罗湖开放活力、产业实力、人文魅力与优质营商环境，向海内外传递城区发展成果、合作愿景与城区形象，提升罗湖的国际知名度与影响力。</w:t>
      </w:r>
    </w:p>
    <w:p w14:paraId="28E01429">
      <w:pPr>
        <w:widowControl w:val="0"/>
        <w:spacing w:after="120"/>
        <w:ind w:firstLine="420" w:firstLineChars="200"/>
        <w:jc w:val="both"/>
        <w:rPr>
          <w:rFonts w:eastAsia="宋体"/>
          <w:kern w:val="2"/>
          <w:sz w:val="21"/>
          <w:lang w:eastAsia="zh-CN"/>
        </w:rPr>
      </w:pPr>
    </w:p>
    <w:p w14:paraId="7E5EEC37">
      <w:pPr>
        <w:widowControl w:val="0"/>
        <w:spacing w:after="120"/>
        <w:ind w:firstLine="420" w:firstLineChars="200"/>
        <w:jc w:val="both"/>
        <w:rPr>
          <w:rFonts w:eastAsia="宋体"/>
          <w:kern w:val="2"/>
          <w:sz w:val="21"/>
          <w:lang w:eastAsia="zh-CN"/>
        </w:rPr>
      </w:pPr>
      <w:r>
        <w:rPr>
          <w:rFonts w:hint="eastAsia" w:eastAsia="宋体"/>
          <w:kern w:val="2"/>
          <w:sz w:val="21"/>
          <w:lang w:eastAsia="zh-CN"/>
        </w:rPr>
        <w:t>4.其他：第三册  第三章  响应文件的编制  响应文件的制作要求</w:t>
      </w:r>
    </w:p>
    <w:p w14:paraId="301BB6E2">
      <w:pPr>
        <w:widowControl w:val="0"/>
        <w:ind w:firstLine="411" w:firstLineChars="196"/>
        <w:jc w:val="both"/>
        <w:rPr>
          <w:rFonts w:ascii="宋体" w:hAnsi="宋体" w:eastAsia="宋体" w:cs="宋体"/>
          <w:color w:val="FF0000"/>
          <w:kern w:val="2"/>
          <w:sz w:val="21"/>
          <w:highlight w:val="yellow"/>
          <w:lang w:eastAsia="zh-CN"/>
        </w:rPr>
      </w:pPr>
      <w:r>
        <w:rPr>
          <w:rFonts w:hint="eastAsia" w:ascii="宋体" w:hAnsi="宋体" w:eastAsia="宋体" w:cs="宋体"/>
          <w:color w:val="FF0000"/>
          <w:kern w:val="2"/>
          <w:sz w:val="21"/>
          <w:highlight w:val="yellow"/>
          <w:lang w:eastAsia="zh-CN"/>
        </w:rPr>
        <w:t>13.1响应文件份数（</w:t>
      </w:r>
      <w:r>
        <w:rPr>
          <w:rFonts w:hint="eastAsia" w:ascii="宋体" w:hAnsi="宋体" w:eastAsia="宋体" w:cs="宋体"/>
          <w:color w:val="FF0000"/>
          <w:kern w:val="2"/>
          <w:sz w:val="21"/>
          <w:highlight w:val="yellow"/>
          <w:lang w:val="en-US" w:eastAsia="zh-CN"/>
        </w:rPr>
        <w:t>线下递交，需密封</w:t>
      </w:r>
      <w:r>
        <w:rPr>
          <w:rFonts w:hint="eastAsia" w:ascii="宋体" w:hAnsi="宋体" w:eastAsia="宋体" w:cs="宋体"/>
          <w:color w:val="FF0000"/>
          <w:kern w:val="2"/>
          <w:sz w:val="21"/>
          <w:highlight w:val="yellow"/>
          <w:lang w:eastAsia="zh-CN"/>
        </w:rPr>
        <w:t>）：一份正本、五份副本、一份电子文档（U盘储存）</w:t>
      </w:r>
    </w:p>
    <w:p w14:paraId="3F14A2C1">
      <w:pPr>
        <w:widowControl w:val="0"/>
        <w:spacing w:line="360" w:lineRule="exact"/>
        <w:ind w:firstLine="420" w:firstLineChars="200"/>
        <w:rPr>
          <w:rFonts w:eastAsia="宋体"/>
          <w:kern w:val="2"/>
          <w:sz w:val="21"/>
          <w:lang w:eastAsia="zh-CN"/>
        </w:rPr>
      </w:pPr>
      <w:r>
        <w:rPr>
          <w:rFonts w:hint="eastAsia" w:eastAsia="宋体"/>
          <w:kern w:val="2"/>
          <w:sz w:val="21"/>
          <w:lang w:eastAsia="zh-CN"/>
        </w:rPr>
        <w:t>13.1.1响应文件正本和副本要求：</w:t>
      </w:r>
    </w:p>
    <w:p w14:paraId="594B8BAF">
      <w:pPr>
        <w:widowControl w:val="0"/>
        <w:spacing w:line="360" w:lineRule="exact"/>
        <w:ind w:firstLine="420" w:firstLineChars="200"/>
        <w:rPr>
          <w:rFonts w:eastAsia="宋体"/>
          <w:kern w:val="2"/>
          <w:sz w:val="21"/>
          <w:lang w:eastAsia="zh-CN"/>
        </w:rPr>
      </w:pPr>
      <w:r>
        <w:rPr>
          <w:rFonts w:hint="eastAsia" w:eastAsia="宋体"/>
          <w:kern w:val="2"/>
          <w:sz w:val="21"/>
          <w:lang w:eastAsia="zh-CN"/>
        </w:rPr>
        <w:t>①响应文件正本和副本须使用不褪色墨水打印，由投标人法定代表人或其授权代表在对应位置签字，后者须将“法定代表人授权书”以书面形式附在响应文件中。副本文件可由正本文件复印而成。</w:t>
      </w:r>
    </w:p>
    <w:p w14:paraId="24911962">
      <w:pPr>
        <w:widowControl w:val="0"/>
        <w:spacing w:line="360" w:lineRule="exact"/>
        <w:ind w:firstLine="420" w:firstLineChars="200"/>
        <w:rPr>
          <w:rFonts w:eastAsia="宋体"/>
          <w:kern w:val="2"/>
          <w:sz w:val="21"/>
          <w:lang w:eastAsia="zh-CN"/>
        </w:rPr>
      </w:pPr>
      <w:r>
        <w:rPr>
          <w:rFonts w:hint="eastAsia" w:eastAsia="宋体"/>
          <w:kern w:val="2"/>
          <w:sz w:val="21"/>
          <w:lang w:eastAsia="zh-CN"/>
        </w:rPr>
        <w:t>②除投标人对错处作必要修改外，响应文件中不许有加行、涂抹或改写。若有修改须由投标人法定代表人或其授权代表进行签字，并加盖投标人公章。</w:t>
      </w:r>
    </w:p>
    <w:p w14:paraId="55F8D920">
      <w:pPr>
        <w:widowControl w:val="0"/>
        <w:spacing w:line="360" w:lineRule="exact"/>
        <w:ind w:firstLine="420" w:firstLineChars="200"/>
        <w:rPr>
          <w:rFonts w:eastAsia="宋体"/>
          <w:kern w:val="2"/>
          <w:sz w:val="21"/>
          <w:lang w:eastAsia="zh-CN"/>
        </w:rPr>
      </w:pPr>
      <w:r>
        <w:rPr>
          <w:rFonts w:hint="eastAsia" w:eastAsia="宋体"/>
          <w:kern w:val="2"/>
          <w:sz w:val="21"/>
          <w:lang w:eastAsia="zh-CN"/>
        </w:rPr>
        <w:t>③响应文件的[正本]及所有[副本]的封面均须加盖投标人公章。</w:t>
      </w:r>
    </w:p>
    <w:p w14:paraId="5634A097">
      <w:pPr>
        <w:widowControl w:val="0"/>
        <w:spacing w:line="360" w:lineRule="exact"/>
        <w:ind w:firstLine="420" w:firstLineChars="200"/>
        <w:rPr>
          <w:rFonts w:eastAsia="宋体"/>
          <w:kern w:val="2"/>
          <w:sz w:val="21"/>
          <w:lang w:eastAsia="zh-CN"/>
        </w:rPr>
      </w:pPr>
      <w:r>
        <w:rPr>
          <w:rFonts w:hint="eastAsia" w:eastAsia="宋体"/>
          <w:kern w:val="2"/>
          <w:sz w:val="21"/>
          <w:lang w:eastAsia="zh-CN"/>
        </w:rPr>
        <w:t>④响应文件的封面应注明“采购项目名称、项目编号、投标人名称、投标日期等”。</w:t>
      </w:r>
    </w:p>
    <w:p w14:paraId="70C8F4DD">
      <w:pPr>
        <w:widowControl w:val="0"/>
        <w:spacing w:line="360" w:lineRule="exact"/>
        <w:ind w:firstLine="420" w:firstLineChars="200"/>
        <w:rPr>
          <w:rFonts w:eastAsia="宋体"/>
          <w:kern w:val="2"/>
          <w:sz w:val="21"/>
          <w:lang w:eastAsia="zh-CN"/>
        </w:rPr>
      </w:pPr>
      <w:r>
        <w:rPr>
          <w:rFonts w:hint="eastAsia" w:eastAsia="宋体"/>
          <w:kern w:val="2"/>
          <w:sz w:val="21"/>
          <w:lang w:eastAsia="zh-CN"/>
        </w:rPr>
        <w:t>13.1.2电子文档要求：</w:t>
      </w:r>
    </w:p>
    <w:p w14:paraId="424E5DC1">
      <w:pPr>
        <w:widowControl w:val="0"/>
        <w:spacing w:line="360" w:lineRule="exact"/>
        <w:ind w:firstLine="420" w:firstLineChars="200"/>
        <w:rPr>
          <w:rFonts w:eastAsia="宋体"/>
          <w:kern w:val="2"/>
          <w:sz w:val="21"/>
          <w:lang w:eastAsia="zh-CN"/>
        </w:rPr>
      </w:pPr>
      <w:r>
        <w:rPr>
          <w:rFonts w:hint="eastAsia" w:eastAsia="宋体"/>
          <w:kern w:val="2"/>
          <w:sz w:val="21"/>
          <w:lang w:eastAsia="zh-CN"/>
        </w:rPr>
        <w:t>①响应文件完整的Word版本（DOC或者DOCX格式）；</w:t>
      </w:r>
    </w:p>
    <w:p w14:paraId="7ABF809A">
      <w:pPr>
        <w:widowControl w:val="0"/>
        <w:spacing w:line="360" w:lineRule="exact"/>
        <w:ind w:firstLine="420" w:firstLineChars="200"/>
        <w:rPr>
          <w:rFonts w:eastAsia="宋体"/>
          <w:kern w:val="2"/>
          <w:sz w:val="21"/>
          <w:lang w:eastAsia="zh-CN"/>
        </w:rPr>
      </w:pPr>
      <w:r>
        <w:rPr>
          <w:rFonts w:hint="eastAsia" w:eastAsia="宋体"/>
          <w:kern w:val="2"/>
          <w:sz w:val="21"/>
          <w:lang w:eastAsia="zh-CN"/>
        </w:rPr>
        <w:t>②响应文件正本扫描件（PDF要求彩色扫描，扫描页面清晰、完整），内容包括：由投标人自行制作的与响应文件正本一致的所有文件；电子文件用U盘储存。</w:t>
      </w:r>
    </w:p>
    <w:p w14:paraId="00A55AEA">
      <w:pPr>
        <w:widowControl w:val="0"/>
        <w:spacing w:line="360" w:lineRule="exact"/>
        <w:ind w:firstLine="420" w:firstLineChars="200"/>
        <w:rPr>
          <w:rFonts w:eastAsia="宋体"/>
          <w:kern w:val="2"/>
          <w:sz w:val="21"/>
          <w:lang w:eastAsia="zh-CN"/>
        </w:rPr>
      </w:pPr>
      <w:r>
        <w:rPr>
          <w:rFonts w:hint="eastAsia" w:eastAsia="宋体"/>
          <w:kern w:val="2"/>
          <w:sz w:val="21"/>
          <w:lang w:eastAsia="zh-CN"/>
        </w:rPr>
        <w:t>13.1.3其他要求：</w:t>
      </w:r>
    </w:p>
    <w:p w14:paraId="4DAF54BD">
      <w:pPr>
        <w:widowControl w:val="0"/>
        <w:spacing w:line="360" w:lineRule="exact"/>
        <w:ind w:firstLine="420" w:firstLineChars="200"/>
        <w:rPr>
          <w:rFonts w:eastAsia="宋体"/>
          <w:kern w:val="2"/>
          <w:sz w:val="21"/>
          <w:lang w:eastAsia="zh-CN"/>
        </w:rPr>
      </w:pPr>
      <w:r>
        <w:rPr>
          <w:rFonts w:hint="eastAsia" w:eastAsia="宋体"/>
          <w:kern w:val="2"/>
          <w:sz w:val="21"/>
          <w:lang w:eastAsia="zh-CN"/>
        </w:rPr>
        <w:t>响应文件应加盖骑缝章。</w:t>
      </w:r>
    </w:p>
    <w:p w14:paraId="5B0A5F38">
      <w:pPr>
        <w:pStyle w:val="8"/>
      </w:pPr>
    </w:p>
    <w:p w14:paraId="3460776C">
      <w:pPr>
        <w:widowControl w:val="0"/>
        <w:jc w:val="center"/>
        <w:rPr>
          <w:rFonts w:eastAsia="宋体"/>
          <w:b/>
          <w:kern w:val="2"/>
          <w:sz w:val="21"/>
          <w:lang w:eastAsia="zh-CN"/>
        </w:rPr>
      </w:pPr>
    </w:p>
    <w:p w14:paraId="70E9E0EF">
      <w:pPr>
        <w:widowControl w:val="0"/>
        <w:jc w:val="center"/>
        <w:rPr>
          <w:rFonts w:eastAsia="宋体"/>
          <w:b/>
          <w:kern w:val="2"/>
          <w:sz w:val="21"/>
          <w:lang w:eastAsia="zh-CN"/>
        </w:rPr>
      </w:pPr>
    </w:p>
    <w:p w14:paraId="19DB19A5">
      <w:pPr>
        <w:widowControl w:val="0"/>
        <w:jc w:val="both"/>
        <w:rPr>
          <w:rFonts w:eastAsia="宋体"/>
          <w:b/>
          <w:kern w:val="2"/>
          <w:sz w:val="21"/>
          <w:lang w:eastAsia="zh-CN"/>
        </w:rPr>
      </w:pPr>
    </w:p>
    <w:p w14:paraId="0C455BB3">
      <w:pPr>
        <w:widowControl w:val="0"/>
        <w:jc w:val="center"/>
        <w:rPr>
          <w:rFonts w:eastAsia="宋体"/>
          <w:b/>
          <w:kern w:val="2"/>
          <w:sz w:val="21"/>
          <w:lang w:eastAsia="zh-CN"/>
        </w:rPr>
      </w:pPr>
      <w:r>
        <w:rPr>
          <w:rFonts w:hint="eastAsia" w:eastAsia="宋体"/>
          <w:b/>
          <w:kern w:val="2"/>
          <w:sz w:val="21"/>
          <w:lang w:eastAsia="zh-CN"/>
        </w:rPr>
        <w:t>（二）实质性条款</w:t>
      </w:r>
    </w:p>
    <w:p w14:paraId="2BB86ADD">
      <w:pPr>
        <w:widowControl w:val="0"/>
        <w:jc w:val="center"/>
        <w:rPr>
          <w:rFonts w:eastAsia="宋体"/>
          <w:b/>
          <w:kern w:val="2"/>
          <w:sz w:val="21"/>
          <w:lang w:eastAsia="zh-CN"/>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7853"/>
      </w:tblGrid>
      <w:tr w14:paraId="6F98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72356C2">
            <w:pPr>
              <w:widowControl w:val="0"/>
              <w:jc w:val="center"/>
              <w:rPr>
                <w:rFonts w:ascii="宋体" w:hAnsi="宋体" w:eastAsia="宋体"/>
                <w:kern w:val="2"/>
                <w:sz w:val="21"/>
                <w:szCs w:val="21"/>
                <w:lang w:eastAsia="zh-CN"/>
              </w:rPr>
            </w:pPr>
            <w:r>
              <w:rPr>
                <w:rFonts w:ascii="宋体" w:hAnsi="宋体" w:eastAsia="宋体"/>
                <w:kern w:val="2"/>
                <w:sz w:val="21"/>
                <w:szCs w:val="21"/>
                <w:lang w:eastAsia="zh-CN"/>
              </w:rPr>
              <w:t>序号</w:t>
            </w:r>
          </w:p>
        </w:tc>
        <w:tc>
          <w:tcPr>
            <w:tcW w:w="7513" w:type="dxa"/>
          </w:tcPr>
          <w:p w14:paraId="4905BBFD">
            <w:pPr>
              <w:widowControl w:val="0"/>
              <w:adjustRightInd w:val="0"/>
              <w:snapToGrid w:val="0"/>
              <w:spacing w:line="360" w:lineRule="auto"/>
              <w:jc w:val="center"/>
              <w:rPr>
                <w:rFonts w:ascii="宋体" w:hAnsi="宋体" w:eastAsia="宋体"/>
                <w:b/>
                <w:sz w:val="21"/>
                <w:szCs w:val="21"/>
                <w:lang w:eastAsia="zh-CN"/>
              </w:rPr>
            </w:pPr>
            <w:r>
              <w:rPr>
                <w:rFonts w:hint="eastAsia" w:ascii="宋体" w:hAnsi="宋体" w:eastAsia="宋体"/>
                <w:b/>
                <w:sz w:val="21"/>
                <w:szCs w:val="21"/>
                <w:lang w:eastAsia="zh-CN"/>
              </w:rPr>
              <w:t>实质性条款具体内容</w:t>
            </w:r>
          </w:p>
        </w:tc>
      </w:tr>
      <w:tr w14:paraId="4369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507F251">
            <w:pPr>
              <w:widowControl w:val="0"/>
              <w:jc w:val="center"/>
              <w:rPr>
                <w:rFonts w:ascii="宋体" w:hAnsi="宋体" w:eastAsia="宋体"/>
                <w:kern w:val="2"/>
                <w:sz w:val="21"/>
                <w:szCs w:val="21"/>
                <w:lang w:eastAsia="zh-CN"/>
              </w:rPr>
            </w:pPr>
            <w:r>
              <w:rPr>
                <w:rFonts w:hint="eastAsia" w:ascii="宋体" w:hAnsi="宋体" w:eastAsia="宋体"/>
                <w:kern w:val="2"/>
                <w:sz w:val="21"/>
                <w:szCs w:val="21"/>
                <w:lang w:eastAsia="zh-CN"/>
              </w:rPr>
              <w:t>1</w:t>
            </w:r>
          </w:p>
        </w:tc>
        <w:tc>
          <w:tcPr>
            <w:tcW w:w="7513" w:type="dxa"/>
          </w:tcPr>
          <w:p w14:paraId="618D431B">
            <w:pPr>
              <w:widowControl w:val="0"/>
              <w:jc w:val="both"/>
              <w:rPr>
                <w:rFonts w:hAnsi="宋体" w:eastAsia="宋体"/>
                <w:sz w:val="21"/>
                <w:szCs w:val="21"/>
                <w:lang w:eastAsia="zh-CN"/>
              </w:rPr>
            </w:pPr>
            <w:r>
              <w:rPr>
                <w:rFonts w:hint="eastAsia" w:eastAsia="宋体"/>
                <w:color w:val="FF0000"/>
                <w:kern w:val="2"/>
                <w:sz w:val="21"/>
                <w:szCs w:val="21"/>
                <w:lang w:eastAsia="zh-CN"/>
              </w:rPr>
              <w:t>★</w:t>
            </w:r>
            <w:r>
              <w:rPr>
                <w:rFonts w:hint="eastAsia" w:eastAsia="宋体"/>
                <w:color w:val="FF0000"/>
                <w:kern w:val="2"/>
                <w:sz w:val="21"/>
                <w:lang w:eastAsia="zh-CN"/>
              </w:rPr>
              <w:t>完全满足本项目服务期限的要求。</w:t>
            </w:r>
          </w:p>
        </w:tc>
      </w:tr>
      <w:tr w14:paraId="7CB3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DF271E7">
            <w:pPr>
              <w:widowControl w:val="0"/>
              <w:jc w:val="center"/>
              <w:rPr>
                <w:rFonts w:ascii="宋体" w:hAnsi="宋体" w:eastAsia="宋体"/>
                <w:kern w:val="2"/>
                <w:sz w:val="21"/>
                <w:szCs w:val="21"/>
                <w:lang w:eastAsia="zh-CN"/>
              </w:rPr>
            </w:pPr>
            <w:r>
              <w:rPr>
                <w:rFonts w:ascii="宋体" w:hAnsi="宋体" w:eastAsia="宋体"/>
                <w:kern w:val="2"/>
                <w:sz w:val="21"/>
                <w:szCs w:val="21"/>
                <w:lang w:eastAsia="zh-CN"/>
              </w:rPr>
              <w:t>2</w:t>
            </w:r>
          </w:p>
        </w:tc>
        <w:tc>
          <w:tcPr>
            <w:tcW w:w="7513" w:type="dxa"/>
          </w:tcPr>
          <w:p w14:paraId="0C474009">
            <w:pPr>
              <w:widowControl w:val="0"/>
              <w:rPr>
                <w:rFonts w:ascii="宋体" w:hAnsi="宋体" w:eastAsia="宋体"/>
                <w:kern w:val="2"/>
                <w:sz w:val="21"/>
                <w:lang w:eastAsia="zh-CN"/>
              </w:rPr>
            </w:pPr>
            <w:r>
              <w:rPr>
                <w:rFonts w:hint="eastAsia" w:eastAsia="宋体"/>
                <w:color w:val="FF0000"/>
                <w:kern w:val="2"/>
                <w:sz w:val="21"/>
                <w:szCs w:val="21"/>
                <w:lang w:eastAsia="zh-CN"/>
              </w:rPr>
              <w:t>★</w:t>
            </w:r>
            <w:r>
              <w:rPr>
                <w:rFonts w:hint="eastAsia" w:ascii="宋体" w:hAnsi="宋体" w:eastAsia="宋体"/>
                <w:color w:val="FF0000"/>
                <w:kern w:val="2"/>
                <w:sz w:val="21"/>
                <w:lang w:eastAsia="zh-CN"/>
              </w:rPr>
              <w:t>完全满足本项目★标记条款的要求。</w:t>
            </w:r>
          </w:p>
        </w:tc>
      </w:tr>
    </w:tbl>
    <w:p w14:paraId="2C590C11">
      <w:pPr>
        <w:widowControl w:val="0"/>
        <w:jc w:val="both"/>
        <w:rPr>
          <w:rFonts w:eastAsia="宋体"/>
          <w:b/>
          <w:kern w:val="2"/>
          <w:sz w:val="21"/>
          <w:lang w:eastAsia="zh-CN"/>
        </w:rPr>
      </w:pPr>
      <w:r>
        <w:rPr>
          <w:rFonts w:hint="eastAsia" w:eastAsia="宋体"/>
          <w:b/>
          <w:kern w:val="2"/>
          <w:sz w:val="21"/>
          <w:lang w:eastAsia="zh-CN"/>
        </w:rPr>
        <w:t>注：上表所列内容为不可负偏离条款，负偏离将视为未实质性满足招标文件要求作响应无效处理。</w:t>
      </w:r>
    </w:p>
    <w:p w14:paraId="28C11A37">
      <w:pPr>
        <w:widowControl w:val="0"/>
        <w:spacing w:after="120" w:line="360" w:lineRule="auto"/>
        <w:ind w:firstLine="420" w:firstLineChars="200"/>
        <w:jc w:val="both"/>
        <w:rPr>
          <w:rFonts w:eastAsia="宋体"/>
          <w:kern w:val="2"/>
          <w:sz w:val="21"/>
          <w:lang w:eastAsia="zh-CN"/>
        </w:rPr>
      </w:pPr>
    </w:p>
    <w:p w14:paraId="2FB52376">
      <w:pPr>
        <w:keepNext/>
        <w:keepLines/>
        <w:widowControl w:val="0"/>
        <w:spacing w:before="260" w:after="260"/>
        <w:jc w:val="center"/>
        <w:outlineLvl w:val="2"/>
        <w:rPr>
          <w:rFonts w:ascii="黑体" w:hAnsi="宋体" w:eastAsia="黑体" w:cs="宋体"/>
          <w:szCs w:val="32"/>
          <w:lang w:eastAsia="zh-CN"/>
        </w:rPr>
      </w:pPr>
      <w:r>
        <w:rPr>
          <w:rFonts w:hint="eastAsia" w:ascii="黑体" w:hAnsi="宋体" w:eastAsia="黑体" w:cs="宋体"/>
          <w:szCs w:val="32"/>
          <w:lang w:eastAsia="zh-CN"/>
        </w:rPr>
        <w:t>二、项目技术及管理要求</w:t>
      </w:r>
    </w:p>
    <w:p w14:paraId="0446843E">
      <w:pPr>
        <w:widowControl w:val="0"/>
        <w:jc w:val="both"/>
        <w:rPr>
          <w:rFonts w:eastAsia="宋体"/>
          <w:kern w:val="2"/>
          <w:sz w:val="21"/>
          <w:lang w:eastAsia="zh-CN"/>
        </w:rPr>
      </w:pPr>
    </w:p>
    <w:p w14:paraId="774489E8">
      <w:pPr>
        <w:widowControl w:val="0"/>
        <w:spacing w:line="360" w:lineRule="exact"/>
        <w:ind w:firstLine="420" w:firstLineChars="200"/>
        <w:rPr>
          <w:rFonts w:eastAsia="宋体"/>
          <w:kern w:val="2"/>
          <w:sz w:val="21"/>
          <w:lang w:eastAsia="zh-CN"/>
        </w:rPr>
      </w:pPr>
      <w:r>
        <w:rPr>
          <w:rFonts w:hint="eastAsia" w:eastAsia="宋体"/>
          <w:kern w:val="2"/>
          <w:sz w:val="21"/>
          <w:lang w:eastAsia="zh-CN"/>
        </w:rPr>
        <w:t>项目完成目标</w:t>
      </w:r>
    </w:p>
    <w:p w14:paraId="192708A9">
      <w:pPr>
        <w:widowControl w:val="0"/>
        <w:spacing w:line="360" w:lineRule="exact"/>
        <w:ind w:firstLine="420" w:firstLineChars="200"/>
        <w:rPr>
          <w:rFonts w:eastAsia="宋体"/>
          <w:kern w:val="2"/>
          <w:sz w:val="21"/>
          <w:lang w:eastAsia="zh-CN"/>
        </w:rPr>
      </w:pPr>
      <w:r>
        <w:rPr>
          <w:rFonts w:hint="eastAsia" w:eastAsia="宋体"/>
          <w:kern w:val="2"/>
          <w:sz w:val="21"/>
          <w:lang w:eastAsia="zh-CN"/>
        </w:rPr>
        <w:t>1.内容生产目标</w:t>
      </w:r>
      <w:r>
        <w:rPr>
          <w:rFonts w:hint="eastAsia" w:eastAsia="宋体"/>
          <w:kern w:val="2"/>
          <w:sz w:val="21"/>
          <w:lang w:eastAsia="zh-CN"/>
        </w:rPr>
        <w:br w:type="textWrapping"/>
      </w:r>
      <w:r>
        <w:rPr>
          <w:rFonts w:hint="eastAsia" w:eastAsia="宋体"/>
          <w:kern w:val="2"/>
          <w:sz w:val="21"/>
          <w:lang w:eastAsia="zh-CN"/>
        </w:rPr>
        <w:t xml:space="preserve">   交付1条实景拍摄融合AI技术制作的罗湖城区宣传片（时长：5分钟），技术要求4K超高清画质、双语配音字幕；紧扣罗湖城区特色，政治导向正确、视觉达电影级质感，满足城区展播、海内外平台传播、外事活动使用需求。</w:t>
      </w:r>
    </w:p>
    <w:p w14:paraId="08A8922C">
      <w:pPr>
        <w:widowControl w:val="0"/>
        <w:spacing w:line="360" w:lineRule="exact"/>
        <w:ind w:firstLine="420" w:firstLineChars="200"/>
        <w:rPr>
          <w:rFonts w:eastAsia="宋体"/>
          <w:kern w:val="2"/>
          <w:sz w:val="21"/>
          <w:lang w:eastAsia="zh-CN"/>
        </w:rPr>
      </w:pPr>
      <w:r>
        <w:rPr>
          <w:rFonts w:hint="eastAsia" w:eastAsia="宋体"/>
          <w:kern w:val="2"/>
          <w:sz w:val="21"/>
          <w:lang w:eastAsia="zh-CN"/>
        </w:rPr>
        <w:t>2.视觉标准目标</w:t>
      </w:r>
    </w:p>
    <w:p w14:paraId="4437B2ED">
      <w:pPr>
        <w:widowControl w:val="0"/>
        <w:spacing w:line="360" w:lineRule="exact"/>
        <w:ind w:firstLine="420" w:firstLineChars="200"/>
        <w:rPr>
          <w:rFonts w:eastAsia="宋体"/>
          <w:kern w:val="2"/>
          <w:sz w:val="21"/>
          <w:lang w:eastAsia="zh-CN"/>
        </w:rPr>
      </w:pPr>
      <w:r>
        <w:rPr>
          <w:rFonts w:hint="eastAsia" w:eastAsia="宋体"/>
          <w:kern w:val="2"/>
          <w:sz w:val="21"/>
          <w:lang w:eastAsia="zh-CN"/>
        </w:rPr>
        <w:t>以“开放、创新、活力、多元、未来感”为核心调性，实景拍摄融合AI技术拓展视觉边界，实现国际化表达与罗湖特色高度融合。</w:t>
      </w:r>
    </w:p>
    <w:p w14:paraId="4CA725A2">
      <w:pPr>
        <w:widowControl w:val="0"/>
        <w:spacing w:line="360" w:lineRule="exact"/>
        <w:ind w:firstLine="420" w:firstLineChars="200"/>
        <w:rPr>
          <w:rFonts w:eastAsia="宋体"/>
          <w:kern w:val="2"/>
          <w:sz w:val="21"/>
          <w:lang w:eastAsia="zh-CN"/>
        </w:rPr>
      </w:pPr>
      <w:r>
        <w:rPr>
          <w:rFonts w:hint="eastAsia" w:eastAsia="宋体"/>
          <w:kern w:val="2"/>
          <w:sz w:val="21"/>
          <w:lang w:eastAsia="zh-CN"/>
        </w:rPr>
        <w:t>三、制作要求</w:t>
      </w:r>
    </w:p>
    <w:p w14:paraId="56F3AD7B">
      <w:pPr>
        <w:widowControl w:val="0"/>
        <w:spacing w:line="360" w:lineRule="exact"/>
        <w:ind w:firstLine="420" w:firstLineChars="200"/>
        <w:rPr>
          <w:rFonts w:eastAsia="宋体"/>
          <w:kern w:val="2"/>
          <w:sz w:val="21"/>
          <w:lang w:eastAsia="zh-CN"/>
        </w:rPr>
      </w:pPr>
      <w:r>
        <w:rPr>
          <w:rFonts w:hint="eastAsia" w:eastAsia="宋体"/>
          <w:kern w:val="2"/>
          <w:sz w:val="21"/>
          <w:lang w:eastAsia="zh-CN"/>
        </w:rPr>
        <w:t>1.政治导向</w:t>
      </w:r>
    </w:p>
    <w:p w14:paraId="24C8910F">
      <w:pPr>
        <w:widowControl w:val="0"/>
        <w:spacing w:line="360" w:lineRule="exact"/>
        <w:ind w:firstLine="420" w:firstLineChars="200"/>
        <w:rPr>
          <w:rFonts w:eastAsia="宋体"/>
          <w:kern w:val="2"/>
          <w:sz w:val="21"/>
          <w:lang w:eastAsia="zh-CN"/>
        </w:rPr>
      </w:pPr>
      <w:r>
        <w:rPr>
          <w:rFonts w:hint="eastAsia" w:eastAsia="宋体"/>
          <w:kern w:val="2"/>
          <w:sz w:val="21"/>
          <w:lang w:eastAsia="zh-CN"/>
        </w:rPr>
        <w:t>严格坚守正确舆论导向，遵守宣传纪律，内容符合主流价值观、政务宣传与国际传播规范，无侵权、违规、导向风险；</w:t>
      </w:r>
    </w:p>
    <w:p w14:paraId="16EA2721">
      <w:pPr>
        <w:widowControl w:val="0"/>
        <w:spacing w:line="360" w:lineRule="exact"/>
        <w:ind w:firstLine="420" w:firstLineChars="200"/>
        <w:rPr>
          <w:rFonts w:eastAsia="宋体"/>
          <w:kern w:val="2"/>
          <w:sz w:val="21"/>
          <w:lang w:eastAsia="zh-CN"/>
        </w:rPr>
      </w:pPr>
      <w:r>
        <w:rPr>
          <w:rFonts w:hint="eastAsia" w:eastAsia="宋体"/>
          <w:kern w:val="2"/>
          <w:sz w:val="21"/>
          <w:lang w:eastAsia="zh-CN"/>
        </w:rPr>
        <w:t>2.制作技术</w:t>
      </w:r>
    </w:p>
    <w:p w14:paraId="1A54614E">
      <w:pPr>
        <w:widowControl w:val="0"/>
        <w:spacing w:line="360" w:lineRule="exact"/>
        <w:ind w:firstLine="420" w:firstLineChars="200"/>
        <w:rPr>
          <w:rFonts w:eastAsia="宋体"/>
          <w:kern w:val="2"/>
          <w:sz w:val="21"/>
          <w:lang w:eastAsia="zh-CN"/>
        </w:rPr>
      </w:pPr>
      <w:r>
        <w:rPr>
          <w:rFonts w:hint="eastAsia" w:eastAsia="宋体"/>
          <w:kern w:val="2"/>
          <w:sz w:val="21"/>
          <w:lang w:eastAsia="zh-CN"/>
        </w:rPr>
        <w:t>采用传统实拍+AI生成深度融合模式，成片分辨率不低于4K，格式为MP4，音效清晰、无版权纠纷。</w:t>
      </w:r>
    </w:p>
    <w:p w14:paraId="6E55DD5C">
      <w:pPr>
        <w:widowControl w:val="0"/>
        <w:spacing w:line="360" w:lineRule="exact"/>
        <w:ind w:firstLine="420" w:firstLineChars="200"/>
        <w:rPr>
          <w:rFonts w:eastAsia="宋体"/>
          <w:kern w:val="2"/>
          <w:sz w:val="21"/>
          <w:lang w:eastAsia="zh-CN"/>
        </w:rPr>
      </w:pPr>
      <w:r>
        <w:rPr>
          <w:rFonts w:hint="eastAsia" w:eastAsia="宋体"/>
          <w:kern w:val="2"/>
          <w:sz w:val="21"/>
          <w:lang w:eastAsia="zh-CN"/>
        </w:rPr>
        <w:t>3.团队资质</w:t>
      </w:r>
    </w:p>
    <w:p w14:paraId="46A5F17E">
      <w:pPr>
        <w:widowControl w:val="0"/>
        <w:spacing w:line="360" w:lineRule="exact"/>
        <w:ind w:firstLine="420" w:firstLineChars="200"/>
        <w:rPr>
          <w:rFonts w:eastAsia="宋体"/>
          <w:kern w:val="2"/>
          <w:sz w:val="21"/>
          <w:lang w:eastAsia="zh-CN"/>
        </w:rPr>
      </w:pPr>
      <w:r>
        <w:rPr>
          <w:rFonts w:hint="eastAsia" w:eastAsia="宋体"/>
          <w:kern w:val="2"/>
          <w:sz w:val="21"/>
          <w:lang w:eastAsia="zh-CN"/>
        </w:rPr>
        <w:t>项目固定团队不少于</w:t>
      </w:r>
      <w:r>
        <w:rPr>
          <w:rFonts w:eastAsia="宋体"/>
          <w:kern w:val="2"/>
          <w:sz w:val="21"/>
          <w:lang w:eastAsia="zh-CN"/>
        </w:rPr>
        <w:t>5</w:t>
      </w:r>
      <w:r>
        <w:rPr>
          <w:rFonts w:hint="eastAsia" w:eastAsia="宋体"/>
          <w:kern w:val="2"/>
          <w:sz w:val="21"/>
          <w:lang w:eastAsia="zh-CN"/>
        </w:rPr>
        <w:t>人，具备大型宣传片制作、AI宣传片制作等相关经验。</w:t>
      </w:r>
    </w:p>
    <w:p w14:paraId="36AD1873">
      <w:pPr>
        <w:widowControl w:val="0"/>
        <w:spacing w:line="360" w:lineRule="exact"/>
        <w:ind w:firstLine="420" w:firstLineChars="200"/>
        <w:rPr>
          <w:rFonts w:eastAsia="宋体"/>
          <w:kern w:val="2"/>
          <w:sz w:val="21"/>
          <w:lang w:eastAsia="zh-CN"/>
        </w:rPr>
      </w:pPr>
      <w:r>
        <w:rPr>
          <w:rFonts w:hint="eastAsia" w:eastAsia="宋体"/>
          <w:kern w:val="2"/>
          <w:sz w:val="21"/>
          <w:lang w:eastAsia="zh-CN"/>
        </w:rPr>
        <w:t>4.视觉标准</w:t>
      </w:r>
    </w:p>
    <w:p w14:paraId="018904D4">
      <w:pPr>
        <w:ind w:firstLine="420" w:firstLineChars="200"/>
        <w:rPr>
          <w:rFonts w:ascii="宋体" w:hAnsi="宋体" w:eastAsia="宋体" w:cs="宋体"/>
          <w:lang w:eastAsia="zh-CN"/>
        </w:rPr>
      </w:pPr>
      <w:r>
        <w:rPr>
          <w:rFonts w:hint="eastAsia" w:eastAsia="宋体"/>
          <w:kern w:val="2"/>
          <w:sz w:val="21"/>
          <w:lang w:eastAsia="zh-CN"/>
        </w:rPr>
        <w:t>以“开放、创新、活力、多元、未来感”为核心调性，实景拍摄融合</w:t>
      </w:r>
      <w:r>
        <w:rPr>
          <w:rFonts w:eastAsia="宋体"/>
          <w:kern w:val="2"/>
          <w:sz w:val="21"/>
          <w:lang w:eastAsia="zh-CN"/>
        </w:rPr>
        <w:t>AI</w:t>
      </w:r>
      <w:r>
        <w:rPr>
          <w:rFonts w:hint="eastAsia" w:eastAsia="宋体"/>
          <w:kern w:val="2"/>
          <w:sz w:val="21"/>
          <w:lang w:eastAsia="zh-CN"/>
        </w:rPr>
        <w:t>技术拓展视觉边界，实现国际化表达与罗湖特色高度融合。成片达到电影级视觉效果，叙事节奏、</w:t>
      </w:r>
      <w:r>
        <w:rPr>
          <w:rFonts w:eastAsia="宋体"/>
          <w:kern w:val="2"/>
          <w:sz w:val="21"/>
          <w:lang w:eastAsia="zh-CN"/>
        </w:rPr>
        <w:t>AI</w:t>
      </w:r>
      <w:r>
        <w:rPr>
          <w:rFonts w:hint="eastAsia" w:eastAsia="宋体"/>
          <w:kern w:val="2"/>
          <w:sz w:val="21"/>
          <w:lang w:eastAsia="zh-CN"/>
        </w:rPr>
        <w:t>特效、画面质感符合国际传播要求，双语规范准确。</w:t>
      </w:r>
      <w:r>
        <w:rPr>
          <w:rFonts w:hint="eastAsia" w:ascii="宋体" w:hAnsi="宋体" w:eastAsia="宋体" w:cs="宋体"/>
          <w:lang w:eastAsia="zh-CN"/>
        </w:rPr>
        <w:t xml:space="preserve"> </w:t>
      </w:r>
    </w:p>
    <w:p w14:paraId="306EB256">
      <w:pPr>
        <w:widowControl w:val="0"/>
        <w:spacing w:line="360" w:lineRule="exact"/>
        <w:ind w:firstLine="420" w:firstLineChars="200"/>
        <w:rPr>
          <w:rFonts w:eastAsia="宋体"/>
          <w:kern w:val="2"/>
          <w:sz w:val="21"/>
          <w:lang w:eastAsia="zh-CN"/>
        </w:rPr>
      </w:pPr>
    </w:p>
    <w:p w14:paraId="3A2F0019">
      <w:pPr>
        <w:widowControl w:val="0"/>
        <w:spacing w:line="360" w:lineRule="exact"/>
        <w:ind w:firstLine="420" w:firstLineChars="200"/>
        <w:rPr>
          <w:rFonts w:eastAsia="宋体"/>
          <w:kern w:val="2"/>
          <w:sz w:val="21"/>
          <w:lang w:eastAsia="zh-CN"/>
        </w:rPr>
      </w:pPr>
      <w:r>
        <w:rPr>
          <w:rFonts w:hint="eastAsia" w:eastAsia="宋体"/>
          <w:kern w:val="2"/>
          <w:sz w:val="21"/>
          <w:lang w:eastAsia="zh-CN"/>
        </w:rPr>
        <w:t>四、创意方向（供参考）</w:t>
      </w:r>
    </w:p>
    <w:p w14:paraId="75308929">
      <w:pPr>
        <w:widowControl w:val="0"/>
        <w:spacing w:line="360" w:lineRule="exact"/>
        <w:ind w:firstLine="420" w:firstLineChars="200"/>
        <w:rPr>
          <w:rFonts w:eastAsia="宋体"/>
          <w:kern w:val="2"/>
          <w:sz w:val="21"/>
          <w:lang w:eastAsia="zh-CN"/>
        </w:rPr>
      </w:pPr>
      <w:r>
        <w:rPr>
          <w:rFonts w:hint="eastAsia" w:eastAsia="宋体"/>
          <w:kern w:val="2"/>
          <w:sz w:val="21"/>
          <w:lang w:eastAsia="zh-CN"/>
        </w:rPr>
        <w:t>1.方向一《萌闯罗湖城》：以罗湖城区宣传为契机，采用AI特效与实景拍摄深度融合的形式，打造轻量化、高传播度的萌趣奇幻短片。创新塑造多款代表不同文化的动物头人身“城区探险官”IP形象，人设鲜明且兼具地域特色与辨识度，通过探险官们的多视角视角，穿行罗湖口岸、东门老街、水贝商圈等核心场景，既展现罗湖深港联动的枢纽活力、百年商贸底蕴，也呈现潮流消费、科创文创等多元风采，传递罗湖开放包容、活力新潮的城区气质；</w:t>
      </w:r>
    </w:p>
    <w:p w14:paraId="753A9E17">
      <w:pPr>
        <w:widowControl w:val="0"/>
        <w:spacing w:line="360" w:lineRule="exact"/>
        <w:ind w:firstLine="420" w:firstLineChars="200"/>
        <w:rPr>
          <w:rFonts w:eastAsia="宋体"/>
          <w:kern w:val="2"/>
          <w:sz w:val="21"/>
          <w:lang w:eastAsia="zh-CN"/>
        </w:rPr>
      </w:pPr>
      <w:r>
        <w:rPr>
          <w:rFonts w:hint="eastAsia" w:eastAsia="宋体"/>
          <w:kern w:val="2"/>
          <w:sz w:val="21"/>
          <w:lang w:eastAsia="zh-CN"/>
        </w:rPr>
        <w:t>2.方向二《罗湖奇遇手册》：依托AI影像优化与真人实景拍摄相结合的方式，以多位不同国家的外国友人为第一视角，采用幽默夸张的奇遇叙事形式，融入多元文化碰撞的趣味细节。镜头跟随外国友人体验罗湖的跨境便利、智慧便民服务、潮流文旅场景与特色烟火生活，在轻松诙谐的氛围中，生动展现罗湖现代化的城市风貌、完善的配套设施以及兼容并蓄的文化氛围，让观众直观感受罗湖的便捷与魅力。</w:t>
      </w:r>
    </w:p>
    <w:p w14:paraId="72D3C917">
      <w:pPr>
        <w:widowControl w:val="0"/>
        <w:spacing w:line="360" w:lineRule="exact"/>
        <w:ind w:firstLine="420" w:firstLineChars="200"/>
        <w:rPr>
          <w:rFonts w:eastAsia="宋体"/>
          <w:kern w:val="2"/>
          <w:sz w:val="21"/>
          <w:lang w:eastAsia="zh-CN"/>
        </w:rPr>
      </w:pPr>
      <w:r>
        <w:rPr>
          <w:rFonts w:hint="eastAsia" w:eastAsia="宋体"/>
          <w:kern w:val="2"/>
          <w:sz w:val="21"/>
          <w:lang w:eastAsia="zh-CN"/>
        </w:rPr>
        <w:t>五、服务内容要求</w:t>
      </w:r>
    </w:p>
    <w:p w14:paraId="7550178D">
      <w:pPr>
        <w:widowControl w:val="0"/>
        <w:spacing w:line="360" w:lineRule="exact"/>
        <w:ind w:firstLine="420" w:firstLineChars="200"/>
        <w:rPr>
          <w:rFonts w:eastAsia="宋体"/>
          <w:kern w:val="2"/>
          <w:sz w:val="21"/>
          <w:lang w:eastAsia="zh-CN"/>
        </w:rPr>
      </w:pPr>
      <w:r>
        <w:rPr>
          <w:rFonts w:hint="eastAsia" w:eastAsia="宋体"/>
          <w:kern w:val="2"/>
          <w:sz w:val="21"/>
          <w:lang w:eastAsia="zh-CN"/>
        </w:rPr>
        <w:t>1.交付1条5分钟完整版宣传片；</w:t>
      </w:r>
    </w:p>
    <w:p w14:paraId="76EF7DC6">
      <w:pPr>
        <w:widowControl w:val="0"/>
        <w:spacing w:line="360" w:lineRule="exact"/>
        <w:ind w:firstLine="420" w:firstLineChars="200"/>
        <w:rPr>
          <w:rFonts w:eastAsia="宋体"/>
          <w:kern w:val="2"/>
          <w:sz w:val="21"/>
          <w:lang w:eastAsia="zh-CN"/>
        </w:rPr>
      </w:pPr>
      <w:r>
        <w:rPr>
          <w:rFonts w:hint="eastAsia" w:eastAsia="宋体"/>
          <w:kern w:val="2"/>
          <w:sz w:val="21"/>
          <w:lang w:eastAsia="zh-CN"/>
        </w:rPr>
        <w:t>2.核心内容覆盖罗湖城区特色；</w:t>
      </w:r>
    </w:p>
    <w:p w14:paraId="12980D92">
      <w:pPr>
        <w:widowControl w:val="0"/>
        <w:spacing w:line="360" w:lineRule="exact"/>
        <w:ind w:firstLine="420" w:firstLineChars="200"/>
        <w:rPr>
          <w:rFonts w:ascii="仿宋_GB2312" w:hAnsi="仿宋_GB2312" w:eastAsia="仿宋_GB2312" w:cs="仿宋_GB2312"/>
          <w:sz w:val="32"/>
          <w:szCs w:val="32"/>
          <w:lang w:eastAsia="zh-CN"/>
        </w:rPr>
      </w:pPr>
      <w:r>
        <w:rPr>
          <w:rFonts w:hint="eastAsia" w:eastAsia="宋体"/>
          <w:kern w:val="2"/>
          <w:sz w:val="21"/>
          <w:lang w:eastAsia="zh-CN"/>
        </w:rPr>
        <w:t>3.语言版本：提供双语配音+双语字幕，适配国际传播。</w:t>
      </w:r>
    </w:p>
    <w:p w14:paraId="6DFDC2BD">
      <w:pPr>
        <w:widowControl w:val="0"/>
        <w:jc w:val="both"/>
        <w:rPr>
          <w:rFonts w:eastAsia="宋体"/>
          <w:kern w:val="2"/>
          <w:sz w:val="21"/>
          <w:lang w:eastAsia="zh-CN"/>
        </w:rPr>
      </w:pPr>
    </w:p>
    <w:p w14:paraId="01130192">
      <w:pPr>
        <w:widowControl w:val="0"/>
        <w:jc w:val="both"/>
        <w:rPr>
          <w:rFonts w:eastAsia="宋体"/>
          <w:kern w:val="2"/>
          <w:sz w:val="21"/>
          <w:lang w:eastAsia="zh-CN"/>
        </w:rPr>
      </w:pPr>
    </w:p>
    <w:p w14:paraId="2FF3E02C">
      <w:pPr>
        <w:widowControl w:val="0"/>
        <w:jc w:val="both"/>
        <w:rPr>
          <w:rFonts w:ascii="Calibri" w:hAnsi="Calibri" w:eastAsia="宋体"/>
          <w:kern w:val="2"/>
          <w:sz w:val="21"/>
          <w:szCs w:val="22"/>
          <w:lang w:eastAsia="zh-CN"/>
        </w:rPr>
      </w:pPr>
    </w:p>
    <w:p w14:paraId="02741614">
      <w:pPr>
        <w:widowControl w:val="0"/>
        <w:jc w:val="both"/>
        <w:rPr>
          <w:rFonts w:ascii="Calibri" w:hAnsi="Calibri" w:eastAsia="宋体"/>
          <w:kern w:val="2"/>
          <w:sz w:val="21"/>
          <w:szCs w:val="22"/>
          <w:lang w:eastAsia="zh-CN"/>
        </w:rPr>
      </w:pPr>
    </w:p>
    <w:p w14:paraId="22F01E81">
      <w:pPr>
        <w:widowControl w:val="0"/>
        <w:jc w:val="both"/>
        <w:rPr>
          <w:rFonts w:ascii="Calibri" w:hAnsi="Calibri" w:eastAsia="宋体"/>
          <w:kern w:val="2"/>
          <w:sz w:val="21"/>
          <w:szCs w:val="22"/>
          <w:lang w:eastAsia="zh-CN"/>
        </w:rPr>
      </w:pPr>
    </w:p>
    <w:p w14:paraId="1AD088D0">
      <w:pPr>
        <w:widowControl w:val="0"/>
        <w:jc w:val="both"/>
        <w:rPr>
          <w:rFonts w:ascii="Calibri" w:hAnsi="Calibri" w:eastAsia="宋体"/>
          <w:kern w:val="2"/>
          <w:sz w:val="21"/>
          <w:szCs w:val="22"/>
          <w:lang w:eastAsia="zh-CN"/>
        </w:rPr>
      </w:pPr>
    </w:p>
    <w:p w14:paraId="57DD42E4">
      <w:pPr>
        <w:widowControl w:val="0"/>
        <w:jc w:val="both"/>
        <w:rPr>
          <w:rFonts w:eastAsia="宋体"/>
          <w:kern w:val="2"/>
          <w:sz w:val="21"/>
          <w:lang w:eastAsia="zh-CN"/>
        </w:rPr>
      </w:pPr>
    </w:p>
    <w:p w14:paraId="0470E674">
      <w:pPr>
        <w:widowControl w:val="0"/>
        <w:jc w:val="both"/>
        <w:rPr>
          <w:rFonts w:eastAsia="宋体"/>
          <w:kern w:val="2"/>
          <w:sz w:val="21"/>
          <w:lang w:eastAsia="zh-CN"/>
        </w:rPr>
      </w:pPr>
    </w:p>
    <w:p w14:paraId="573B9044">
      <w:pPr>
        <w:widowControl w:val="0"/>
        <w:jc w:val="both"/>
        <w:rPr>
          <w:rFonts w:eastAsia="宋体"/>
          <w:kern w:val="2"/>
          <w:sz w:val="21"/>
          <w:lang w:eastAsia="zh-CN"/>
        </w:rPr>
      </w:pPr>
    </w:p>
    <w:bookmarkEnd w:id="10"/>
    <w:p w14:paraId="0C3815C5">
      <w:pPr>
        <w:keepNext/>
        <w:keepLines/>
        <w:widowControl w:val="0"/>
        <w:spacing w:before="260" w:after="260"/>
        <w:jc w:val="center"/>
        <w:outlineLvl w:val="2"/>
        <w:rPr>
          <w:rFonts w:ascii="黑体" w:hAnsi="宋体" w:eastAsia="黑体" w:cs="宋体"/>
          <w:szCs w:val="32"/>
          <w:lang w:eastAsia="zh-CN"/>
        </w:rPr>
      </w:pPr>
      <w:bookmarkStart w:id="11" w:name="_Toc128884465"/>
      <w:r>
        <w:rPr>
          <w:rFonts w:hint="eastAsia" w:ascii="黑体" w:hAnsi="宋体" w:eastAsia="黑体" w:cs="宋体"/>
          <w:szCs w:val="32"/>
          <w:lang w:eastAsia="zh-CN"/>
        </w:rPr>
        <w:t>三、</w:t>
      </w:r>
      <w:bookmarkEnd w:id="11"/>
      <w:r>
        <w:rPr>
          <w:rFonts w:hint="eastAsia" w:ascii="黑体" w:hAnsi="宋体" w:eastAsia="黑体" w:cs="宋体"/>
          <w:szCs w:val="32"/>
          <w:lang w:eastAsia="zh-CN"/>
        </w:rPr>
        <w:t>项目商务要求</w:t>
      </w:r>
    </w:p>
    <w:p w14:paraId="060A368A">
      <w:pPr>
        <w:keepNext/>
        <w:keepLines/>
        <w:widowControl w:val="0"/>
        <w:spacing w:before="280" w:after="290" w:line="374" w:lineRule="auto"/>
        <w:jc w:val="center"/>
        <w:outlineLvl w:val="3"/>
        <w:rPr>
          <w:rFonts w:ascii="Arial" w:hAnsi="Arial" w:eastAsia="黑体"/>
          <w:kern w:val="2"/>
          <w:lang w:eastAsia="zh-CN"/>
        </w:rPr>
      </w:pPr>
      <w:r>
        <w:rPr>
          <w:rFonts w:hint="eastAsia" w:ascii="Arial" w:hAnsi="Arial" w:eastAsia="黑体"/>
          <w:kern w:val="2"/>
          <w:lang w:eastAsia="zh-CN"/>
        </w:rPr>
        <w:t>（一）履约保证金</w:t>
      </w:r>
    </w:p>
    <w:p w14:paraId="3E2668E5">
      <w:pPr>
        <w:widowControl w:val="0"/>
        <w:spacing w:before="60" w:beforeLines="25" w:after="60" w:afterLines="25" w:line="360" w:lineRule="exact"/>
        <w:ind w:firstLine="392" w:firstLineChars="187"/>
        <w:jc w:val="both"/>
        <w:rPr>
          <w:rFonts w:ascii="宋体" w:hAnsi="宋体" w:eastAsia="宋体"/>
          <w:color w:val="000000"/>
          <w:kern w:val="2"/>
          <w:sz w:val="21"/>
          <w:szCs w:val="21"/>
          <w:lang w:eastAsia="zh-CN"/>
        </w:rPr>
      </w:pPr>
      <w:bookmarkStart w:id="12" w:name="OLE_LINK9"/>
      <w:r>
        <w:rPr>
          <w:rFonts w:hint="eastAsia" w:ascii="宋体" w:hAnsi="宋体" w:eastAsia="宋体" w:cstheme="minorBidi"/>
          <w:color w:val="000000"/>
          <w:kern w:val="2"/>
          <w:sz w:val="21"/>
          <w:szCs w:val="21"/>
          <w:lang w:eastAsia="zh-CN"/>
        </w:rPr>
        <w:t>本项目无需提供履约保证金。</w:t>
      </w:r>
    </w:p>
    <w:p w14:paraId="04297213">
      <w:pPr>
        <w:keepNext/>
        <w:keepLines/>
        <w:widowControl w:val="0"/>
        <w:spacing w:before="280" w:after="290" w:line="400" w:lineRule="exact"/>
        <w:jc w:val="center"/>
        <w:outlineLvl w:val="3"/>
        <w:rPr>
          <w:rFonts w:ascii="Arial" w:hAnsi="Arial" w:eastAsia="黑体"/>
          <w:kern w:val="2"/>
          <w:lang w:eastAsia="zh-CN"/>
        </w:rPr>
      </w:pPr>
      <w:r>
        <w:rPr>
          <w:rFonts w:hint="eastAsia" w:ascii="Arial" w:hAnsi="Arial" w:eastAsia="黑体"/>
          <w:kern w:val="2"/>
          <w:lang w:eastAsia="zh-CN"/>
        </w:rPr>
        <w:t>（二）响应报价构成</w:t>
      </w:r>
    </w:p>
    <w:bookmarkEnd w:id="12"/>
    <w:p w14:paraId="45B65070">
      <w:pPr>
        <w:spacing w:line="360" w:lineRule="exact"/>
        <w:ind w:firstLine="420" w:firstLineChars="200"/>
        <w:rPr>
          <w:rFonts w:ascii="宋体" w:hAnsi="宋体" w:eastAsia="宋体"/>
          <w:color w:val="000000"/>
          <w:kern w:val="2"/>
          <w:sz w:val="21"/>
          <w:szCs w:val="21"/>
          <w:lang w:eastAsia="zh-CN"/>
        </w:rPr>
      </w:pPr>
      <w:r>
        <w:rPr>
          <w:rFonts w:hint="eastAsia" w:ascii="宋体" w:hAnsi="宋体" w:eastAsia="宋体" w:cstheme="minorBidi"/>
          <w:color w:val="000000"/>
          <w:kern w:val="2"/>
          <w:sz w:val="21"/>
          <w:szCs w:val="21"/>
          <w:lang w:eastAsia="zh-CN"/>
        </w:rPr>
        <w:t>1、本项目响应报价采用包干制，应包括成本、法定税费和相应的利润，应涵盖本项目招标范围和招标文件所列的各项内容中所述的全部。由投标人根据招标需求自行测算响应报价；一经中标，响应报价即作为中标单位与采购人签订的合同金额。</w:t>
      </w:r>
    </w:p>
    <w:p w14:paraId="7E71E1E5">
      <w:pPr>
        <w:spacing w:line="360" w:lineRule="exact"/>
        <w:ind w:firstLine="420" w:firstLineChars="200"/>
        <w:rPr>
          <w:rFonts w:ascii="宋体" w:hAnsi="宋体" w:eastAsia="宋体"/>
          <w:color w:val="000000"/>
          <w:kern w:val="2"/>
          <w:sz w:val="21"/>
          <w:szCs w:val="21"/>
          <w:lang w:eastAsia="zh-CN"/>
        </w:rPr>
      </w:pPr>
      <w:r>
        <w:rPr>
          <w:rFonts w:hint="eastAsia" w:ascii="宋体" w:hAnsi="宋体" w:eastAsia="宋体" w:cstheme="minorBidi"/>
          <w:color w:val="000000"/>
          <w:kern w:val="2"/>
          <w:sz w:val="21"/>
          <w:szCs w:val="21"/>
          <w:lang w:eastAsia="zh-CN"/>
        </w:rPr>
        <w:t>2、投标人应充分了解项目的位置、情况、道路及任何其它足以影响响应报价的情况，任何因忽视或误解项目情况而导致的索赔或服务期限延长申请将不获批准。</w:t>
      </w:r>
    </w:p>
    <w:p w14:paraId="33B87A27">
      <w:pPr>
        <w:spacing w:line="360" w:lineRule="exact"/>
        <w:ind w:firstLine="420" w:firstLineChars="200"/>
        <w:rPr>
          <w:rFonts w:ascii="宋体" w:hAnsi="宋体" w:eastAsia="宋体"/>
          <w:color w:val="000000"/>
          <w:kern w:val="2"/>
          <w:sz w:val="21"/>
          <w:szCs w:val="21"/>
          <w:lang w:eastAsia="zh-CN"/>
        </w:rPr>
      </w:pPr>
      <w:r>
        <w:rPr>
          <w:rFonts w:hint="eastAsia" w:ascii="宋体" w:hAnsi="宋体" w:eastAsia="宋体" w:cstheme="minorBidi"/>
          <w:color w:val="000000"/>
          <w:kern w:val="2"/>
          <w:sz w:val="21"/>
          <w:szCs w:val="21"/>
          <w:lang w:eastAsia="zh-CN"/>
        </w:rPr>
        <w:t>3、投标人不得期望通过索赔等方式获取补偿，否则，除可能遭到拒绝外，还可能将被作为不良行为记录在案，并可能影响其以后参加政府采购的项目响应。各投标人在响应报价时，应充分考虑响应报价的风险。</w:t>
      </w:r>
    </w:p>
    <w:p w14:paraId="4F6782E7">
      <w:pPr>
        <w:spacing w:line="360" w:lineRule="exact"/>
        <w:ind w:firstLine="420" w:firstLineChars="200"/>
        <w:rPr>
          <w:rFonts w:ascii="宋体" w:hAnsi="宋体" w:eastAsia="宋体"/>
          <w:color w:val="000000"/>
          <w:kern w:val="2"/>
          <w:sz w:val="21"/>
          <w:szCs w:val="21"/>
          <w:lang w:eastAsia="zh-CN"/>
        </w:rPr>
      </w:pPr>
      <w:r>
        <w:rPr>
          <w:rFonts w:hint="eastAsia" w:ascii="宋体" w:hAnsi="宋体" w:eastAsia="宋体" w:cstheme="minorBidi"/>
          <w:color w:val="000000"/>
          <w:kern w:val="2"/>
          <w:sz w:val="21"/>
          <w:szCs w:val="21"/>
          <w:lang w:eastAsia="zh-CN"/>
        </w:rPr>
        <w:t>4、除政府采购合同继续履行将损害国家利益和社会公共利益外，双方当事人不得擅自变更、中止或者终止合同。</w:t>
      </w:r>
    </w:p>
    <w:p w14:paraId="5DD417CA">
      <w:pPr>
        <w:keepNext/>
        <w:keepLines/>
        <w:widowControl w:val="0"/>
        <w:spacing w:before="280" w:after="290" w:line="400" w:lineRule="exact"/>
        <w:jc w:val="center"/>
        <w:outlineLvl w:val="3"/>
        <w:rPr>
          <w:rFonts w:ascii="Arial" w:hAnsi="Arial" w:eastAsia="黑体"/>
          <w:kern w:val="2"/>
          <w:lang w:eastAsia="zh-CN"/>
        </w:rPr>
      </w:pPr>
      <w:bookmarkStart w:id="13" w:name="OLE_LINK37"/>
      <w:r>
        <w:rPr>
          <w:rFonts w:hint="eastAsia" w:ascii="Arial" w:hAnsi="Arial" w:eastAsia="黑体"/>
          <w:kern w:val="2"/>
          <w:lang w:eastAsia="zh-CN"/>
        </w:rPr>
        <w:t>（三）其他重要条款</w:t>
      </w:r>
    </w:p>
    <w:p w14:paraId="5EAFBD90">
      <w:pPr>
        <w:spacing w:line="360" w:lineRule="exact"/>
        <w:ind w:firstLine="420" w:firstLineChars="200"/>
        <w:rPr>
          <w:rFonts w:ascii="宋体" w:hAnsi="宋体" w:eastAsia="宋体"/>
          <w:color w:val="000000"/>
          <w:kern w:val="2"/>
          <w:sz w:val="21"/>
          <w:szCs w:val="21"/>
          <w:lang w:eastAsia="zh-CN"/>
        </w:rPr>
      </w:pPr>
      <w:r>
        <w:rPr>
          <w:rFonts w:hint="eastAsia" w:ascii="宋体" w:hAnsi="宋体" w:eastAsia="宋体" w:cstheme="minorBidi"/>
          <w:color w:val="000000"/>
          <w:kern w:val="2"/>
          <w:sz w:val="21"/>
          <w:szCs w:val="21"/>
          <w:lang w:eastAsia="zh-CN"/>
        </w:rPr>
        <w:t>1、“信用中国”中“信用服务”栏的“重大税收违法失信主体”“失信被执行人”，“中国政府采购网”中的“政府采购严重违法失信行为记录名单”，“深圳市政府采购监管网”以及</w:t>
      </w:r>
      <w:r>
        <w:rPr>
          <w:rFonts w:hint="eastAsia" w:ascii="宋体" w:hAnsi="宋体" w:eastAsia="宋体" w:cs="宋体"/>
          <w:kern w:val="2"/>
          <w:sz w:val="21"/>
          <w:szCs w:val="21"/>
          <w:lang w:eastAsia="zh-CN"/>
        </w:rPr>
        <w:t>深圳市、区</w:t>
      </w:r>
      <w:r>
        <w:rPr>
          <w:rFonts w:hint="eastAsia" w:ascii="宋体" w:hAnsi="宋体" w:eastAsia="宋体" w:cstheme="minorBidi"/>
          <w:color w:val="000000"/>
          <w:kern w:val="2"/>
          <w:sz w:val="21"/>
          <w:szCs w:val="21"/>
          <w:lang w:eastAsia="zh-CN"/>
        </w:rPr>
        <w:t>财政部门认可的“供应商诚信档案库”为供应商信用信息的查询渠道，相关信息以开标当日的查询结果为准</w:t>
      </w:r>
      <w:r>
        <w:rPr>
          <w:rFonts w:hint="eastAsia" w:ascii="宋体" w:hAnsi="宋体" w:eastAsia="宋体"/>
          <w:kern w:val="2"/>
          <w:sz w:val="21"/>
          <w:lang w:eastAsia="zh-CN"/>
        </w:rPr>
        <w:t>；</w:t>
      </w:r>
      <w:r>
        <w:rPr>
          <w:rFonts w:hint="eastAsia" w:ascii="宋体" w:hAnsi="宋体" w:eastAsia="宋体" w:cstheme="minorBidi"/>
          <w:color w:val="000000"/>
          <w:kern w:val="2"/>
          <w:sz w:val="21"/>
          <w:szCs w:val="21"/>
          <w:lang w:eastAsia="zh-CN"/>
        </w:rPr>
        <w:t>如开标当日网站出现网站无法打开的特殊情况，相关信息则以中标通知书发出前的查询结果为准。</w:t>
      </w:r>
    </w:p>
    <w:p w14:paraId="06B2FDDF">
      <w:pPr>
        <w:spacing w:line="360" w:lineRule="exact"/>
        <w:ind w:firstLine="420" w:firstLineChars="200"/>
        <w:rPr>
          <w:rFonts w:ascii="宋体" w:hAnsi="宋体" w:eastAsia="宋体"/>
          <w:color w:val="000000"/>
          <w:kern w:val="2"/>
          <w:sz w:val="21"/>
          <w:szCs w:val="21"/>
          <w:lang w:eastAsia="zh-CN"/>
        </w:rPr>
      </w:pPr>
      <w:r>
        <w:rPr>
          <w:rFonts w:hint="eastAsia" w:ascii="宋体" w:hAnsi="宋体" w:eastAsia="宋体" w:cstheme="minorBidi"/>
          <w:color w:val="000000"/>
          <w:kern w:val="2"/>
          <w:sz w:val="21"/>
          <w:szCs w:val="21"/>
          <w:lang w:eastAsia="zh-CN"/>
        </w:rPr>
        <w:t>2、供应商提供报价合理性、澄清、说明、补正或者错误的修正的方式，包括但不限于现场提交（地址：深圳市罗湖区深南东路1076号党群服务中心4楼）、电邮提交（邮箱：szexlhfgs@szexgrp.com）等便捷方式。</w:t>
      </w:r>
    </w:p>
    <w:bookmarkEnd w:id="13"/>
    <w:p w14:paraId="15B46459">
      <w:pPr>
        <w:spacing w:line="360" w:lineRule="exact"/>
        <w:ind w:firstLine="482" w:firstLineChars="200"/>
        <w:rPr>
          <w:rFonts w:ascii="黑体" w:hAnsi="宋体" w:eastAsia="黑体" w:cs="宋体"/>
          <w:szCs w:val="32"/>
          <w:lang w:eastAsia="zh-CN"/>
        </w:rPr>
      </w:pPr>
      <w:r>
        <w:rPr>
          <w:rFonts w:ascii="黑体" w:eastAsia="黑体"/>
          <w:b/>
          <w:lang w:eastAsia="zh-CN"/>
        </w:rPr>
        <w:br w:type="page"/>
      </w:r>
    </w:p>
    <w:p w14:paraId="4A99182D">
      <w:pPr>
        <w:keepNext/>
        <w:keepLines/>
        <w:widowControl w:val="0"/>
        <w:spacing w:before="340" w:after="330" w:line="360" w:lineRule="auto"/>
        <w:jc w:val="center"/>
        <w:outlineLvl w:val="0"/>
        <w:rPr>
          <w:rFonts w:ascii="宋体" w:hAnsi="宋体" w:eastAsia="黑体" w:cs="宋体"/>
          <w:b/>
          <w:bCs/>
          <w:kern w:val="44"/>
          <w:szCs w:val="44"/>
          <w:lang w:eastAsia="zh-CN"/>
        </w:rPr>
      </w:pPr>
      <w:r>
        <w:rPr>
          <w:rFonts w:hint="eastAsia" w:ascii="宋体" w:hAnsi="宋体" w:eastAsia="黑体" w:cs="宋体"/>
          <w:b/>
          <w:bCs/>
          <w:kern w:val="44"/>
          <w:sz w:val="28"/>
          <w:szCs w:val="44"/>
          <w:lang w:eastAsia="zh-CN"/>
        </w:rPr>
        <w:t xml:space="preserve">第二册  </w:t>
      </w:r>
      <w:r>
        <w:rPr>
          <w:rFonts w:hint="eastAsia" w:ascii="宋体" w:hAnsi="宋体" w:eastAsia="黑体" w:cs="宋体"/>
          <w:b/>
          <w:bCs/>
          <w:kern w:val="2"/>
          <w:sz w:val="28"/>
          <w:szCs w:val="44"/>
          <w:lang w:eastAsia="zh-CN"/>
        </w:rPr>
        <w:t>响应文件的格式及合同</w:t>
      </w:r>
    </w:p>
    <w:p w14:paraId="13867CE3">
      <w:pPr>
        <w:widowControl w:val="0"/>
        <w:ind w:firstLine="422" w:firstLineChars="200"/>
        <w:jc w:val="both"/>
        <w:rPr>
          <w:rFonts w:eastAsia="宋体"/>
          <w:b/>
          <w:color w:val="FF0000"/>
          <w:kern w:val="2"/>
          <w:sz w:val="21"/>
          <w:highlight w:val="yellow"/>
          <w:lang w:eastAsia="zh-CN"/>
        </w:rPr>
      </w:pPr>
      <w:bookmarkStart w:id="14" w:name="bt投标书"/>
      <w:bookmarkEnd w:id="14"/>
      <w:bookmarkStart w:id="15" w:name="bt附件"/>
      <w:bookmarkEnd w:id="15"/>
      <w:bookmarkStart w:id="16" w:name="_Toc194467285"/>
    </w:p>
    <w:p w14:paraId="058CCA4A">
      <w:pPr>
        <w:widowControl w:val="0"/>
        <w:ind w:firstLine="422" w:firstLineChars="200"/>
        <w:jc w:val="both"/>
        <w:rPr>
          <w:rFonts w:eastAsia="宋体"/>
          <w:b/>
          <w:color w:val="FF0000"/>
          <w:kern w:val="2"/>
          <w:sz w:val="21"/>
          <w:lang w:eastAsia="zh-CN"/>
        </w:rPr>
      </w:pPr>
      <w:r>
        <w:rPr>
          <w:rFonts w:hint="eastAsia" w:eastAsia="宋体"/>
          <w:b/>
          <w:color w:val="FF0000"/>
          <w:kern w:val="2"/>
          <w:sz w:val="21"/>
          <w:highlight w:val="yellow"/>
          <w:lang w:eastAsia="zh-CN"/>
        </w:rPr>
        <w:t>重要提醒：响应供应商在编辑响应文件时，在响应文件目录中属于本节点内容的必须在本节点中填写，填写到其他节点将可能导致响应无效，一切后果由供应商自行承担。</w:t>
      </w:r>
    </w:p>
    <w:p w14:paraId="4902AF33">
      <w:pPr>
        <w:widowControl w:val="0"/>
        <w:spacing w:line="320" w:lineRule="exact"/>
        <w:ind w:firstLine="422" w:firstLineChars="200"/>
        <w:jc w:val="both"/>
        <w:rPr>
          <w:rFonts w:ascii="宋体" w:hAnsi="宋体" w:eastAsia="宋体"/>
          <w:b/>
          <w:snapToGrid w:val="0"/>
          <w:color w:val="FF0000"/>
          <w:sz w:val="21"/>
          <w:highlight w:val="yellow"/>
          <w:lang w:eastAsia="zh-CN"/>
        </w:rPr>
      </w:pPr>
    </w:p>
    <w:p w14:paraId="4EC7CD25">
      <w:pPr>
        <w:widowControl w:val="0"/>
        <w:spacing w:line="400" w:lineRule="exact"/>
        <w:ind w:firstLine="420" w:firstLineChars="200"/>
        <w:jc w:val="both"/>
        <w:outlineLvl w:val="1"/>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响应文件组成：</w:t>
      </w:r>
    </w:p>
    <w:p w14:paraId="0154AB4F">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（1）政府采购响应及履约承诺函</w:t>
      </w:r>
    </w:p>
    <w:p w14:paraId="598CDFD4">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（2）供应商资格证明文件</w:t>
      </w:r>
    </w:p>
    <w:p w14:paraId="135E6982">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（3）供应商基本情况表</w:t>
      </w:r>
    </w:p>
    <w:p w14:paraId="41EBC6E4">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（4）实质性服务条款（以★号标注）证明文件</w:t>
      </w:r>
    </w:p>
    <w:p w14:paraId="1BDC81A5">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（5）法定代表人（负责人）资格证明书</w:t>
      </w:r>
    </w:p>
    <w:p w14:paraId="39373E65">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（6）响应文件签署授权委托书</w:t>
      </w:r>
    </w:p>
    <w:p w14:paraId="4D81FFF2">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（7）分项报价清单</w:t>
      </w:r>
    </w:p>
    <w:p w14:paraId="09696292">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（8）响应供应商认为需要补充的内容</w:t>
      </w:r>
    </w:p>
    <w:p w14:paraId="32725852">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①政府采购违法行为风险知悉确认书</w:t>
      </w:r>
    </w:p>
    <w:p w14:paraId="4B01A568">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②响应供应商认为需要加以说明的其他内容（格式自定）</w:t>
      </w:r>
    </w:p>
    <w:p w14:paraId="2DC9A892">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（9）同类项目业绩情况</w:t>
      </w:r>
    </w:p>
    <w:p w14:paraId="2B8DD760">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（10）拟安排的项目团队成员</w:t>
      </w:r>
    </w:p>
    <w:p w14:paraId="2A8ACB73">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（11）视频创意方案</w:t>
      </w:r>
    </w:p>
    <w:p w14:paraId="2CDF9292">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 xml:space="preserve">（12）获奖情况  </w:t>
      </w:r>
    </w:p>
    <w:p w14:paraId="73991C8B">
      <w:pPr>
        <w:widowControl w:val="0"/>
        <w:ind w:left="1200" w:leftChars="50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（13）同类作品传播力情况</w:t>
      </w:r>
    </w:p>
    <w:p w14:paraId="4A3177A3">
      <w:pPr>
        <w:widowControl w:val="0"/>
        <w:jc w:val="both"/>
        <w:rPr>
          <w:rFonts w:ascii="宋体" w:hAnsi="宋体" w:eastAsia="宋体"/>
          <w:color w:val="000000"/>
          <w:kern w:val="2"/>
          <w:sz w:val="21"/>
          <w:szCs w:val="21"/>
          <w:lang w:eastAsia="zh-CN"/>
        </w:rPr>
      </w:pPr>
    </w:p>
    <w:p w14:paraId="32EB0E55">
      <w:pPr>
        <w:widowControl w:val="0"/>
        <w:jc w:val="both"/>
        <w:rPr>
          <w:rFonts w:eastAsia="宋体"/>
          <w:kern w:val="2"/>
          <w:sz w:val="21"/>
          <w:lang w:eastAsia="zh-CN"/>
        </w:rPr>
      </w:pPr>
      <w:r>
        <w:rPr>
          <w:rFonts w:hint="eastAsia" w:eastAsia="宋体"/>
          <w:kern w:val="2"/>
          <w:sz w:val="21"/>
          <w:lang w:eastAsia="zh-CN"/>
        </w:rPr>
        <w:br w:type="page"/>
      </w:r>
    </w:p>
    <w:p w14:paraId="4EE4E763">
      <w:pPr>
        <w:keepNext/>
        <w:keepLines/>
        <w:widowControl w:val="0"/>
        <w:adjustRightInd w:val="0"/>
        <w:spacing w:before="260" w:after="260"/>
        <w:jc w:val="center"/>
        <w:outlineLvl w:val="1"/>
        <w:rPr>
          <w:rFonts w:ascii="仿宋_GB2312" w:hAnsi="宋体" w:eastAsia="仿宋_GB2312" w:cs="宋体"/>
          <w:b/>
          <w:bCs/>
          <w:color w:val="FF0000"/>
          <w:szCs w:val="20"/>
          <w:lang w:eastAsia="zh-CN"/>
        </w:rPr>
      </w:pPr>
      <w:r>
        <w:rPr>
          <w:rFonts w:hint="eastAsia" w:ascii="宋体" w:hAnsi="宋体" w:eastAsia="宋体" w:cs="宋体"/>
          <w:b/>
          <w:bCs/>
          <w:kern w:val="2"/>
          <w:szCs w:val="20"/>
          <w:lang w:eastAsia="zh-CN"/>
        </w:rPr>
        <w:t>第一章  响应文件的格式</w:t>
      </w:r>
      <w:bookmarkEnd w:id="16"/>
    </w:p>
    <w:p w14:paraId="05B5A6DE">
      <w:pPr>
        <w:widowControl w:val="0"/>
        <w:spacing w:line="360" w:lineRule="exact"/>
        <w:ind w:firstLine="422" w:firstLineChars="200"/>
        <w:jc w:val="both"/>
        <w:rPr>
          <w:rFonts w:eastAsia="宋体"/>
          <w:b/>
          <w:color w:val="FF0000"/>
          <w:kern w:val="2"/>
          <w:sz w:val="21"/>
          <w:szCs w:val="21"/>
          <w:lang w:eastAsia="zh-CN"/>
        </w:rPr>
      </w:pPr>
      <w:r>
        <w:rPr>
          <w:rFonts w:hint="eastAsia" w:eastAsia="宋体"/>
          <w:b/>
          <w:color w:val="FF0000"/>
          <w:kern w:val="2"/>
          <w:sz w:val="21"/>
          <w:szCs w:val="21"/>
          <w:lang w:eastAsia="zh-CN"/>
        </w:rPr>
        <w:t>温馨提示：</w:t>
      </w:r>
    </w:p>
    <w:p w14:paraId="7B02AFE0">
      <w:pPr>
        <w:widowControl w:val="0"/>
        <w:spacing w:line="360" w:lineRule="exact"/>
        <w:ind w:firstLine="422" w:firstLineChars="200"/>
        <w:jc w:val="both"/>
        <w:rPr>
          <w:rFonts w:ascii="宋体" w:hAnsi="宋体" w:eastAsia="宋体"/>
          <w:color w:val="FF0000"/>
          <w:kern w:val="2"/>
          <w:sz w:val="21"/>
          <w:szCs w:val="21"/>
          <w:lang w:eastAsia="zh-CN"/>
        </w:rPr>
      </w:pPr>
      <w:r>
        <w:rPr>
          <w:rFonts w:hint="eastAsia" w:eastAsia="宋体"/>
          <w:b/>
          <w:color w:val="FF0000"/>
          <w:kern w:val="2"/>
          <w:sz w:val="21"/>
          <w:szCs w:val="21"/>
          <w:lang w:eastAsia="zh-CN"/>
        </w:rPr>
        <w:t>以下内容请供应商编写响应文件时重点关注，避免因格式问题出现失误，进而导致响应无效。以下内容属于常见失误情形：</w:t>
      </w:r>
    </w:p>
    <w:p w14:paraId="39A802A8">
      <w:pPr>
        <w:widowControl w:val="0"/>
        <w:spacing w:line="360" w:lineRule="exact"/>
        <w:ind w:firstLine="48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1.《</w:t>
      </w:r>
      <w:bookmarkStart w:id="17" w:name="OLE_LINK28"/>
      <w:r>
        <w:rPr>
          <w:rFonts w:hint="eastAsia" w:ascii="宋体" w:hAnsi="宋体" w:eastAsia="宋体"/>
          <w:color w:val="000000"/>
          <w:kern w:val="2"/>
          <w:sz w:val="21"/>
          <w:szCs w:val="21"/>
          <w:lang w:eastAsia="zh-CN"/>
        </w:rPr>
        <w:t>政府采购响应及履约承诺函</w:t>
      </w:r>
      <w:bookmarkEnd w:id="17"/>
      <w:r>
        <w:rPr>
          <w:rFonts w:hint="eastAsia" w:ascii="宋体" w:hAnsi="宋体" w:eastAsia="宋体"/>
          <w:color w:val="000000"/>
          <w:kern w:val="2"/>
          <w:sz w:val="21"/>
          <w:szCs w:val="21"/>
          <w:lang w:eastAsia="zh-CN"/>
        </w:rPr>
        <w:t>》、《法定代表人（负责人）资格证明书》、《响应文件签署授权委托书》、《分项报价清单》未按照招标文件规定的样式及要求填写；</w:t>
      </w:r>
    </w:p>
    <w:p w14:paraId="1380D7A9">
      <w:pPr>
        <w:widowControl w:val="0"/>
        <w:spacing w:line="360" w:lineRule="exact"/>
        <w:ind w:firstLine="480"/>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2.《政府采购响应及履约承诺函》中的抬头、项目编号、项目名称、响应供应商名称、法定代表人或其委托代理人的名称、日期填写错误；</w:t>
      </w:r>
    </w:p>
    <w:p w14:paraId="5A0F7D99">
      <w:pPr>
        <w:widowControl w:val="0"/>
        <w:spacing w:line="360" w:lineRule="exact"/>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　　3.《法定代表人（负责人）资格证明书》中的姓名、身份证号填写错误，未附法定代表人（负责人）的身份证扫描件（正反两面）；</w:t>
      </w:r>
    </w:p>
    <w:p w14:paraId="40582A21">
      <w:pPr>
        <w:widowControl w:val="0"/>
        <w:spacing w:line="360" w:lineRule="exact"/>
        <w:jc w:val="both"/>
        <w:rPr>
          <w:rFonts w:ascii="宋体" w:hAnsi="宋体" w:eastAsia="宋体"/>
          <w:color w:val="000000"/>
          <w:kern w:val="2"/>
          <w:sz w:val="21"/>
          <w:szCs w:val="21"/>
          <w:lang w:eastAsia="zh-CN"/>
        </w:rPr>
      </w:pPr>
      <w:r>
        <w:rPr>
          <w:rFonts w:hint="eastAsia" w:ascii="宋体" w:hAnsi="宋体" w:eastAsia="宋体"/>
          <w:color w:val="000000"/>
          <w:kern w:val="2"/>
          <w:sz w:val="21"/>
          <w:szCs w:val="21"/>
          <w:lang w:eastAsia="zh-CN"/>
        </w:rPr>
        <w:t>　　4.《响应文件签署授权委托书》中的委托人的姓名、身份证号填写错误，受托人（代理人）的姓名、身份证号填写错误，授权委托日期填写错误，未附受托人（代理人）的身份证扫描件（正反两面）。</w:t>
      </w:r>
    </w:p>
    <w:p w14:paraId="32C09BB3">
      <w:pPr>
        <w:widowControl w:val="0"/>
        <w:jc w:val="both"/>
        <w:rPr>
          <w:rFonts w:ascii="仿宋_GB2312" w:eastAsia="仿宋_GB2312"/>
          <w:kern w:val="2"/>
          <w:lang w:val="en" w:eastAsia="zh-CN"/>
        </w:rPr>
      </w:pPr>
    </w:p>
    <w:p w14:paraId="0DB50BF3">
      <w:pPr>
        <w:rPr>
          <w:rFonts w:ascii="宋体" w:hAnsi="宋体" w:eastAsia="宋体" w:cs="宋体"/>
          <w:b/>
          <w:kern w:val="2"/>
          <w:sz w:val="28"/>
          <w:szCs w:val="32"/>
          <w:lang w:eastAsia="zh-CN"/>
        </w:rPr>
      </w:pPr>
      <w:bookmarkStart w:id="18" w:name="_Toc194467288"/>
      <w:r>
        <w:rPr>
          <w:rFonts w:eastAsia="宋体"/>
          <w:kern w:val="2"/>
          <w:sz w:val="21"/>
          <w:lang w:eastAsia="zh-CN"/>
        </w:rPr>
        <w:br w:type="page"/>
      </w:r>
    </w:p>
    <w:p w14:paraId="476AA86A">
      <w:pPr>
        <w:widowControl w:val="0"/>
        <w:jc w:val="center"/>
        <w:rPr>
          <w:rFonts w:eastAsia="宋体"/>
          <w:kern w:val="2"/>
          <w:sz w:val="21"/>
          <w:lang w:eastAsia="zh-CN"/>
        </w:rPr>
      </w:pPr>
    </w:p>
    <w:p w14:paraId="135B186D">
      <w:pPr>
        <w:keepNext/>
        <w:keepLines/>
        <w:widowControl w:val="0"/>
        <w:spacing w:before="260" w:after="260"/>
        <w:jc w:val="center"/>
        <w:outlineLvl w:val="2"/>
        <w:rPr>
          <w:rFonts w:ascii="宋体" w:hAnsi="宋体" w:eastAsia="宋体" w:cs="宋体"/>
          <w:b/>
          <w:kern w:val="2"/>
          <w:sz w:val="28"/>
          <w:szCs w:val="32"/>
          <w:lang w:eastAsia="zh-CN"/>
        </w:rPr>
      </w:pPr>
      <w:r>
        <w:rPr>
          <w:rFonts w:hint="eastAsia" w:ascii="宋体" w:hAnsi="宋体" w:eastAsia="宋体" w:cs="宋体"/>
          <w:b/>
          <w:kern w:val="2"/>
          <w:sz w:val="28"/>
          <w:szCs w:val="32"/>
          <w:lang w:eastAsia="zh-CN"/>
        </w:rPr>
        <w:t>一</w:t>
      </w:r>
      <w:bookmarkEnd w:id="18"/>
      <w:r>
        <w:rPr>
          <w:rFonts w:hint="eastAsia" w:ascii="宋体" w:hAnsi="宋体" w:eastAsia="宋体" w:cs="宋体"/>
          <w:b/>
          <w:kern w:val="2"/>
          <w:sz w:val="28"/>
          <w:szCs w:val="32"/>
          <w:lang w:eastAsia="zh-CN"/>
        </w:rPr>
        <w:t>、政府采购响应及履约承诺函</w:t>
      </w:r>
    </w:p>
    <w:p w14:paraId="5840F349">
      <w:pPr>
        <w:widowControl w:val="0"/>
        <w:spacing w:line="360" w:lineRule="exact"/>
        <w:jc w:val="both"/>
        <w:rPr>
          <w:rFonts w:ascii="宋体" w:hAnsi="宋体" w:eastAsia="宋体" w:cs="宋体"/>
          <w:b/>
          <w:bCs/>
          <w:kern w:val="2"/>
          <w:sz w:val="21"/>
          <w:szCs w:val="21"/>
          <w:u w:val="single"/>
          <w:lang w:eastAsia="zh-CN"/>
        </w:rPr>
      </w:pPr>
      <w:r>
        <w:rPr>
          <w:rFonts w:hint="eastAsia" w:ascii="宋体" w:hAnsi="宋体" w:eastAsia="宋体" w:cs="宋体"/>
          <w:kern w:val="2"/>
          <w:sz w:val="21"/>
          <w:szCs w:val="21"/>
          <w:lang w:eastAsia="zh-CN"/>
        </w:rPr>
        <w:t>致：深圳市罗湖区融媒体中心</w:t>
      </w:r>
      <w:r>
        <w:rPr>
          <w:rFonts w:hint="eastAsia" w:ascii="宋体" w:hAnsi="宋体" w:eastAsia="宋体" w:cs="宋体"/>
          <w:color w:val="FF0000"/>
          <w:kern w:val="2"/>
          <w:sz w:val="21"/>
          <w:szCs w:val="21"/>
          <w:lang w:eastAsia="zh-CN"/>
        </w:rPr>
        <w:t xml:space="preserve"> </w:t>
      </w:r>
      <w:r>
        <w:rPr>
          <w:rFonts w:hint="eastAsia" w:ascii="宋体" w:hAnsi="宋体" w:eastAsia="宋体" w:cs="宋体"/>
          <w:kern w:val="2"/>
          <w:sz w:val="21"/>
          <w:szCs w:val="21"/>
          <w:lang w:eastAsia="zh-CN"/>
        </w:rPr>
        <w:t>、</w:t>
      </w:r>
      <w:bookmarkStart w:id="19" w:name="OLE_LINK24"/>
      <w:r>
        <w:rPr>
          <w:rFonts w:hint="eastAsia" w:ascii="宋体" w:hAnsi="宋体" w:eastAsia="宋体" w:cs="宋体"/>
          <w:kern w:val="2"/>
          <w:sz w:val="21"/>
          <w:szCs w:val="21"/>
          <w:u w:val="single"/>
          <w:lang w:eastAsia="zh-CN"/>
        </w:rPr>
        <w:t>深圳交易集团有限公司罗湖分公司</w:t>
      </w:r>
      <w:bookmarkEnd w:id="19"/>
    </w:p>
    <w:p w14:paraId="0FB4C3EE">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我单位承诺：</w:t>
      </w:r>
    </w:p>
    <w:p w14:paraId="1769EA3F">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1.我单位参与本项目符合资格条件关于联合体、进口产品的要求。</w:t>
      </w:r>
    </w:p>
    <w:p w14:paraId="7A51738E">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2.我单位参与本项目所响应（响应）的货物、工程或服务，不存在侵犯知识产权的情况。</w:t>
      </w:r>
    </w:p>
    <w:p w14:paraId="63326BEC">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3.我单位参与本项目政府采购活动时不存在被有关部门禁止参与政府采购活动且在有效期内的情况。</w:t>
      </w:r>
    </w:p>
    <w:p w14:paraId="0F4BF098">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4.我单位具备《中华人民共和国政府采购法》第二十二条第一款规定的六项条件。</w:t>
      </w:r>
    </w:p>
    <w:p w14:paraId="3823B887">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5.我单位未被列入失信被执行人、重大税收违法案件当事人名单、政府采购严重违法失信行为记录名单。</w:t>
      </w:r>
    </w:p>
    <w:p w14:paraId="6CD8C7B0">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6.我单位不存在《深圳市财政局政府采购供应商信用信息管理办法》（深财规〔2023〕3号）列明的严重违法失信行为。</w:t>
      </w:r>
    </w:p>
    <w:p w14:paraId="3DBAA75B">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7.我单位参与该项目响应，严格遵守政府采购相关法律，不造假，不围标、串标、陪标。我单位已清楚，如违反上述要求，响应将作无效处理，被列入不良记录名单并在网上曝光，同时将被提请政府采购主管部门给予一定年限内禁止参与政府采购活动或其他处罚。</w:t>
      </w:r>
    </w:p>
    <w:p w14:paraId="5C190089">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8.我单位如果中标，做到守信，不偷工减料，依照本项目招标文件需求内容、签署的采购合同及本单位在响应中所作的一切承诺履约。我单位对本项目的报价负责，中标后将严格按照本项目招标文件需求、签署的采购合同及我单位在响应中所作的全部承诺履行。</w:t>
      </w:r>
    </w:p>
    <w:p w14:paraId="18E7C1EB">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1033E7DA">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9.我单位已认真核实了响应文件的全部内容，所有资料均为真实资料。我单位对响应文件中全部响应资料的真实性负责，如被证实我单位的响应文件中存在虚假资料的，则视为我单位隐瞒真实情况、提供虚假资料，我单位愿意接受主管部门作出的行政处罚。</w:t>
      </w:r>
    </w:p>
    <w:p w14:paraId="01462FBD">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10.我单位承诺中标后项目不转包，未经采购人同意不进行分包。</w:t>
      </w:r>
    </w:p>
    <w:p w14:paraId="064E6735">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76B1D33">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12.我单位保证，若所投货物涉及《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5C435074">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13.我单位已知悉并同意中标（成交）结果信息公示（公开）的内容。</w:t>
      </w:r>
    </w:p>
    <w:p w14:paraId="646C0570">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14.我单位保证，符合《中华人民共和国政府采购法实施条例》第十八条规定，与其他响应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响应、恶意串通或者视为串通响应的情形。</w:t>
      </w:r>
    </w:p>
    <w:p w14:paraId="24F07EBA">
      <w:pPr>
        <w:widowControl w:val="0"/>
        <w:spacing w:line="360" w:lineRule="exact"/>
        <w:ind w:firstLine="422" w:firstLineChars="200"/>
        <w:jc w:val="both"/>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15.我单位清楚，如存在违反响应承诺行为情节严重的，将根据《深圳市财政局关于印发&lt;深圳市财政局政府采购供应商信用信息管理办法&gt;的通知》，依法被列入失信信息。</w:t>
      </w:r>
    </w:p>
    <w:p w14:paraId="36CC884E">
      <w:pPr>
        <w:widowControl w:val="0"/>
        <w:spacing w:line="360" w:lineRule="exact"/>
        <w:ind w:firstLine="420" w:firstLineChars="200"/>
        <w:jc w:val="both"/>
        <w:rPr>
          <w:rFonts w:ascii="宋体" w:hAnsi="宋体" w:eastAsia="宋体" w:cs="宋体"/>
          <w:kern w:val="2"/>
          <w:sz w:val="21"/>
          <w:szCs w:val="21"/>
          <w:lang w:eastAsia="zh-CN"/>
        </w:rPr>
      </w:pPr>
    </w:p>
    <w:p w14:paraId="0094E3AA">
      <w:pPr>
        <w:widowControl w:val="0"/>
        <w:spacing w:line="360" w:lineRule="exact"/>
        <w:ind w:firstLine="420" w:firstLineChars="20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以上承诺，如有违反，愿依照国家相关法律法规处理，并承担由此给采购人带来的损失。</w:t>
      </w:r>
    </w:p>
    <w:p w14:paraId="4E80B45E">
      <w:pPr>
        <w:widowControl w:val="0"/>
        <w:spacing w:line="360" w:lineRule="exact"/>
        <w:ind w:firstLine="420" w:firstLineChars="200"/>
        <w:jc w:val="both"/>
        <w:rPr>
          <w:rFonts w:ascii="宋体" w:hAnsi="宋体" w:eastAsia="宋体" w:cs="宋体"/>
          <w:kern w:val="2"/>
          <w:sz w:val="21"/>
          <w:szCs w:val="21"/>
          <w:lang w:eastAsia="zh-CN"/>
        </w:rPr>
      </w:pPr>
    </w:p>
    <w:p w14:paraId="6F289458">
      <w:pPr>
        <w:widowControl w:val="0"/>
        <w:spacing w:line="360" w:lineRule="exact"/>
        <w:ind w:firstLine="420" w:firstLineChars="200"/>
        <w:jc w:val="center"/>
        <w:rPr>
          <w:rFonts w:ascii="宋体" w:hAnsi="宋体" w:eastAsia="宋体" w:cs="宋体"/>
          <w:color w:val="FF0000"/>
          <w:kern w:val="2"/>
          <w:sz w:val="21"/>
          <w:szCs w:val="21"/>
          <w:u w:val="single"/>
          <w:lang w:eastAsia="zh-CN"/>
        </w:rPr>
      </w:pPr>
      <w:r>
        <w:rPr>
          <w:rFonts w:hint="eastAsia" w:ascii="宋体" w:hAnsi="宋体" w:eastAsia="宋体" w:cs="宋体"/>
          <w:kern w:val="2"/>
          <w:sz w:val="21"/>
          <w:szCs w:val="21"/>
          <w:lang w:eastAsia="zh-CN"/>
        </w:rPr>
        <w:t xml:space="preserve">                          </w:t>
      </w:r>
      <w:r>
        <w:rPr>
          <w:rFonts w:hint="eastAsia" w:ascii="宋体" w:hAnsi="宋体" w:eastAsia="宋体" w:cs="宋体"/>
          <w:color w:val="FF0000"/>
          <w:kern w:val="2"/>
          <w:sz w:val="21"/>
          <w:szCs w:val="21"/>
          <w:lang w:eastAsia="zh-CN"/>
        </w:rPr>
        <w:t xml:space="preserve"> 响应供应商名称：</w:t>
      </w:r>
      <w:r>
        <w:rPr>
          <w:rFonts w:hint="eastAsia" w:ascii="宋体" w:hAnsi="宋体" w:eastAsia="宋体" w:cs="宋体"/>
          <w:color w:val="FF0000"/>
          <w:kern w:val="2"/>
          <w:sz w:val="21"/>
          <w:szCs w:val="21"/>
          <w:u w:val="single"/>
          <w:lang w:eastAsia="zh-CN"/>
        </w:rPr>
        <w:t xml:space="preserve">                 </w:t>
      </w:r>
    </w:p>
    <w:p w14:paraId="4B2A393C">
      <w:pPr>
        <w:spacing w:line="360" w:lineRule="exact"/>
        <w:ind w:firstLine="420" w:firstLineChars="200"/>
        <w:jc w:val="center"/>
        <w:rPr>
          <w:rFonts w:ascii="宋体" w:hAnsi="宋体" w:eastAsia="宋体" w:cs="宋体"/>
          <w:spacing w:val="-6"/>
          <w:kern w:val="2"/>
          <w:sz w:val="21"/>
          <w:szCs w:val="21"/>
          <w:lang w:eastAsia="zh-CN"/>
        </w:rPr>
      </w:pPr>
      <w:r>
        <w:rPr>
          <w:rFonts w:hint="eastAsia" w:ascii="宋体" w:hAnsi="宋体" w:eastAsia="宋体" w:cs="宋体"/>
          <w:color w:val="FF0000"/>
          <w:kern w:val="2"/>
          <w:sz w:val="21"/>
          <w:szCs w:val="21"/>
          <w:lang w:eastAsia="zh-CN"/>
        </w:rPr>
        <w:t xml:space="preserve">                                 日期：    年   月   日</w:t>
      </w:r>
    </w:p>
    <w:p w14:paraId="392E5AEF">
      <w:pPr>
        <w:widowControl w:val="0"/>
        <w:spacing w:line="320" w:lineRule="exact"/>
        <w:jc w:val="both"/>
        <w:rPr>
          <w:rFonts w:eastAsia="宋体"/>
          <w:color w:val="FF0000"/>
          <w:kern w:val="2"/>
          <w:sz w:val="21"/>
          <w:szCs w:val="21"/>
          <w:lang w:eastAsia="zh-CN"/>
        </w:rPr>
      </w:pPr>
    </w:p>
    <w:p w14:paraId="761EDD42">
      <w:pPr>
        <w:widowControl w:val="0"/>
        <w:ind w:left="257"/>
        <w:jc w:val="right"/>
        <w:rPr>
          <w:rFonts w:ascii="宋体" w:hAnsi="宋体" w:eastAsia="宋体"/>
          <w:kern w:val="2"/>
          <w:sz w:val="21"/>
          <w:szCs w:val="21"/>
          <w:lang w:eastAsia="zh-CN"/>
        </w:rPr>
      </w:pPr>
    </w:p>
    <w:p w14:paraId="04D5261C">
      <w:pPr>
        <w:rPr>
          <w:rFonts w:ascii="Arial" w:hAnsi="Arial" w:eastAsia="黑体"/>
          <w:bCs/>
          <w:kern w:val="2"/>
          <w:lang w:eastAsia="zh-CN"/>
        </w:rPr>
      </w:pPr>
      <w:r>
        <w:rPr>
          <w:rFonts w:eastAsia="宋体"/>
          <w:b/>
          <w:kern w:val="2"/>
          <w:lang w:eastAsia="zh-CN"/>
        </w:rPr>
        <w:br w:type="page"/>
      </w:r>
    </w:p>
    <w:p w14:paraId="594D81B7">
      <w:pPr>
        <w:keepNext/>
        <w:keepLines/>
        <w:widowControl w:val="0"/>
        <w:spacing w:before="260" w:after="260"/>
        <w:jc w:val="center"/>
        <w:outlineLvl w:val="2"/>
        <w:rPr>
          <w:rFonts w:ascii="宋体" w:hAnsi="宋体" w:eastAsia="宋体" w:cs="宋体"/>
          <w:b/>
          <w:kern w:val="2"/>
          <w:sz w:val="28"/>
          <w:szCs w:val="32"/>
          <w:lang w:eastAsia="zh-CN"/>
        </w:rPr>
      </w:pPr>
      <w:r>
        <w:rPr>
          <w:rFonts w:hint="eastAsia" w:ascii="宋体" w:hAnsi="宋体" w:eastAsia="宋体" w:cs="宋体"/>
          <w:b/>
          <w:kern w:val="2"/>
          <w:sz w:val="28"/>
          <w:lang w:eastAsia="zh-CN"/>
        </w:rPr>
        <w:t>二、</w:t>
      </w:r>
      <w:r>
        <w:rPr>
          <w:rFonts w:hint="eastAsia" w:ascii="宋体" w:hAnsi="宋体" w:eastAsia="宋体" w:cs="宋体"/>
          <w:b/>
          <w:kern w:val="2"/>
          <w:sz w:val="28"/>
          <w:szCs w:val="32"/>
          <w:lang w:eastAsia="zh-CN"/>
        </w:rPr>
        <w:t>供应商资格证明文件</w:t>
      </w:r>
    </w:p>
    <w:p w14:paraId="3DE8A05E">
      <w:pPr>
        <w:widowControl w:val="0"/>
        <w:ind w:firstLine="2640" w:firstLineChars="1100"/>
        <w:jc w:val="both"/>
        <w:outlineLvl w:val="2"/>
        <w:rPr>
          <w:rFonts w:eastAsia="宋体"/>
          <w:b/>
          <w:bCs/>
          <w:color w:val="FF0000"/>
          <w:kern w:val="2"/>
          <w:sz w:val="21"/>
          <w:lang w:eastAsia="zh-CN"/>
        </w:rPr>
      </w:pPr>
      <w:bookmarkStart w:id="20" w:name="OLE_LINK38"/>
      <w:r>
        <w:rPr>
          <w:rFonts w:hint="eastAsia" w:ascii="黑体" w:hAnsi="宋体" w:eastAsia="黑体"/>
          <w:bCs/>
          <w:szCs w:val="32"/>
          <w:lang w:eastAsia="zh-CN"/>
        </w:rPr>
        <w:t>（一）投标人资格证明文件</w:t>
      </w:r>
    </w:p>
    <w:p w14:paraId="031B2274">
      <w:pPr>
        <w:widowControl w:val="0"/>
        <w:spacing w:before="120" w:beforeLines="50"/>
        <w:ind w:firstLine="422" w:firstLineChars="200"/>
        <w:jc w:val="both"/>
        <w:rPr>
          <w:rFonts w:eastAsia="宋体"/>
          <w:b/>
          <w:bCs/>
          <w:color w:val="FF0000"/>
          <w:kern w:val="2"/>
          <w:sz w:val="21"/>
          <w:lang w:eastAsia="zh-CN"/>
        </w:rPr>
      </w:pPr>
      <w:r>
        <w:rPr>
          <w:rFonts w:hint="eastAsia" w:eastAsia="宋体"/>
          <w:b/>
          <w:bCs/>
          <w:color w:val="FF0000"/>
          <w:kern w:val="2"/>
          <w:sz w:val="21"/>
          <w:lang w:eastAsia="zh-CN"/>
        </w:rPr>
        <w:t>（特别提示：投标人须按本招标文件第一册第一章招标公告 “响应供应商资格要求”提供相关的资格证明资料，未提供或提供不完整、不符合要求的，将作响应无效处理，其中要求提供《政府采购响应及履约承诺函》《供应商基本情况表》且已在规定章节中提供的，此处不重复提供。）</w:t>
      </w:r>
    </w:p>
    <w:bookmarkEnd w:id="20"/>
    <w:p w14:paraId="1F468152">
      <w:pPr>
        <w:widowControl w:val="0"/>
        <w:spacing w:before="120" w:beforeLines="50"/>
        <w:ind w:firstLine="422" w:firstLineChars="200"/>
        <w:jc w:val="both"/>
        <w:rPr>
          <w:rFonts w:eastAsia="宋体"/>
          <w:bCs/>
          <w:kern w:val="2"/>
          <w:sz w:val="21"/>
          <w:lang w:eastAsia="zh-CN"/>
        </w:rPr>
      </w:pPr>
      <w:r>
        <w:rPr>
          <w:rFonts w:hint="eastAsia" w:eastAsia="宋体"/>
          <w:b/>
          <w:bCs/>
          <w:color w:val="FF0000"/>
          <w:kern w:val="2"/>
          <w:sz w:val="21"/>
          <w:lang w:eastAsia="zh-CN"/>
        </w:rPr>
        <w:t>1、资格证明材料：</w:t>
      </w:r>
      <w:r>
        <w:rPr>
          <w:rFonts w:eastAsia="宋体"/>
          <w:bCs/>
          <w:kern w:val="2"/>
          <w:sz w:val="21"/>
          <w:lang w:eastAsia="zh-CN"/>
        </w:rPr>
        <w:t xml:space="preserve"> </w:t>
      </w:r>
    </w:p>
    <w:p w14:paraId="1461A0DE">
      <w:pPr>
        <w:widowControl w:val="0"/>
        <w:jc w:val="both"/>
        <w:rPr>
          <w:rFonts w:ascii="宋体" w:hAnsi="宋体" w:eastAsia="宋体" w:cs="宋体"/>
          <w:kern w:val="2"/>
          <w:sz w:val="21"/>
          <w:lang w:eastAsia="zh-CN"/>
        </w:rPr>
      </w:pPr>
      <w:r>
        <w:rPr>
          <w:rFonts w:hint="eastAsia" w:ascii="宋体" w:hAnsi="宋体" w:eastAsia="宋体" w:cs="宋体"/>
          <w:kern w:val="2"/>
          <w:sz w:val="21"/>
          <w:lang w:eastAsia="zh-CN"/>
        </w:rPr>
        <w:br w:type="page"/>
      </w:r>
    </w:p>
    <w:p w14:paraId="466BCA99">
      <w:pPr>
        <w:rPr>
          <w:rFonts w:ascii="黑体" w:hAnsi="宋体" w:eastAsia="黑体" w:cs="宋体"/>
          <w:b/>
          <w:kern w:val="2"/>
          <w:sz w:val="28"/>
          <w:szCs w:val="28"/>
          <w:lang w:eastAsia="zh-CN"/>
        </w:rPr>
      </w:pPr>
    </w:p>
    <w:p w14:paraId="7FEC171C">
      <w:pPr>
        <w:keepNext/>
        <w:keepLines/>
        <w:widowControl w:val="0"/>
        <w:spacing w:before="260" w:after="260"/>
        <w:jc w:val="center"/>
        <w:outlineLvl w:val="2"/>
        <w:rPr>
          <w:rFonts w:ascii="宋体" w:hAnsi="宋体" w:eastAsia="宋体" w:cs="宋体"/>
          <w:b/>
          <w:kern w:val="2"/>
          <w:sz w:val="28"/>
          <w:szCs w:val="32"/>
          <w:lang w:eastAsia="zh-CN"/>
        </w:rPr>
      </w:pPr>
      <w:r>
        <w:rPr>
          <w:rFonts w:hint="eastAsia" w:ascii="宋体" w:hAnsi="宋体" w:eastAsia="宋体" w:cs="宋体"/>
          <w:b/>
          <w:kern w:val="2"/>
          <w:sz w:val="28"/>
          <w:szCs w:val="32"/>
          <w:lang w:eastAsia="zh-CN"/>
        </w:rPr>
        <w:t>三、供应商基本情况表</w:t>
      </w:r>
    </w:p>
    <w:tbl>
      <w:tblPr>
        <w:tblStyle w:val="15"/>
        <w:tblW w:w="5000" w:type="pct"/>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022"/>
        <w:gridCol w:w="733"/>
        <w:gridCol w:w="1355"/>
        <w:gridCol w:w="1704"/>
        <w:gridCol w:w="1804"/>
        <w:gridCol w:w="1692"/>
      </w:tblGrid>
      <w:tr w14:paraId="7CAD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630" w:type="dxa"/>
            <w:gridSpan w:val="2"/>
            <w:tcBorders>
              <w:top w:val="single" w:color="auto" w:sz="4" w:space="0"/>
              <w:left w:val="single" w:color="auto" w:sz="4" w:space="0"/>
              <w:bottom w:val="single" w:color="auto" w:sz="4" w:space="0"/>
              <w:right w:val="single" w:color="auto" w:sz="4" w:space="0"/>
            </w:tcBorders>
            <w:vAlign w:val="center"/>
          </w:tcPr>
          <w:p w14:paraId="0BF53B7B">
            <w:pPr>
              <w:widowControl w:val="0"/>
              <w:jc w:val="center"/>
              <w:rPr>
                <w:rFonts w:ascii="宋体" w:hAnsi="宋体" w:eastAsia="宋体" w:cs="宋体"/>
                <w:kern w:val="2"/>
                <w:sz w:val="21"/>
                <w:szCs w:val="21"/>
                <w:lang w:eastAsia="zh-CN"/>
              </w:rPr>
            </w:pPr>
            <w:bookmarkStart w:id="21" w:name="OLE_LINK25"/>
            <w:r>
              <w:rPr>
                <w:rFonts w:hint="eastAsia" w:ascii="宋体" w:hAnsi="宋体" w:eastAsia="宋体" w:cs="宋体"/>
                <w:b/>
                <w:bCs/>
                <w:kern w:val="2"/>
                <w:sz w:val="21"/>
                <w:szCs w:val="21"/>
                <w:lang w:eastAsia="zh-CN"/>
              </w:rPr>
              <w:t>响应（响应）供应商</w:t>
            </w:r>
          </w:p>
        </w:tc>
        <w:tc>
          <w:tcPr>
            <w:tcW w:w="2193" w:type="dxa"/>
            <w:gridSpan w:val="2"/>
            <w:tcBorders>
              <w:top w:val="single" w:color="auto" w:sz="4" w:space="0"/>
              <w:left w:val="nil"/>
              <w:bottom w:val="single" w:color="auto" w:sz="4" w:space="0"/>
              <w:right w:val="single" w:color="auto" w:sz="4" w:space="0"/>
            </w:tcBorders>
            <w:vAlign w:val="center"/>
          </w:tcPr>
          <w:p w14:paraId="0DC08C0A">
            <w:pPr>
              <w:widowControl w:val="0"/>
              <w:jc w:val="center"/>
              <w:rPr>
                <w:rFonts w:ascii="宋体" w:hAnsi="宋体" w:eastAsia="宋体" w:cs="宋体"/>
                <w:kern w:val="2"/>
                <w:sz w:val="21"/>
                <w:szCs w:val="21"/>
                <w:lang w:eastAsia="zh-CN"/>
              </w:rPr>
            </w:pPr>
          </w:p>
        </w:tc>
        <w:tc>
          <w:tcPr>
            <w:tcW w:w="1792" w:type="dxa"/>
            <w:tcBorders>
              <w:top w:val="single" w:color="auto" w:sz="4" w:space="0"/>
              <w:left w:val="nil"/>
              <w:bottom w:val="single" w:color="auto" w:sz="4" w:space="0"/>
              <w:right w:val="single" w:color="auto" w:sz="4" w:space="0"/>
            </w:tcBorders>
            <w:vAlign w:val="center"/>
          </w:tcPr>
          <w:p w14:paraId="1A2F4136">
            <w:pPr>
              <w:widowControl w:val="0"/>
              <w:jc w:val="center"/>
              <w:rPr>
                <w:rFonts w:ascii="宋体" w:hAnsi="宋体" w:eastAsia="宋体" w:cs="宋体"/>
                <w:kern w:val="2"/>
                <w:sz w:val="21"/>
                <w:szCs w:val="21"/>
                <w:lang w:eastAsia="zh-CN"/>
              </w:rPr>
            </w:pPr>
            <w:r>
              <w:rPr>
                <w:rFonts w:hint="eastAsia" w:ascii="宋体" w:hAnsi="宋体" w:eastAsia="宋体" w:cs="宋体"/>
                <w:b/>
                <w:bCs/>
                <w:kern w:val="2"/>
                <w:sz w:val="21"/>
                <w:szCs w:val="21"/>
                <w:lang w:eastAsia="zh-CN"/>
              </w:rPr>
              <w:t>采购项目名称及编号</w:t>
            </w:r>
          </w:p>
        </w:tc>
        <w:tc>
          <w:tcPr>
            <w:tcW w:w="3677" w:type="dxa"/>
            <w:gridSpan w:val="2"/>
            <w:tcBorders>
              <w:top w:val="single" w:color="auto" w:sz="4" w:space="0"/>
              <w:left w:val="nil"/>
              <w:bottom w:val="single" w:color="auto" w:sz="4" w:space="0"/>
              <w:right w:val="single" w:color="auto" w:sz="4" w:space="0"/>
            </w:tcBorders>
            <w:vAlign w:val="center"/>
          </w:tcPr>
          <w:p w14:paraId="6EE04F09">
            <w:pPr>
              <w:widowControl w:val="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2026年罗湖城区宣传片制作服务（第三次采购）</w:t>
            </w:r>
          </w:p>
          <w:p w14:paraId="388A557B">
            <w:pPr>
              <w:widowControl w:val="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LHZXCG-2026-00060</w:t>
            </w:r>
          </w:p>
        </w:tc>
      </w:tr>
      <w:tr w14:paraId="19A6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vAlign w:val="center"/>
          </w:tcPr>
          <w:p w14:paraId="4865BA00">
            <w:pPr>
              <w:widowControl w:val="0"/>
              <w:jc w:val="center"/>
              <w:rPr>
                <w:rFonts w:ascii="宋体" w:hAnsi="宋体" w:eastAsia="宋体" w:cs="宋体"/>
                <w:kern w:val="2"/>
                <w:sz w:val="21"/>
                <w:szCs w:val="21"/>
                <w:lang w:eastAsia="zh-CN"/>
              </w:rPr>
            </w:pPr>
            <w:r>
              <w:rPr>
                <w:rFonts w:hint="eastAsia" w:ascii="宋体" w:hAnsi="宋体" w:eastAsia="宋体" w:cs="宋体"/>
                <w:b/>
                <w:bCs/>
                <w:kern w:val="2"/>
                <w:sz w:val="21"/>
                <w:szCs w:val="21"/>
                <w:lang w:eastAsia="zh-CN"/>
              </w:rPr>
              <w:t>响应（响应）供应商相关人员情况</w:t>
            </w:r>
          </w:p>
        </w:tc>
      </w:tr>
      <w:tr w14:paraId="08ED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58" w:type="dxa"/>
            <w:tcBorders>
              <w:top w:val="single" w:color="auto" w:sz="4" w:space="0"/>
              <w:left w:val="single" w:color="auto" w:sz="4" w:space="0"/>
              <w:bottom w:val="single" w:color="auto" w:sz="4" w:space="0"/>
              <w:right w:val="single" w:color="auto" w:sz="4" w:space="0"/>
            </w:tcBorders>
            <w:vAlign w:val="center"/>
          </w:tcPr>
          <w:p w14:paraId="77EB4FEF">
            <w:pPr>
              <w:widowControl w:val="0"/>
              <w:snapToGrid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序号</w:t>
            </w:r>
          </w:p>
        </w:tc>
        <w:tc>
          <w:tcPr>
            <w:tcW w:w="1845" w:type="dxa"/>
            <w:gridSpan w:val="2"/>
            <w:tcBorders>
              <w:top w:val="single" w:color="auto" w:sz="4" w:space="0"/>
              <w:left w:val="nil"/>
              <w:bottom w:val="single" w:color="auto" w:sz="4" w:space="0"/>
              <w:right w:val="single" w:color="auto" w:sz="4" w:space="0"/>
            </w:tcBorders>
            <w:vAlign w:val="center"/>
          </w:tcPr>
          <w:p w14:paraId="2A539490">
            <w:pPr>
              <w:widowControl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职务</w:t>
            </w:r>
          </w:p>
        </w:tc>
        <w:tc>
          <w:tcPr>
            <w:tcW w:w="1420" w:type="dxa"/>
            <w:tcBorders>
              <w:top w:val="single" w:color="auto" w:sz="4" w:space="0"/>
              <w:left w:val="nil"/>
              <w:bottom w:val="single" w:color="auto" w:sz="4" w:space="0"/>
              <w:right w:val="single" w:color="auto" w:sz="4" w:space="0"/>
            </w:tcBorders>
            <w:vAlign w:val="center"/>
          </w:tcPr>
          <w:p w14:paraId="4E62B82D">
            <w:pPr>
              <w:widowControl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姓名</w:t>
            </w:r>
          </w:p>
        </w:tc>
        <w:tc>
          <w:tcPr>
            <w:tcW w:w="1792" w:type="dxa"/>
            <w:tcBorders>
              <w:top w:val="single" w:color="auto" w:sz="4" w:space="0"/>
              <w:left w:val="nil"/>
              <w:bottom w:val="single" w:color="auto" w:sz="4" w:space="0"/>
              <w:right w:val="single" w:color="auto" w:sz="4" w:space="0"/>
            </w:tcBorders>
            <w:vAlign w:val="center"/>
          </w:tcPr>
          <w:p w14:paraId="5EA2B6FF">
            <w:pPr>
              <w:widowControl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身份证号码</w:t>
            </w:r>
          </w:p>
        </w:tc>
        <w:tc>
          <w:tcPr>
            <w:tcW w:w="1898" w:type="dxa"/>
            <w:tcBorders>
              <w:top w:val="single" w:color="auto" w:sz="4" w:space="0"/>
              <w:left w:val="nil"/>
              <w:bottom w:val="single" w:color="auto" w:sz="4" w:space="0"/>
              <w:right w:val="single" w:color="auto" w:sz="4" w:space="0"/>
            </w:tcBorders>
            <w:vAlign w:val="center"/>
          </w:tcPr>
          <w:p w14:paraId="3C63415A">
            <w:pPr>
              <w:widowControl w:val="0"/>
              <w:snapToGrid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劳动合同</w:t>
            </w:r>
          </w:p>
          <w:p w14:paraId="18F97E98">
            <w:pPr>
              <w:widowControl w:val="0"/>
              <w:snapToGrid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关系单位</w:t>
            </w:r>
          </w:p>
        </w:tc>
        <w:tc>
          <w:tcPr>
            <w:tcW w:w="1779" w:type="dxa"/>
            <w:tcBorders>
              <w:top w:val="single" w:color="auto" w:sz="4" w:space="0"/>
              <w:left w:val="nil"/>
              <w:bottom w:val="single" w:color="auto" w:sz="4" w:space="0"/>
              <w:right w:val="single" w:color="auto" w:sz="4" w:space="0"/>
            </w:tcBorders>
            <w:vAlign w:val="center"/>
          </w:tcPr>
          <w:p w14:paraId="13A80BAD">
            <w:pPr>
              <w:widowControl w:val="0"/>
              <w:snapToGrid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缴纳社会</w:t>
            </w:r>
          </w:p>
          <w:p w14:paraId="0CDFD04D">
            <w:pPr>
              <w:widowControl w:val="0"/>
              <w:snapToGrid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保险单位</w:t>
            </w:r>
          </w:p>
        </w:tc>
      </w:tr>
      <w:tr w14:paraId="2DA2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558" w:type="dxa"/>
            <w:tcBorders>
              <w:top w:val="single" w:color="auto" w:sz="4" w:space="0"/>
              <w:left w:val="single" w:color="auto" w:sz="4" w:space="0"/>
              <w:bottom w:val="single" w:color="auto" w:sz="4" w:space="0"/>
              <w:right w:val="single" w:color="auto" w:sz="4" w:space="0"/>
            </w:tcBorders>
            <w:vAlign w:val="center"/>
          </w:tcPr>
          <w:p w14:paraId="61268D01">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w:t>
            </w:r>
          </w:p>
        </w:tc>
        <w:tc>
          <w:tcPr>
            <w:tcW w:w="1845" w:type="dxa"/>
            <w:gridSpan w:val="2"/>
            <w:tcBorders>
              <w:top w:val="single" w:color="auto" w:sz="4" w:space="0"/>
              <w:left w:val="nil"/>
              <w:bottom w:val="single" w:color="auto" w:sz="4" w:space="0"/>
              <w:right w:val="single" w:color="auto" w:sz="4" w:space="0"/>
            </w:tcBorders>
            <w:vAlign w:val="center"/>
          </w:tcPr>
          <w:p w14:paraId="3027CE2E">
            <w:pPr>
              <w:widowControl w:val="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法定代表人/单位负责人/主要经营负责人</w:t>
            </w:r>
          </w:p>
        </w:tc>
        <w:tc>
          <w:tcPr>
            <w:tcW w:w="1420" w:type="dxa"/>
            <w:tcBorders>
              <w:top w:val="single" w:color="auto" w:sz="4" w:space="0"/>
              <w:left w:val="nil"/>
              <w:bottom w:val="single" w:color="auto" w:sz="4" w:space="0"/>
              <w:right w:val="single" w:color="auto" w:sz="4" w:space="0"/>
            </w:tcBorders>
            <w:vAlign w:val="center"/>
          </w:tcPr>
          <w:p w14:paraId="1FC653B0">
            <w:pPr>
              <w:widowControl w:val="0"/>
              <w:jc w:val="center"/>
              <w:rPr>
                <w:rFonts w:ascii="宋体" w:hAnsi="宋体" w:eastAsia="宋体" w:cs="宋体"/>
                <w:kern w:val="2"/>
                <w:sz w:val="21"/>
                <w:szCs w:val="21"/>
                <w:lang w:eastAsia="zh-CN"/>
              </w:rPr>
            </w:pPr>
          </w:p>
        </w:tc>
        <w:tc>
          <w:tcPr>
            <w:tcW w:w="1792" w:type="dxa"/>
            <w:tcBorders>
              <w:top w:val="single" w:color="auto" w:sz="4" w:space="0"/>
              <w:left w:val="nil"/>
              <w:bottom w:val="single" w:color="auto" w:sz="4" w:space="0"/>
              <w:right w:val="single" w:color="auto" w:sz="4" w:space="0"/>
            </w:tcBorders>
            <w:vAlign w:val="center"/>
          </w:tcPr>
          <w:p w14:paraId="190C20B5">
            <w:pPr>
              <w:widowControl w:val="0"/>
              <w:jc w:val="center"/>
              <w:rPr>
                <w:rFonts w:ascii="宋体" w:hAnsi="宋体" w:eastAsia="宋体" w:cs="宋体"/>
                <w:kern w:val="2"/>
                <w:sz w:val="21"/>
                <w:szCs w:val="21"/>
                <w:lang w:eastAsia="zh-CN"/>
              </w:rPr>
            </w:pPr>
          </w:p>
        </w:tc>
        <w:tc>
          <w:tcPr>
            <w:tcW w:w="1898" w:type="dxa"/>
            <w:tcBorders>
              <w:top w:val="single" w:color="auto" w:sz="4" w:space="0"/>
              <w:left w:val="nil"/>
              <w:bottom w:val="single" w:color="auto" w:sz="4" w:space="0"/>
              <w:right w:val="single" w:color="auto" w:sz="4" w:space="0"/>
            </w:tcBorders>
            <w:vAlign w:val="center"/>
          </w:tcPr>
          <w:p w14:paraId="63F1F282">
            <w:pPr>
              <w:widowControl w:val="0"/>
              <w:jc w:val="center"/>
              <w:rPr>
                <w:rFonts w:ascii="宋体" w:hAnsi="宋体" w:eastAsia="宋体" w:cs="宋体"/>
                <w:kern w:val="2"/>
                <w:sz w:val="21"/>
                <w:szCs w:val="21"/>
                <w:lang w:eastAsia="zh-CN"/>
              </w:rPr>
            </w:pPr>
          </w:p>
        </w:tc>
        <w:tc>
          <w:tcPr>
            <w:tcW w:w="1779" w:type="dxa"/>
            <w:tcBorders>
              <w:top w:val="single" w:color="auto" w:sz="4" w:space="0"/>
              <w:left w:val="nil"/>
              <w:bottom w:val="single" w:color="auto" w:sz="4" w:space="0"/>
              <w:right w:val="single" w:color="auto" w:sz="4" w:space="0"/>
            </w:tcBorders>
            <w:vAlign w:val="center"/>
          </w:tcPr>
          <w:p w14:paraId="70D0C8AF">
            <w:pPr>
              <w:widowControl w:val="0"/>
              <w:jc w:val="center"/>
              <w:rPr>
                <w:rFonts w:ascii="宋体" w:hAnsi="宋体" w:eastAsia="宋体" w:cs="宋体"/>
                <w:kern w:val="2"/>
                <w:sz w:val="21"/>
                <w:szCs w:val="21"/>
                <w:lang w:eastAsia="zh-CN"/>
              </w:rPr>
            </w:pPr>
          </w:p>
        </w:tc>
      </w:tr>
      <w:tr w14:paraId="63CD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vAlign w:val="center"/>
          </w:tcPr>
          <w:p w14:paraId="79B5CB46">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c>
          <w:tcPr>
            <w:tcW w:w="1845" w:type="dxa"/>
            <w:gridSpan w:val="2"/>
            <w:tcBorders>
              <w:top w:val="single" w:color="auto" w:sz="4" w:space="0"/>
              <w:left w:val="nil"/>
              <w:bottom w:val="single" w:color="auto" w:sz="4" w:space="0"/>
              <w:right w:val="single" w:color="auto" w:sz="4" w:space="0"/>
            </w:tcBorders>
            <w:vAlign w:val="center"/>
          </w:tcPr>
          <w:p w14:paraId="24A494C5">
            <w:pPr>
              <w:widowControl w:val="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项目响应授权代表人</w:t>
            </w:r>
          </w:p>
        </w:tc>
        <w:tc>
          <w:tcPr>
            <w:tcW w:w="1420" w:type="dxa"/>
            <w:tcBorders>
              <w:top w:val="single" w:color="auto" w:sz="4" w:space="0"/>
              <w:left w:val="nil"/>
              <w:bottom w:val="single" w:color="auto" w:sz="4" w:space="0"/>
              <w:right w:val="single" w:color="auto" w:sz="4" w:space="0"/>
            </w:tcBorders>
            <w:vAlign w:val="center"/>
          </w:tcPr>
          <w:p w14:paraId="3590F57B">
            <w:pPr>
              <w:widowControl w:val="0"/>
              <w:jc w:val="center"/>
              <w:rPr>
                <w:rFonts w:ascii="宋体" w:hAnsi="宋体" w:eastAsia="宋体" w:cs="宋体"/>
                <w:kern w:val="2"/>
                <w:sz w:val="21"/>
                <w:szCs w:val="21"/>
                <w:lang w:eastAsia="zh-CN"/>
              </w:rPr>
            </w:pPr>
          </w:p>
        </w:tc>
        <w:tc>
          <w:tcPr>
            <w:tcW w:w="1792" w:type="dxa"/>
            <w:tcBorders>
              <w:top w:val="single" w:color="auto" w:sz="4" w:space="0"/>
              <w:left w:val="nil"/>
              <w:bottom w:val="single" w:color="auto" w:sz="4" w:space="0"/>
              <w:right w:val="single" w:color="auto" w:sz="4" w:space="0"/>
            </w:tcBorders>
            <w:vAlign w:val="center"/>
          </w:tcPr>
          <w:p w14:paraId="7C52273C">
            <w:pPr>
              <w:widowControl w:val="0"/>
              <w:jc w:val="center"/>
              <w:rPr>
                <w:rFonts w:ascii="宋体" w:hAnsi="宋体" w:eastAsia="宋体" w:cs="宋体"/>
                <w:kern w:val="2"/>
                <w:sz w:val="21"/>
                <w:szCs w:val="21"/>
                <w:lang w:eastAsia="zh-CN"/>
              </w:rPr>
            </w:pPr>
          </w:p>
        </w:tc>
        <w:tc>
          <w:tcPr>
            <w:tcW w:w="1898" w:type="dxa"/>
            <w:tcBorders>
              <w:top w:val="single" w:color="auto" w:sz="4" w:space="0"/>
              <w:left w:val="nil"/>
              <w:bottom w:val="single" w:color="auto" w:sz="4" w:space="0"/>
              <w:right w:val="single" w:color="auto" w:sz="4" w:space="0"/>
            </w:tcBorders>
            <w:vAlign w:val="center"/>
          </w:tcPr>
          <w:p w14:paraId="239D1002">
            <w:pPr>
              <w:widowControl w:val="0"/>
              <w:jc w:val="center"/>
              <w:rPr>
                <w:rFonts w:ascii="宋体" w:hAnsi="宋体" w:eastAsia="宋体" w:cs="宋体"/>
                <w:kern w:val="2"/>
                <w:sz w:val="21"/>
                <w:szCs w:val="21"/>
                <w:lang w:eastAsia="zh-CN"/>
              </w:rPr>
            </w:pPr>
          </w:p>
        </w:tc>
        <w:tc>
          <w:tcPr>
            <w:tcW w:w="1779" w:type="dxa"/>
            <w:tcBorders>
              <w:top w:val="single" w:color="auto" w:sz="4" w:space="0"/>
              <w:left w:val="nil"/>
              <w:bottom w:val="single" w:color="auto" w:sz="4" w:space="0"/>
              <w:right w:val="single" w:color="auto" w:sz="4" w:space="0"/>
            </w:tcBorders>
            <w:vAlign w:val="center"/>
          </w:tcPr>
          <w:p w14:paraId="59C2532C">
            <w:pPr>
              <w:widowControl w:val="0"/>
              <w:jc w:val="center"/>
              <w:rPr>
                <w:rFonts w:ascii="宋体" w:hAnsi="宋体" w:eastAsia="宋体" w:cs="宋体"/>
                <w:kern w:val="2"/>
                <w:sz w:val="21"/>
                <w:szCs w:val="21"/>
                <w:lang w:eastAsia="zh-CN"/>
              </w:rPr>
            </w:pPr>
          </w:p>
        </w:tc>
      </w:tr>
      <w:tr w14:paraId="3BBE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vAlign w:val="center"/>
          </w:tcPr>
          <w:p w14:paraId="5D627146">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3</w:t>
            </w:r>
          </w:p>
        </w:tc>
        <w:tc>
          <w:tcPr>
            <w:tcW w:w="1845" w:type="dxa"/>
            <w:gridSpan w:val="2"/>
            <w:tcBorders>
              <w:top w:val="single" w:color="auto" w:sz="4" w:space="0"/>
              <w:left w:val="nil"/>
              <w:bottom w:val="single" w:color="auto" w:sz="4" w:space="0"/>
              <w:right w:val="single" w:color="auto" w:sz="4" w:space="0"/>
            </w:tcBorders>
            <w:vAlign w:val="center"/>
          </w:tcPr>
          <w:p w14:paraId="1D91DE12">
            <w:pPr>
              <w:widowControl w:val="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项目负责人</w:t>
            </w:r>
          </w:p>
        </w:tc>
        <w:tc>
          <w:tcPr>
            <w:tcW w:w="1420" w:type="dxa"/>
            <w:tcBorders>
              <w:top w:val="single" w:color="auto" w:sz="4" w:space="0"/>
              <w:left w:val="nil"/>
              <w:bottom w:val="single" w:color="auto" w:sz="4" w:space="0"/>
              <w:right w:val="single" w:color="auto" w:sz="4" w:space="0"/>
            </w:tcBorders>
            <w:vAlign w:val="center"/>
          </w:tcPr>
          <w:p w14:paraId="269DF32B">
            <w:pPr>
              <w:widowControl w:val="0"/>
              <w:jc w:val="center"/>
              <w:rPr>
                <w:rFonts w:ascii="宋体" w:hAnsi="宋体" w:eastAsia="宋体" w:cs="宋体"/>
                <w:kern w:val="2"/>
                <w:sz w:val="21"/>
                <w:szCs w:val="21"/>
                <w:lang w:eastAsia="zh-CN"/>
              </w:rPr>
            </w:pPr>
          </w:p>
        </w:tc>
        <w:tc>
          <w:tcPr>
            <w:tcW w:w="1792" w:type="dxa"/>
            <w:tcBorders>
              <w:top w:val="single" w:color="auto" w:sz="4" w:space="0"/>
              <w:left w:val="nil"/>
              <w:bottom w:val="single" w:color="auto" w:sz="4" w:space="0"/>
              <w:right w:val="single" w:color="auto" w:sz="4" w:space="0"/>
            </w:tcBorders>
            <w:vAlign w:val="center"/>
          </w:tcPr>
          <w:p w14:paraId="42DEC3A4">
            <w:pPr>
              <w:widowControl w:val="0"/>
              <w:jc w:val="center"/>
              <w:rPr>
                <w:rFonts w:ascii="宋体" w:hAnsi="宋体" w:eastAsia="宋体" w:cs="宋体"/>
                <w:kern w:val="2"/>
                <w:sz w:val="21"/>
                <w:szCs w:val="21"/>
                <w:lang w:eastAsia="zh-CN"/>
              </w:rPr>
            </w:pPr>
          </w:p>
        </w:tc>
        <w:tc>
          <w:tcPr>
            <w:tcW w:w="1898" w:type="dxa"/>
            <w:tcBorders>
              <w:top w:val="single" w:color="auto" w:sz="4" w:space="0"/>
              <w:left w:val="nil"/>
              <w:bottom w:val="single" w:color="auto" w:sz="4" w:space="0"/>
              <w:right w:val="single" w:color="auto" w:sz="4" w:space="0"/>
            </w:tcBorders>
            <w:vAlign w:val="center"/>
          </w:tcPr>
          <w:p w14:paraId="4D643541">
            <w:pPr>
              <w:widowControl w:val="0"/>
              <w:jc w:val="center"/>
              <w:rPr>
                <w:rFonts w:ascii="宋体" w:hAnsi="宋体" w:eastAsia="宋体" w:cs="宋体"/>
                <w:kern w:val="2"/>
                <w:sz w:val="21"/>
                <w:szCs w:val="21"/>
                <w:lang w:eastAsia="zh-CN"/>
              </w:rPr>
            </w:pPr>
          </w:p>
        </w:tc>
        <w:tc>
          <w:tcPr>
            <w:tcW w:w="1779" w:type="dxa"/>
            <w:tcBorders>
              <w:top w:val="single" w:color="auto" w:sz="4" w:space="0"/>
              <w:left w:val="nil"/>
              <w:bottom w:val="single" w:color="auto" w:sz="4" w:space="0"/>
              <w:right w:val="single" w:color="auto" w:sz="4" w:space="0"/>
            </w:tcBorders>
            <w:vAlign w:val="center"/>
          </w:tcPr>
          <w:p w14:paraId="6822D386">
            <w:pPr>
              <w:widowControl w:val="0"/>
              <w:jc w:val="center"/>
              <w:rPr>
                <w:rFonts w:ascii="宋体" w:hAnsi="宋体" w:eastAsia="宋体" w:cs="宋体"/>
                <w:kern w:val="2"/>
                <w:sz w:val="21"/>
                <w:szCs w:val="21"/>
                <w:lang w:eastAsia="zh-CN"/>
              </w:rPr>
            </w:pPr>
          </w:p>
        </w:tc>
      </w:tr>
      <w:tr w14:paraId="698B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vAlign w:val="center"/>
          </w:tcPr>
          <w:p w14:paraId="04983650">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4</w:t>
            </w:r>
          </w:p>
        </w:tc>
        <w:tc>
          <w:tcPr>
            <w:tcW w:w="1845" w:type="dxa"/>
            <w:gridSpan w:val="2"/>
            <w:tcBorders>
              <w:top w:val="single" w:color="auto" w:sz="4" w:space="0"/>
              <w:left w:val="nil"/>
              <w:bottom w:val="single" w:color="auto" w:sz="4" w:space="0"/>
              <w:right w:val="single" w:color="auto" w:sz="4" w:space="0"/>
            </w:tcBorders>
            <w:vAlign w:val="center"/>
          </w:tcPr>
          <w:p w14:paraId="5C096429">
            <w:pPr>
              <w:widowControl w:val="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主要技术人员</w:t>
            </w:r>
          </w:p>
        </w:tc>
        <w:tc>
          <w:tcPr>
            <w:tcW w:w="1420" w:type="dxa"/>
            <w:tcBorders>
              <w:top w:val="single" w:color="auto" w:sz="4" w:space="0"/>
              <w:left w:val="nil"/>
              <w:bottom w:val="single" w:color="auto" w:sz="4" w:space="0"/>
              <w:right w:val="single" w:color="auto" w:sz="4" w:space="0"/>
            </w:tcBorders>
            <w:vAlign w:val="center"/>
          </w:tcPr>
          <w:p w14:paraId="71F9FB5B">
            <w:pPr>
              <w:widowControl w:val="0"/>
              <w:jc w:val="center"/>
              <w:rPr>
                <w:rFonts w:ascii="宋体" w:hAnsi="宋体" w:eastAsia="宋体" w:cs="宋体"/>
                <w:kern w:val="2"/>
                <w:sz w:val="21"/>
                <w:szCs w:val="21"/>
                <w:lang w:eastAsia="zh-CN"/>
              </w:rPr>
            </w:pPr>
          </w:p>
        </w:tc>
        <w:tc>
          <w:tcPr>
            <w:tcW w:w="1792" w:type="dxa"/>
            <w:tcBorders>
              <w:top w:val="single" w:color="auto" w:sz="4" w:space="0"/>
              <w:left w:val="nil"/>
              <w:bottom w:val="single" w:color="auto" w:sz="4" w:space="0"/>
              <w:right w:val="single" w:color="auto" w:sz="4" w:space="0"/>
            </w:tcBorders>
            <w:vAlign w:val="center"/>
          </w:tcPr>
          <w:p w14:paraId="5364DBA5">
            <w:pPr>
              <w:widowControl w:val="0"/>
              <w:jc w:val="center"/>
              <w:rPr>
                <w:rFonts w:ascii="宋体" w:hAnsi="宋体" w:eastAsia="宋体" w:cs="宋体"/>
                <w:kern w:val="2"/>
                <w:sz w:val="21"/>
                <w:szCs w:val="21"/>
                <w:lang w:eastAsia="zh-CN"/>
              </w:rPr>
            </w:pPr>
          </w:p>
        </w:tc>
        <w:tc>
          <w:tcPr>
            <w:tcW w:w="1898" w:type="dxa"/>
            <w:tcBorders>
              <w:top w:val="single" w:color="auto" w:sz="4" w:space="0"/>
              <w:left w:val="nil"/>
              <w:bottom w:val="single" w:color="auto" w:sz="4" w:space="0"/>
              <w:right w:val="single" w:color="auto" w:sz="4" w:space="0"/>
            </w:tcBorders>
            <w:vAlign w:val="center"/>
          </w:tcPr>
          <w:p w14:paraId="7D7DD771">
            <w:pPr>
              <w:widowControl w:val="0"/>
              <w:jc w:val="center"/>
              <w:rPr>
                <w:rFonts w:ascii="宋体" w:hAnsi="宋体" w:eastAsia="宋体" w:cs="宋体"/>
                <w:kern w:val="2"/>
                <w:sz w:val="21"/>
                <w:szCs w:val="21"/>
                <w:lang w:eastAsia="zh-CN"/>
              </w:rPr>
            </w:pPr>
          </w:p>
        </w:tc>
        <w:tc>
          <w:tcPr>
            <w:tcW w:w="1779" w:type="dxa"/>
            <w:tcBorders>
              <w:top w:val="single" w:color="auto" w:sz="4" w:space="0"/>
              <w:left w:val="nil"/>
              <w:bottom w:val="single" w:color="auto" w:sz="4" w:space="0"/>
              <w:right w:val="single" w:color="auto" w:sz="4" w:space="0"/>
            </w:tcBorders>
            <w:vAlign w:val="center"/>
          </w:tcPr>
          <w:p w14:paraId="23A2487F">
            <w:pPr>
              <w:widowControl w:val="0"/>
              <w:jc w:val="center"/>
              <w:rPr>
                <w:rFonts w:ascii="宋体" w:hAnsi="宋体" w:eastAsia="宋体" w:cs="宋体"/>
                <w:kern w:val="2"/>
                <w:sz w:val="21"/>
                <w:szCs w:val="21"/>
                <w:lang w:eastAsia="zh-CN"/>
              </w:rPr>
            </w:pPr>
          </w:p>
        </w:tc>
      </w:tr>
      <w:tr w14:paraId="3708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558" w:type="dxa"/>
            <w:tcBorders>
              <w:top w:val="single" w:color="auto" w:sz="4" w:space="0"/>
              <w:left w:val="single" w:color="auto" w:sz="4" w:space="0"/>
              <w:bottom w:val="single" w:color="auto" w:sz="4" w:space="0"/>
              <w:right w:val="single" w:color="auto" w:sz="4" w:space="0"/>
            </w:tcBorders>
            <w:vAlign w:val="center"/>
          </w:tcPr>
          <w:p w14:paraId="58D0BE06">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5</w:t>
            </w:r>
          </w:p>
        </w:tc>
        <w:tc>
          <w:tcPr>
            <w:tcW w:w="1845" w:type="dxa"/>
            <w:gridSpan w:val="2"/>
            <w:tcBorders>
              <w:top w:val="single" w:color="auto" w:sz="4" w:space="0"/>
              <w:left w:val="nil"/>
              <w:bottom w:val="single" w:color="auto" w:sz="4" w:space="0"/>
              <w:right w:val="single" w:color="auto" w:sz="4" w:space="0"/>
            </w:tcBorders>
            <w:vAlign w:val="center"/>
          </w:tcPr>
          <w:p w14:paraId="09FBDFF8">
            <w:pPr>
              <w:widowControl w:val="0"/>
              <w:jc w:val="both"/>
              <w:rPr>
                <w:rFonts w:ascii="宋体" w:hAnsi="宋体" w:eastAsia="宋体" w:cs="宋体"/>
                <w:kern w:val="2"/>
                <w:sz w:val="21"/>
                <w:szCs w:val="21"/>
                <w:lang w:eastAsia="zh-CN"/>
              </w:rPr>
            </w:pPr>
            <w:r>
              <w:rPr>
                <w:rFonts w:hint="eastAsia" w:ascii="宋体" w:hAnsi="宋体" w:eastAsia="宋体" w:cs="宋体"/>
                <w:kern w:val="2"/>
                <w:sz w:val="21"/>
                <w:szCs w:val="21"/>
                <w:lang w:eastAsia="zh-CN"/>
              </w:rPr>
              <w:t>响应文件编制人员</w:t>
            </w:r>
          </w:p>
        </w:tc>
        <w:tc>
          <w:tcPr>
            <w:tcW w:w="1420" w:type="dxa"/>
            <w:tcBorders>
              <w:top w:val="single" w:color="auto" w:sz="4" w:space="0"/>
              <w:left w:val="nil"/>
              <w:bottom w:val="single" w:color="auto" w:sz="4" w:space="0"/>
              <w:right w:val="single" w:color="auto" w:sz="4" w:space="0"/>
            </w:tcBorders>
            <w:vAlign w:val="center"/>
          </w:tcPr>
          <w:p w14:paraId="5D5589E0">
            <w:pPr>
              <w:widowControl w:val="0"/>
              <w:jc w:val="center"/>
              <w:rPr>
                <w:rFonts w:ascii="宋体" w:hAnsi="宋体" w:eastAsia="宋体" w:cs="宋体"/>
                <w:kern w:val="2"/>
                <w:sz w:val="21"/>
                <w:szCs w:val="21"/>
                <w:lang w:eastAsia="zh-CN"/>
              </w:rPr>
            </w:pPr>
          </w:p>
        </w:tc>
        <w:tc>
          <w:tcPr>
            <w:tcW w:w="1792" w:type="dxa"/>
            <w:tcBorders>
              <w:top w:val="single" w:color="auto" w:sz="4" w:space="0"/>
              <w:left w:val="nil"/>
              <w:bottom w:val="single" w:color="auto" w:sz="4" w:space="0"/>
              <w:right w:val="single" w:color="auto" w:sz="4" w:space="0"/>
            </w:tcBorders>
            <w:vAlign w:val="center"/>
          </w:tcPr>
          <w:p w14:paraId="2C115373">
            <w:pPr>
              <w:widowControl w:val="0"/>
              <w:jc w:val="center"/>
              <w:rPr>
                <w:rFonts w:ascii="宋体" w:hAnsi="宋体" w:eastAsia="宋体" w:cs="宋体"/>
                <w:kern w:val="2"/>
                <w:sz w:val="21"/>
                <w:szCs w:val="21"/>
                <w:lang w:eastAsia="zh-CN"/>
              </w:rPr>
            </w:pPr>
          </w:p>
        </w:tc>
        <w:tc>
          <w:tcPr>
            <w:tcW w:w="1898" w:type="dxa"/>
            <w:tcBorders>
              <w:top w:val="single" w:color="auto" w:sz="4" w:space="0"/>
              <w:left w:val="nil"/>
              <w:bottom w:val="single" w:color="auto" w:sz="4" w:space="0"/>
              <w:right w:val="single" w:color="auto" w:sz="4" w:space="0"/>
            </w:tcBorders>
            <w:vAlign w:val="center"/>
          </w:tcPr>
          <w:p w14:paraId="14AC27CB">
            <w:pPr>
              <w:widowControl w:val="0"/>
              <w:jc w:val="center"/>
              <w:rPr>
                <w:rFonts w:ascii="宋体" w:hAnsi="宋体" w:eastAsia="宋体" w:cs="宋体"/>
                <w:kern w:val="2"/>
                <w:sz w:val="21"/>
                <w:szCs w:val="21"/>
                <w:lang w:eastAsia="zh-CN"/>
              </w:rPr>
            </w:pPr>
          </w:p>
        </w:tc>
        <w:tc>
          <w:tcPr>
            <w:tcW w:w="1779" w:type="dxa"/>
            <w:tcBorders>
              <w:top w:val="single" w:color="auto" w:sz="4" w:space="0"/>
              <w:left w:val="nil"/>
              <w:bottom w:val="single" w:color="auto" w:sz="4" w:space="0"/>
              <w:right w:val="single" w:color="auto" w:sz="4" w:space="0"/>
            </w:tcBorders>
            <w:vAlign w:val="center"/>
          </w:tcPr>
          <w:p w14:paraId="068B87BA">
            <w:pPr>
              <w:widowControl w:val="0"/>
              <w:jc w:val="center"/>
              <w:rPr>
                <w:rFonts w:ascii="宋体" w:hAnsi="宋体" w:eastAsia="宋体" w:cs="宋体"/>
                <w:kern w:val="2"/>
                <w:sz w:val="21"/>
                <w:szCs w:val="21"/>
                <w:lang w:eastAsia="zh-CN"/>
              </w:rPr>
            </w:pPr>
          </w:p>
        </w:tc>
      </w:tr>
      <w:tr w14:paraId="6C2B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vAlign w:val="center"/>
          </w:tcPr>
          <w:p w14:paraId="2BB5B3B0">
            <w:pPr>
              <w:widowControl w:val="0"/>
              <w:jc w:val="both"/>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说明：1.同一职务有多人担任（如主要技术人员），应分行填写。</w:t>
            </w:r>
          </w:p>
          <w:p w14:paraId="75DD3685">
            <w:pPr>
              <w:widowControl w:val="0"/>
              <w:jc w:val="both"/>
              <w:rPr>
                <w:rFonts w:ascii="宋体" w:hAnsi="宋体" w:eastAsia="宋体" w:cs="宋体"/>
                <w:kern w:val="2"/>
                <w:sz w:val="21"/>
                <w:szCs w:val="21"/>
                <w:lang w:eastAsia="zh-CN"/>
              </w:rPr>
            </w:pPr>
            <w:r>
              <w:rPr>
                <w:rFonts w:hint="eastAsia" w:ascii="宋体" w:hAnsi="宋体" w:eastAsia="宋体" w:cs="宋体"/>
                <w:b/>
                <w:bCs/>
                <w:kern w:val="2"/>
                <w:sz w:val="21"/>
                <w:szCs w:val="21"/>
                <w:lang w:eastAsia="zh-CN"/>
              </w:rPr>
              <w:t>2.响应供应商成立不满一个月或上述人员社保缴纳不满一个月的，应提供承诺函，格式自拟。</w:t>
            </w:r>
          </w:p>
        </w:tc>
      </w:tr>
      <w:tr w14:paraId="20E8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292" w:type="dxa"/>
            <w:gridSpan w:val="7"/>
            <w:tcBorders>
              <w:top w:val="single" w:color="auto" w:sz="4" w:space="0"/>
              <w:left w:val="single" w:color="auto" w:sz="4" w:space="0"/>
              <w:bottom w:val="single" w:color="auto" w:sz="4" w:space="0"/>
              <w:right w:val="single" w:color="auto" w:sz="4" w:space="0"/>
            </w:tcBorders>
            <w:vAlign w:val="center"/>
          </w:tcPr>
          <w:p w14:paraId="1414F092">
            <w:pPr>
              <w:widowControl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投标（响应）供应商关联关系情况</w:t>
            </w:r>
          </w:p>
        </w:tc>
      </w:tr>
      <w:tr w14:paraId="45DA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vAlign w:val="center"/>
          </w:tcPr>
          <w:p w14:paraId="3BF775C1">
            <w:pPr>
              <w:widowControl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序号</w:t>
            </w:r>
          </w:p>
        </w:tc>
        <w:tc>
          <w:tcPr>
            <w:tcW w:w="1845" w:type="dxa"/>
            <w:gridSpan w:val="2"/>
            <w:tcBorders>
              <w:top w:val="single" w:color="auto" w:sz="4" w:space="0"/>
              <w:left w:val="nil"/>
              <w:bottom w:val="single" w:color="auto" w:sz="4" w:space="0"/>
              <w:right w:val="single" w:color="auto" w:sz="4" w:space="0"/>
            </w:tcBorders>
            <w:vAlign w:val="center"/>
          </w:tcPr>
          <w:p w14:paraId="47261D8A">
            <w:pPr>
              <w:widowControl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关联关系类型</w:t>
            </w:r>
          </w:p>
        </w:tc>
        <w:tc>
          <w:tcPr>
            <w:tcW w:w="3212" w:type="dxa"/>
            <w:gridSpan w:val="2"/>
            <w:tcBorders>
              <w:top w:val="single" w:color="auto" w:sz="4" w:space="0"/>
              <w:left w:val="nil"/>
              <w:bottom w:val="single" w:color="auto" w:sz="4" w:space="0"/>
              <w:right w:val="single" w:color="auto" w:sz="4" w:space="0"/>
            </w:tcBorders>
            <w:vAlign w:val="center"/>
          </w:tcPr>
          <w:p w14:paraId="45A28224">
            <w:pPr>
              <w:widowControl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关联主体名称</w:t>
            </w:r>
          </w:p>
        </w:tc>
        <w:tc>
          <w:tcPr>
            <w:tcW w:w="3677" w:type="dxa"/>
            <w:gridSpan w:val="2"/>
            <w:tcBorders>
              <w:top w:val="single" w:color="auto" w:sz="4" w:space="0"/>
              <w:left w:val="nil"/>
              <w:bottom w:val="single" w:color="auto" w:sz="4" w:space="0"/>
              <w:right w:val="single" w:color="auto" w:sz="4" w:space="0"/>
            </w:tcBorders>
            <w:vAlign w:val="center"/>
          </w:tcPr>
          <w:p w14:paraId="74DD7673">
            <w:pPr>
              <w:widowControl w:val="0"/>
              <w:jc w:val="center"/>
              <w:rPr>
                <w:rFonts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备注</w:t>
            </w:r>
          </w:p>
        </w:tc>
      </w:tr>
      <w:tr w14:paraId="5719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558" w:type="dxa"/>
            <w:tcBorders>
              <w:top w:val="single" w:color="auto" w:sz="4" w:space="0"/>
              <w:left w:val="single" w:color="auto" w:sz="4" w:space="0"/>
              <w:bottom w:val="single" w:color="auto" w:sz="4" w:space="0"/>
              <w:right w:val="single" w:color="auto" w:sz="4" w:space="0"/>
            </w:tcBorders>
            <w:vAlign w:val="center"/>
          </w:tcPr>
          <w:p w14:paraId="6370C47D">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w:t>
            </w:r>
          </w:p>
        </w:tc>
        <w:tc>
          <w:tcPr>
            <w:tcW w:w="1845" w:type="dxa"/>
            <w:gridSpan w:val="2"/>
            <w:tcBorders>
              <w:top w:val="single" w:color="auto" w:sz="4" w:space="0"/>
              <w:left w:val="nil"/>
              <w:bottom w:val="single" w:color="auto" w:sz="4" w:space="0"/>
              <w:right w:val="single" w:color="auto" w:sz="4" w:space="0"/>
            </w:tcBorders>
            <w:vAlign w:val="center"/>
          </w:tcPr>
          <w:p w14:paraId="5EAF53CD">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控股股东</w:t>
            </w:r>
          </w:p>
        </w:tc>
        <w:tc>
          <w:tcPr>
            <w:tcW w:w="3212" w:type="dxa"/>
            <w:gridSpan w:val="2"/>
            <w:tcBorders>
              <w:top w:val="single" w:color="auto" w:sz="4" w:space="0"/>
              <w:left w:val="nil"/>
              <w:bottom w:val="single" w:color="auto" w:sz="4" w:space="0"/>
              <w:right w:val="single" w:color="auto" w:sz="4" w:space="0"/>
            </w:tcBorders>
            <w:vAlign w:val="center"/>
          </w:tcPr>
          <w:p w14:paraId="0F7DD3F0">
            <w:pPr>
              <w:widowControl w:val="0"/>
              <w:jc w:val="center"/>
              <w:rPr>
                <w:rFonts w:ascii="宋体" w:hAnsi="宋体" w:eastAsia="宋体" w:cs="宋体"/>
                <w:kern w:val="2"/>
                <w:sz w:val="21"/>
                <w:szCs w:val="21"/>
                <w:lang w:eastAsia="zh-CN"/>
              </w:rPr>
            </w:pPr>
          </w:p>
        </w:tc>
        <w:tc>
          <w:tcPr>
            <w:tcW w:w="3677" w:type="dxa"/>
            <w:gridSpan w:val="2"/>
            <w:tcBorders>
              <w:top w:val="single" w:color="auto" w:sz="4" w:space="0"/>
              <w:left w:val="nil"/>
              <w:bottom w:val="single" w:color="auto" w:sz="4" w:space="0"/>
              <w:right w:val="single" w:color="auto" w:sz="4" w:space="0"/>
            </w:tcBorders>
            <w:vAlign w:val="center"/>
          </w:tcPr>
          <w:p w14:paraId="11982CE0">
            <w:pPr>
              <w:widowControl w:val="0"/>
              <w:snapToGrid w:val="0"/>
              <w:jc w:val="left"/>
              <w:rPr>
                <w:rFonts w:ascii="宋体" w:hAnsi="宋体" w:eastAsia="宋体" w:cs="宋体"/>
                <w:kern w:val="2"/>
                <w:sz w:val="21"/>
                <w:szCs w:val="21"/>
                <w:lang w:eastAsia="zh-CN"/>
              </w:rPr>
            </w:pPr>
            <w:r>
              <w:rPr>
                <w:rFonts w:hint="eastAsia" w:ascii="宋体" w:hAnsi="宋体" w:eastAsia="宋体" w:cs="宋体"/>
                <w:kern w:val="2"/>
                <w:sz w:val="21"/>
                <w:szCs w:val="21"/>
                <w:lang w:eastAsia="zh-CN"/>
              </w:rPr>
              <w:t>是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D9F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558" w:type="dxa"/>
            <w:tcBorders>
              <w:top w:val="single" w:color="auto" w:sz="4" w:space="0"/>
              <w:left w:val="single" w:color="auto" w:sz="4" w:space="0"/>
              <w:bottom w:val="single" w:color="auto" w:sz="4" w:space="0"/>
              <w:right w:val="single" w:color="auto" w:sz="4" w:space="0"/>
            </w:tcBorders>
            <w:vAlign w:val="center"/>
          </w:tcPr>
          <w:p w14:paraId="5794CD7D">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c>
          <w:tcPr>
            <w:tcW w:w="1845" w:type="dxa"/>
            <w:gridSpan w:val="2"/>
            <w:tcBorders>
              <w:top w:val="single" w:color="auto" w:sz="4" w:space="0"/>
              <w:left w:val="nil"/>
              <w:bottom w:val="single" w:color="auto" w:sz="4" w:space="0"/>
              <w:right w:val="single" w:color="auto" w:sz="4" w:space="0"/>
            </w:tcBorders>
            <w:vAlign w:val="center"/>
          </w:tcPr>
          <w:p w14:paraId="0A1FB29A">
            <w:pPr>
              <w:widowControl w:val="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管理关系</w:t>
            </w:r>
          </w:p>
        </w:tc>
        <w:tc>
          <w:tcPr>
            <w:tcW w:w="3212" w:type="dxa"/>
            <w:gridSpan w:val="2"/>
            <w:tcBorders>
              <w:top w:val="single" w:color="auto" w:sz="4" w:space="0"/>
              <w:left w:val="nil"/>
              <w:bottom w:val="single" w:color="auto" w:sz="4" w:space="0"/>
              <w:right w:val="single" w:color="auto" w:sz="4" w:space="0"/>
            </w:tcBorders>
            <w:vAlign w:val="center"/>
          </w:tcPr>
          <w:p w14:paraId="1C85FADF">
            <w:pPr>
              <w:widowControl w:val="0"/>
              <w:jc w:val="center"/>
              <w:rPr>
                <w:rFonts w:ascii="宋体" w:hAnsi="宋体" w:eastAsia="宋体" w:cs="宋体"/>
                <w:kern w:val="2"/>
                <w:sz w:val="21"/>
                <w:szCs w:val="21"/>
                <w:lang w:eastAsia="zh-CN"/>
              </w:rPr>
            </w:pPr>
          </w:p>
        </w:tc>
        <w:tc>
          <w:tcPr>
            <w:tcW w:w="3677" w:type="dxa"/>
            <w:gridSpan w:val="2"/>
            <w:tcBorders>
              <w:top w:val="single" w:color="auto" w:sz="4" w:space="0"/>
              <w:left w:val="nil"/>
              <w:bottom w:val="single" w:color="auto" w:sz="4" w:space="0"/>
              <w:right w:val="single" w:color="auto" w:sz="4" w:space="0"/>
            </w:tcBorders>
            <w:vAlign w:val="center"/>
          </w:tcPr>
          <w:p w14:paraId="581C96FE">
            <w:pPr>
              <w:widowControl w:val="0"/>
              <w:snapToGrid w:val="0"/>
              <w:jc w:val="left"/>
              <w:rPr>
                <w:rFonts w:ascii="宋体" w:hAnsi="宋体" w:eastAsia="宋体" w:cs="宋体"/>
                <w:kern w:val="2"/>
                <w:sz w:val="21"/>
                <w:szCs w:val="21"/>
                <w:lang w:eastAsia="zh-CN"/>
              </w:rPr>
            </w:pPr>
            <w:r>
              <w:rPr>
                <w:rFonts w:hint="eastAsia" w:ascii="宋体" w:hAnsi="宋体" w:eastAsia="宋体" w:cs="宋体"/>
                <w:kern w:val="2"/>
                <w:sz w:val="21"/>
                <w:szCs w:val="21"/>
                <w:lang w:eastAsia="zh-CN"/>
              </w:rPr>
              <w:t>是指对投标（响应）供应商不具有出资持股关系，但对其存在管理关系的主体。</w:t>
            </w:r>
          </w:p>
        </w:tc>
      </w:tr>
      <w:tr w14:paraId="17A0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92" w:type="dxa"/>
            <w:gridSpan w:val="7"/>
            <w:tcBorders>
              <w:top w:val="single" w:color="auto" w:sz="4" w:space="0"/>
              <w:left w:val="single" w:color="auto" w:sz="4" w:space="0"/>
              <w:bottom w:val="single" w:color="auto" w:sz="4" w:space="0"/>
              <w:right w:val="single" w:color="auto" w:sz="4" w:space="0"/>
            </w:tcBorders>
            <w:vAlign w:val="center"/>
          </w:tcPr>
          <w:p w14:paraId="50CF7A41">
            <w:pPr>
              <w:widowControl w:val="0"/>
              <w:snapToGrid w:val="0"/>
              <w:jc w:val="left"/>
              <w:rPr>
                <w:rFonts w:ascii="宋体" w:hAnsi="宋体" w:eastAsia="宋体" w:cs="宋体"/>
                <w:kern w:val="2"/>
                <w:sz w:val="21"/>
                <w:szCs w:val="21"/>
                <w:lang w:eastAsia="zh-CN"/>
              </w:rPr>
            </w:pPr>
            <w:r>
              <w:rPr>
                <w:rFonts w:hint="eastAsia" w:ascii="宋体" w:hAnsi="宋体" w:eastAsia="宋体" w:cs="宋体"/>
                <w:b/>
                <w:bCs/>
                <w:kern w:val="2"/>
                <w:sz w:val="21"/>
                <w:szCs w:val="21"/>
                <w:lang w:eastAsia="zh-CN"/>
              </w:rPr>
              <w:t>说明：同一关联关系类型有多个主体的，应分行填写。</w:t>
            </w:r>
          </w:p>
        </w:tc>
      </w:tr>
      <w:bookmarkEnd w:id="21"/>
    </w:tbl>
    <w:p w14:paraId="357C6411">
      <w:pPr>
        <w:widowControl w:val="0"/>
        <w:jc w:val="both"/>
        <w:rPr>
          <w:rFonts w:eastAsia="宋体"/>
          <w:kern w:val="2"/>
          <w:sz w:val="21"/>
          <w:lang w:eastAsia="zh-CN"/>
        </w:rPr>
      </w:pPr>
    </w:p>
    <w:p w14:paraId="0BA2F486">
      <w:pPr>
        <w:widowControl w:val="0"/>
        <w:jc w:val="center"/>
        <w:rPr>
          <w:rFonts w:eastAsia="宋体"/>
          <w:kern w:val="2"/>
          <w:sz w:val="21"/>
          <w:lang w:eastAsia="zh-CN"/>
        </w:rPr>
      </w:pPr>
    </w:p>
    <w:p w14:paraId="22B2D16A">
      <w:pPr>
        <w:widowControl w:val="0"/>
        <w:jc w:val="center"/>
        <w:rPr>
          <w:rFonts w:eastAsia="宋体"/>
          <w:kern w:val="2"/>
          <w:sz w:val="21"/>
          <w:lang w:eastAsia="zh-CN"/>
        </w:rPr>
      </w:pPr>
    </w:p>
    <w:p w14:paraId="4106C52A">
      <w:pPr>
        <w:keepNext/>
        <w:keepLines/>
        <w:widowControl w:val="0"/>
        <w:spacing w:before="260" w:after="260"/>
        <w:jc w:val="center"/>
        <w:outlineLvl w:val="2"/>
        <w:rPr>
          <w:rFonts w:ascii="宋体" w:hAnsi="宋体" w:eastAsia="宋体" w:cs="宋体"/>
          <w:b/>
          <w:kern w:val="2"/>
          <w:sz w:val="28"/>
          <w:szCs w:val="32"/>
          <w:lang w:eastAsia="zh-CN"/>
        </w:rPr>
      </w:pPr>
      <w:r>
        <w:rPr>
          <w:rFonts w:hint="eastAsia" w:ascii="宋体" w:hAnsi="宋体" w:eastAsia="宋体" w:cs="宋体"/>
          <w:b/>
          <w:kern w:val="2"/>
          <w:sz w:val="28"/>
          <w:lang w:eastAsia="zh-CN"/>
        </w:rPr>
        <w:t>四、</w:t>
      </w:r>
      <w:r>
        <w:rPr>
          <w:rFonts w:hint="eastAsia" w:ascii="宋体" w:hAnsi="宋体" w:eastAsia="宋体" w:cs="宋体"/>
          <w:b/>
          <w:kern w:val="2"/>
          <w:sz w:val="28"/>
          <w:szCs w:val="32"/>
          <w:lang w:eastAsia="zh-CN"/>
        </w:rPr>
        <w:t>实质性服务条款（以★号标注）证明文件（如有）</w:t>
      </w:r>
    </w:p>
    <w:p w14:paraId="4524814C">
      <w:pPr>
        <w:widowControl w:val="0"/>
        <w:ind w:firstLine="420" w:firstLineChars="200"/>
        <w:jc w:val="both"/>
        <w:rPr>
          <w:rFonts w:eastAsia="宋体"/>
          <w:color w:val="FF0000"/>
          <w:kern w:val="2"/>
          <w:sz w:val="21"/>
          <w:lang w:eastAsia="zh-CN"/>
        </w:rPr>
      </w:pPr>
      <w:r>
        <w:rPr>
          <w:rFonts w:hint="eastAsia" w:eastAsia="宋体"/>
          <w:color w:val="FF0000"/>
          <w:kern w:val="2"/>
          <w:sz w:val="21"/>
          <w:lang w:eastAsia="zh-CN"/>
        </w:rPr>
        <w:t>备注：</w:t>
      </w:r>
    </w:p>
    <w:p w14:paraId="5E3DF282">
      <w:pPr>
        <w:widowControl w:val="0"/>
        <w:spacing w:line="320" w:lineRule="exact"/>
        <w:ind w:firstLine="420" w:firstLineChars="200"/>
        <w:jc w:val="both"/>
        <w:rPr>
          <w:rFonts w:ascii="黑体" w:hAnsi="宋体" w:eastAsia="黑体"/>
          <w:bCs/>
          <w:color w:val="FF0000"/>
          <w:sz w:val="21"/>
          <w:szCs w:val="21"/>
          <w:lang w:eastAsia="zh-CN"/>
        </w:rPr>
      </w:pPr>
      <w:r>
        <w:rPr>
          <w:rFonts w:hint="eastAsia" w:ascii="黑体" w:hAnsi="宋体" w:eastAsia="黑体"/>
          <w:bCs/>
          <w:color w:val="FF0000"/>
          <w:sz w:val="21"/>
          <w:szCs w:val="21"/>
          <w:lang w:eastAsia="zh-CN"/>
        </w:rPr>
        <w:t>1、如本项目没有设置实质性服务条款（以★号标注），该部分无需填写。</w:t>
      </w:r>
    </w:p>
    <w:p w14:paraId="75CEFA19">
      <w:pPr>
        <w:widowControl w:val="0"/>
        <w:spacing w:line="320" w:lineRule="exact"/>
        <w:ind w:firstLine="420" w:firstLineChars="200"/>
        <w:jc w:val="both"/>
        <w:rPr>
          <w:rFonts w:ascii="黑体" w:hAnsi="宋体" w:eastAsia="黑体"/>
          <w:bCs/>
          <w:color w:val="FF0000"/>
          <w:sz w:val="21"/>
          <w:szCs w:val="21"/>
          <w:lang w:eastAsia="zh-CN"/>
        </w:rPr>
      </w:pPr>
      <w:r>
        <w:rPr>
          <w:rFonts w:hint="eastAsia" w:ascii="黑体" w:hAnsi="宋体" w:eastAsia="黑体"/>
          <w:bCs/>
          <w:color w:val="FF0000"/>
          <w:sz w:val="21"/>
          <w:szCs w:val="21"/>
          <w:lang w:eastAsia="zh-CN"/>
        </w:rPr>
        <w:t>2、如本项目设置了实质性服务条款（以★号标注），响应供应商须按要求提供相关证明文件，如未提供或出现负偏离的，响应文件作响应无效处理。</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4068"/>
        <w:gridCol w:w="1649"/>
        <w:gridCol w:w="1374"/>
        <w:gridCol w:w="1006"/>
      </w:tblGrid>
      <w:tr w14:paraId="2EF9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19943ACF">
            <w:pPr>
              <w:widowControl w:val="0"/>
              <w:adjustRightInd w:val="0"/>
              <w:snapToGrid w:val="0"/>
              <w:spacing w:line="360" w:lineRule="auto"/>
              <w:jc w:val="center"/>
              <w:rPr>
                <w:rFonts w:ascii="宋体" w:hAnsi="宋体" w:eastAsia="宋体"/>
                <w:sz w:val="21"/>
                <w:szCs w:val="21"/>
                <w:lang w:eastAsia="zh-CN"/>
              </w:rPr>
            </w:pPr>
            <w:bookmarkStart w:id="22" w:name="_Hlk72092651"/>
            <w:r>
              <w:rPr>
                <w:rFonts w:hint="eastAsia" w:ascii="宋体" w:hAnsi="宋体" w:eastAsia="宋体"/>
                <w:sz w:val="21"/>
                <w:szCs w:val="21"/>
                <w:lang w:eastAsia="zh-CN"/>
              </w:rPr>
              <w:t>序号</w:t>
            </w:r>
          </w:p>
        </w:tc>
        <w:tc>
          <w:tcPr>
            <w:tcW w:w="3774" w:type="dxa"/>
            <w:vAlign w:val="center"/>
          </w:tcPr>
          <w:p w14:paraId="28032F94">
            <w:pPr>
              <w:widowControl w:val="0"/>
              <w:adjustRightInd w:val="0"/>
              <w:snapToGrid w:val="0"/>
              <w:spacing w:line="360" w:lineRule="auto"/>
              <w:jc w:val="center"/>
              <w:rPr>
                <w:rFonts w:ascii="宋体" w:hAnsi="宋体" w:eastAsia="宋体"/>
                <w:sz w:val="21"/>
                <w:szCs w:val="21"/>
                <w:lang w:eastAsia="zh-CN"/>
              </w:rPr>
            </w:pPr>
            <w:r>
              <w:rPr>
                <w:rFonts w:hint="eastAsia" w:ascii="宋体" w:hAnsi="宋体" w:eastAsia="宋体"/>
                <w:sz w:val="21"/>
                <w:szCs w:val="21"/>
                <w:lang w:eastAsia="zh-CN"/>
              </w:rPr>
              <w:t>实质性条款具体内容</w:t>
            </w:r>
          </w:p>
        </w:tc>
        <w:tc>
          <w:tcPr>
            <w:tcW w:w="1530" w:type="dxa"/>
            <w:vAlign w:val="center"/>
          </w:tcPr>
          <w:p w14:paraId="175024A0">
            <w:pPr>
              <w:widowControl w:val="0"/>
              <w:adjustRightInd w:val="0"/>
              <w:snapToGrid w:val="0"/>
              <w:spacing w:line="360" w:lineRule="auto"/>
              <w:jc w:val="center"/>
              <w:rPr>
                <w:rFonts w:ascii="宋体" w:hAnsi="宋体" w:eastAsia="宋体"/>
                <w:sz w:val="21"/>
                <w:szCs w:val="21"/>
                <w:lang w:eastAsia="zh-CN"/>
              </w:rPr>
            </w:pPr>
            <w:r>
              <w:rPr>
                <w:rFonts w:hint="eastAsia" w:eastAsia="宋体"/>
                <w:kern w:val="2"/>
                <w:sz w:val="21"/>
                <w:lang w:eastAsia="zh-CN"/>
              </w:rPr>
              <w:t>投标响应</w:t>
            </w:r>
          </w:p>
        </w:tc>
        <w:tc>
          <w:tcPr>
            <w:tcW w:w="1275" w:type="dxa"/>
            <w:vAlign w:val="center"/>
          </w:tcPr>
          <w:p w14:paraId="435943D1">
            <w:pPr>
              <w:widowControl w:val="0"/>
              <w:adjustRightInd w:val="0"/>
              <w:snapToGrid w:val="0"/>
              <w:spacing w:line="360" w:lineRule="auto"/>
              <w:jc w:val="center"/>
              <w:rPr>
                <w:rFonts w:ascii="宋体" w:hAnsi="宋体" w:eastAsia="宋体"/>
                <w:sz w:val="21"/>
                <w:szCs w:val="21"/>
                <w:lang w:eastAsia="zh-CN"/>
              </w:rPr>
            </w:pPr>
            <w:r>
              <w:rPr>
                <w:rFonts w:hint="eastAsia" w:eastAsia="宋体"/>
                <w:kern w:val="2"/>
                <w:sz w:val="21"/>
                <w:lang w:eastAsia="zh-CN"/>
              </w:rPr>
              <w:t>偏离情况</w:t>
            </w:r>
          </w:p>
        </w:tc>
        <w:tc>
          <w:tcPr>
            <w:tcW w:w="933" w:type="dxa"/>
            <w:vAlign w:val="center"/>
          </w:tcPr>
          <w:p w14:paraId="04B2B683">
            <w:pPr>
              <w:widowControl w:val="0"/>
              <w:adjustRightInd w:val="0"/>
              <w:snapToGrid w:val="0"/>
              <w:spacing w:line="360" w:lineRule="auto"/>
              <w:jc w:val="center"/>
              <w:rPr>
                <w:rFonts w:ascii="宋体" w:hAnsi="宋体" w:eastAsia="宋体"/>
                <w:sz w:val="21"/>
                <w:szCs w:val="21"/>
                <w:lang w:eastAsia="zh-CN"/>
              </w:rPr>
            </w:pPr>
            <w:r>
              <w:rPr>
                <w:rFonts w:hint="eastAsia" w:eastAsia="宋体"/>
                <w:kern w:val="2"/>
                <w:sz w:val="21"/>
                <w:lang w:eastAsia="zh-CN"/>
              </w:rPr>
              <w:t>说明</w:t>
            </w:r>
          </w:p>
        </w:tc>
      </w:tr>
      <w:bookmarkEnd w:id="22"/>
      <w:tr w14:paraId="0E88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5BABC10B">
            <w:pPr>
              <w:widowControl w:val="0"/>
              <w:adjustRightInd w:val="0"/>
              <w:snapToGrid w:val="0"/>
              <w:spacing w:line="360" w:lineRule="auto"/>
              <w:jc w:val="both"/>
              <w:rPr>
                <w:rFonts w:ascii="宋体" w:hAnsi="宋体" w:eastAsia="宋体"/>
                <w:sz w:val="21"/>
                <w:szCs w:val="21"/>
                <w:lang w:eastAsia="zh-CN"/>
              </w:rPr>
            </w:pPr>
            <w:r>
              <w:rPr>
                <w:rFonts w:hint="eastAsia" w:ascii="宋体" w:hAnsi="宋体" w:eastAsia="宋体"/>
                <w:sz w:val="21"/>
                <w:szCs w:val="21"/>
                <w:lang w:eastAsia="zh-CN"/>
              </w:rPr>
              <w:t>1</w:t>
            </w:r>
          </w:p>
        </w:tc>
        <w:tc>
          <w:tcPr>
            <w:tcW w:w="3774" w:type="dxa"/>
          </w:tcPr>
          <w:p w14:paraId="48DD605D">
            <w:pPr>
              <w:widowControl w:val="0"/>
              <w:jc w:val="both"/>
              <w:rPr>
                <w:rFonts w:hAnsi="宋体" w:eastAsia="宋体"/>
                <w:sz w:val="21"/>
                <w:szCs w:val="21"/>
                <w:lang w:eastAsia="zh-CN"/>
              </w:rPr>
            </w:pPr>
            <w:r>
              <w:rPr>
                <w:rFonts w:hint="eastAsia" w:eastAsia="宋体"/>
                <w:color w:val="FF0000"/>
                <w:kern w:val="2"/>
                <w:sz w:val="21"/>
                <w:szCs w:val="21"/>
                <w:lang w:eastAsia="zh-CN"/>
              </w:rPr>
              <w:t>★</w:t>
            </w:r>
            <w:r>
              <w:rPr>
                <w:rFonts w:hint="eastAsia" w:eastAsia="宋体"/>
                <w:color w:val="FF0000"/>
                <w:kern w:val="2"/>
                <w:sz w:val="21"/>
                <w:lang w:eastAsia="zh-CN"/>
              </w:rPr>
              <w:t>完全满足本项目服务期限的要求。</w:t>
            </w:r>
          </w:p>
        </w:tc>
        <w:tc>
          <w:tcPr>
            <w:tcW w:w="1530" w:type="dxa"/>
          </w:tcPr>
          <w:p w14:paraId="4F63C3F4">
            <w:pPr>
              <w:widowControl w:val="0"/>
              <w:adjustRightInd w:val="0"/>
              <w:snapToGrid w:val="0"/>
              <w:spacing w:line="360" w:lineRule="auto"/>
              <w:jc w:val="both"/>
              <w:rPr>
                <w:rFonts w:ascii="宋体" w:hAnsi="宋体" w:eastAsia="宋体"/>
                <w:sz w:val="21"/>
                <w:szCs w:val="21"/>
                <w:lang w:eastAsia="zh-CN"/>
              </w:rPr>
            </w:pPr>
          </w:p>
        </w:tc>
        <w:tc>
          <w:tcPr>
            <w:tcW w:w="1275" w:type="dxa"/>
          </w:tcPr>
          <w:p w14:paraId="0837EF1C">
            <w:pPr>
              <w:widowControl w:val="0"/>
              <w:adjustRightInd w:val="0"/>
              <w:snapToGrid w:val="0"/>
              <w:spacing w:line="360" w:lineRule="auto"/>
              <w:jc w:val="both"/>
              <w:rPr>
                <w:rFonts w:ascii="宋体" w:hAnsi="宋体" w:eastAsia="宋体"/>
                <w:sz w:val="21"/>
                <w:szCs w:val="21"/>
                <w:lang w:eastAsia="zh-CN"/>
              </w:rPr>
            </w:pPr>
          </w:p>
        </w:tc>
        <w:tc>
          <w:tcPr>
            <w:tcW w:w="933" w:type="dxa"/>
          </w:tcPr>
          <w:p w14:paraId="5D9DA575">
            <w:pPr>
              <w:widowControl w:val="0"/>
              <w:adjustRightInd w:val="0"/>
              <w:snapToGrid w:val="0"/>
              <w:spacing w:line="360" w:lineRule="auto"/>
              <w:jc w:val="both"/>
              <w:rPr>
                <w:rFonts w:ascii="宋体" w:hAnsi="宋体" w:eastAsia="宋体"/>
                <w:sz w:val="21"/>
                <w:szCs w:val="21"/>
                <w:lang w:eastAsia="zh-CN"/>
              </w:rPr>
            </w:pPr>
          </w:p>
        </w:tc>
      </w:tr>
      <w:tr w14:paraId="5B7D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1C339F67">
            <w:pPr>
              <w:widowControl w:val="0"/>
              <w:adjustRightInd w:val="0"/>
              <w:snapToGrid w:val="0"/>
              <w:spacing w:line="360" w:lineRule="auto"/>
              <w:jc w:val="both"/>
              <w:rPr>
                <w:rFonts w:ascii="宋体" w:hAnsi="宋体" w:eastAsia="宋体"/>
                <w:sz w:val="21"/>
                <w:szCs w:val="21"/>
                <w:lang w:eastAsia="zh-CN"/>
              </w:rPr>
            </w:pPr>
            <w:r>
              <w:rPr>
                <w:rFonts w:hint="eastAsia" w:ascii="宋体" w:hAnsi="宋体" w:eastAsia="宋体"/>
                <w:sz w:val="21"/>
                <w:szCs w:val="21"/>
                <w:lang w:eastAsia="zh-CN"/>
              </w:rPr>
              <w:t>2</w:t>
            </w:r>
          </w:p>
        </w:tc>
        <w:tc>
          <w:tcPr>
            <w:tcW w:w="3774" w:type="dxa"/>
            <w:vAlign w:val="center"/>
          </w:tcPr>
          <w:p w14:paraId="3E741E59">
            <w:pPr>
              <w:widowControl w:val="0"/>
              <w:adjustRightInd w:val="0"/>
              <w:snapToGrid w:val="0"/>
              <w:spacing w:line="360" w:lineRule="auto"/>
              <w:jc w:val="center"/>
              <w:rPr>
                <w:rFonts w:hAnsi="宋体" w:eastAsia="宋体"/>
                <w:sz w:val="21"/>
                <w:szCs w:val="21"/>
                <w:lang w:eastAsia="zh-CN"/>
              </w:rPr>
            </w:pPr>
            <w:r>
              <w:rPr>
                <w:rFonts w:hint="eastAsia" w:eastAsia="宋体"/>
                <w:color w:val="FF0000"/>
                <w:kern w:val="2"/>
                <w:sz w:val="21"/>
                <w:szCs w:val="21"/>
                <w:lang w:eastAsia="zh-CN"/>
              </w:rPr>
              <w:t>★</w:t>
            </w:r>
            <w:r>
              <w:rPr>
                <w:rFonts w:hint="eastAsia" w:ascii="宋体" w:hAnsi="宋体" w:eastAsia="宋体"/>
                <w:color w:val="FF0000"/>
                <w:kern w:val="2"/>
                <w:sz w:val="21"/>
                <w:lang w:eastAsia="zh-CN"/>
              </w:rPr>
              <w:t>完全满足本项目★标记条款的要求。</w:t>
            </w:r>
          </w:p>
        </w:tc>
        <w:tc>
          <w:tcPr>
            <w:tcW w:w="1530" w:type="dxa"/>
          </w:tcPr>
          <w:p w14:paraId="57EC0623">
            <w:pPr>
              <w:widowControl w:val="0"/>
              <w:adjustRightInd w:val="0"/>
              <w:snapToGrid w:val="0"/>
              <w:spacing w:line="360" w:lineRule="auto"/>
              <w:jc w:val="both"/>
              <w:rPr>
                <w:rFonts w:ascii="宋体" w:hAnsi="宋体" w:eastAsia="宋体"/>
                <w:sz w:val="21"/>
                <w:szCs w:val="21"/>
                <w:lang w:eastAsia="zh-CN"/>
              </w:rPr>
            </w:pPr>
          </w:p>
        </w:tc>
        <w:tc>
          <w:tcPr>
            <w:tcW w:w="1275" w:type="dxa"/>
          </w:tcPr>
          <w:p w14:paraId="109A77A3">
            <w:pPr>
              <w:widowControl w:val="0"/>
              <w:adjustRightInd w:val="0"/>
              <w:snapToGrid w:val="0"/>
              <w:spacing w:line="360" w:lineRule="auto"/>
              <w:jc w:val="both"/>
              <w:rPr>
                <w:rFonts w:ascii="宋体" w:hAnsi="宋体" w:eastAsia="宋体"/>
                <w:sz w:val="21"/>
                <w:szCs w:val="21"/>
                <w:lang w:eastAsia="zh-CN"/>
              </w:rPr>
            </w:pPr>
          </w:p>
        </w:tc>
        <w:tc>
          <w:tcPr>
            <w:tcW w:w="933" w:type="dxa"/>
          </w:tcPr>
          <w:p w14:paraId="22546FD7">
            <w:pPr>
              <w:widowControl w:val="0"/>
              <w:adjustRightInd w:val="0"/>
              <w:snapToGrid w:val="0"/>
              <w:spacing w:line="360" w:lineRule="auto"/>
              <w:jc w:val="both"/>
              <w:rPr>
                <w:rFonts w:ascii="宋体" w:hAnsi="宋体" w:eastAsia="宋体"/>
                <w:sz w:val="21"/>
                <w:szCs w:val="21"/>
                <w:lang w:eastAsia="zh-CN"/>
              </w:rPr>
            </w:pPr>
          </w:p>
        </w:tc>
      </w:tr>
    </w:tbl>
    <w:p w14:paraId="52D6FECC">
      <w:pPr>
        <w:widowControl w:val="0"/>
        <w:ind w:firstLine="420" w:firstLineChars="200"/>
        <w:jc w:val="both"/>
        <w:rPr>
          <w:rFonts w:eastAsia="宋体"/>
          <w:kern w:val="2"/>
          <w:sz w:val="21"/>
          <w:lang w:eastAsia="zh-CN"/>
        </w:rPr>
      </w:pPr>
      <w:r>
        <w:rPr>
          <w:rFonts w:hint="eastAsia" w:eastAsia="宋体"/>
          <w:kern w:val="2"/>
          <w:sz w:val="21"/>
          <w:lang w:eastAsia="zh-CN"/>
        </w:rPr>
        <w:t>注：</w:t>
      </w:r>
    </w:p>
    <w:p w14:paraId="6567D614">
      <w:pPr>
        <w:widowControl w:val="0"/>
        <w:ind w:firstLine="420" w:firstLineChars="200"/>
        <w:jc w:val="both"/>
        <w:rPr>
          <w:rFonts w:eastAsia="宋体"/>
          <w:kern w:val="2"/>
          <w:sz w:val="21"/>
          <w:lang w:eastAsia="zh-CN"/>
        </w:rPr>
      </w:pPr>
      <w:r>
        <w:rPr>
          <w:rFonts w:hint="eastAsia" w:eastAsia="宋体"/>
          <w:kern w:val="2"/>
          <w:sz w:val="21"/>
          <w:lang w:eastAsia="zh-CN"/>
        </w:rPr>
        <w:t>1.上表所列各项均为不可负偏离条款。</w:t>
      </w:r>
    </w:p>
    <w:p w14:paraId="4E3CE510">
      <w:pPr>
        <w:widowControl w:val="0"/>
        <w:ind w:firstLine="420" w:firstLineChars="200"/>
        <w:jc w:val="both"/>
        <w:rPr>
          <w:rFonts w:eastAsia="宋体"/>
          <w:kern w:val="2"/>
          <w:sz w:val="21"/>
          <w:lang w:eastAsia="zh-CN"/>
        </w:rPr>
      </w:pPr>
      <w:r>
        <w:rPr>
          <w:rFonts w:hint="eastAsia" w:eastAsia="宋体"/>
          <w:kern w:val="2"/>
          <w:sz w:val="21"/>
          <w:lang w:eastAsia="zh-CN"/>
        </w:rPr>
        <w:t>2.“投标响应”一栏应当详细填写投标人自身响应情况，而不能不合理照搬照抄招实质性条款具体内容。</w:t>
      </w:r>
    </w:p>
    <w:p w14:paraId="4A533CD1">
      <w:pPr>
        <w:widowControl w:val="0"/>
        <w:ind w:firstLine="420" w:firstLineChars="200"/>
        <w:jc w:val="both"/>
        <w:rPr>
          <w:rFonts w:eastAsia="宋体"/>
          <w:kern w:val="2"/>
          <w:sz w:val="21"/>
          <w:lang w:eastAsia="zh-CN"/>
        </w:rPr>
      </w:pPr>
      <w:r>
        <w:rPr>
          <w:rFonts w:hint="eastAsia" w:eastAsia="宋体"/>
          <w:kern w:val="2"/>
          <w:sz w:val="21"/>
          <w:lang w:eastAsia="zh-CN"/>
        </w:rPr>
        <w:t>3</w:t>
      </w:r>
      <w:r>
        <w:rPr>
          <w:rFonts w:eastAsia="宋体"/>
          <w:kern w:val="2"/>
          <w:sz w:val="21"/>
          <w:lang w:eastAsia="zh-CN"/>
        </w:rPr>
        <w:t>.</w:t>
      </w:r>
      <w:r>
        <w:rPr>
          <w:rFonts w:hint="eastAsia" w:eastAsia="宋体"/>
          <w:kern w:val="2"/>
          <w:sz w:val="21"/>
          <w:lang w:eastAsia="zh-CN"/>
        </w:rPr>
        <w:t>“偏离情况”一栏应填写“正偏离”、“负偏离”或“无偏离”，“正偏离”表示“投标响应优于实质性条款具体内容要求”，“负偏离”表示“投标响应不满足实质性条款具体内容要求”，“无偏离”表示“投标响应与实质性条款具体内容要求一致”。</w:t>
      </w:r>
    </w:p>
    <w:p w14:paraId="09DF8598">
      <w:pPr>
        <w:widowControl w:val="0"/>
        <w:ind w:firstLine="420" w:firstLineChars="200"/>
        <w:jc w:val="both"/>
        <w:rPr>
          <w:rFonts w:eastAsia="宋体"/>
          <w:kern w:val="2"/>
          <w:sz w:val="21"/>
          <w:lang w:eastAsia="zh-CN"/>
        </w:rPr>
      </w:pPr>
      <w:r>
        <w:rPr>
          <w:rFonts w:eastAsia="宋体"/>
          <w:kern w:val="2"/>
          <w:sz w:val="21"/>
          <w:lang w:eastAsia="zh-CN"/>
        </w:rPr>
        <w:t>4.</w:t>
      </w:r>
      <w:r>
        <w:rPr>
          <w:rFonts w:hint="eastAsia" w:eastAsia="宋体"/>
          <w:kern w:val="2"/>
          <w:sz w:val="21"/>
          <w:lang w:eastAsia="zh-CN"/>
        </w:rPr>
        <w:t>谈判小组有权对投标响应情况作出判断（作出评审结论）。</w:t>
      </w:r>
    </w:p>
    <w:p w14:paraId="051692E1">
      <w:pPr>
        <w:widowControl w:val="0"/>
        <w:ind w:firstLine="420" w:firstLineChars="200"/>
        <w:jc w:val="both"/>
        <w:rPr>
          <w:rFonts w:eastAsia="宋体"/>
          <w:kern w:val="2"/>
          <w:sz w:val="21"/>
          <w:lang w:eastAsia="zh-CN"/>
        </w:rPr>
      </w:pPr>
      <w:r>
        <w:rPr>
          <w:rFonts w:eastAsia="宋体"/>
          <w:kern w:val="2"/>
          <w:sz w:val="21"/>
          <w:lang w:eastAsia="zh-CN"/>
        </w:rPr>
        <w:t>5</w:t>
      </w:r>
      <w:r>
        <w:rPr>
          <w:rFonts w:hint="eastAsia" w:eastAsia="宋体"/>
          <w:kern w:val="2"/>
          <w:sz w:val="21"/>
          <w:lang w:eastAsia="zh-CN"/>
        </w:rPr>
        <w:t>.实质性响应条款“投标响应情况”与响应文件其它内容冲突的，以实质性响应条款“响应响应情况”为准。</w:t>
      </w:r>
    </w:p>
    <w:p w14:paraId="6E6C17F3">
      <w:pPr>
        <w:widowControl w:val="0"/>
        <w:ind w:firstLine="420" w:firstLineChars="200"/>
        <w:jc w:val="both"/>
        <w:rPr>
          <w:rFonts w:eastAsia="宋体"/>
          <w:kern w:val="2"/>
          <w:sz w:val="21"/>
          <w:lang w:eastAsia="zh-CN"/>
        </w:rPr>
      </w:pPr>
      <w:r>
        <w:rPr>
          <w:rFonts w:hint="eastAsia" w:eastAsia="宋体"/>
          <w:kern w:val="2"/>
          <w:sz w:val="21"/>
          <w:lang w:eastAsia="zh-CN"/>
        </w:rPr>
        <w:t>6.要求提供证明资料，在“说明”一栏中列明证明资料的位置,以便评审；未要求提供证明材料的，投标人可以不提供。</w:t>
      </w:r>
    </w:p>
    <w:p w14:paraId="1EDF7844">
      <w:pPr>
        <w:widowControl w:val="0"/>
        <w:ind w:firstLine="420" w:firstLineChars="200"/>
        <w:jc w:val="both"/>
        <w:rPr>
          <w:rFonts w:eastAsia="宋体"/>
          <w:kern w:val="2"/>
          <w:sz w:val="21"/>
          <w:lang w:eastAsia="zh-CN"/>
        </w:rPr>
      </w:pPr>
    </w:p>
    <w:p w14:paraId="55C17C6A">
      <w:pPr>
        <w:widowControl w:val="0"/>
        <w:ind w:firstLine="420" w:firstLineChars="200"/>
        <w:jc w:val="both"/>
        <w:rPr>
          <w:rFonts w:ascii="黑体" w:hAnsi="宋体" w:eastAsia="黑体"/>
          <w:bCs/>
          <w:color w:val="FF0000"/>
          <w:sz w:val="21"/>
          <w:szCs w:val="21"/>
          <w:lang w:eastAsia="zh-CN"/>
        </w:rPr>
      </w:pPr>
    </w:p>
    <w:p w14:paraId="64B5881B">
      <w:pPr>
        <w:widowControl w:val="0"/>
        <w:ind w:firstLine="420" w:firstLineChars="200"/>
        <w:jc w:val="both"/>
        <w:rPr>
          <w:rFonts w:ascii="黑体" w:hAnsi="宋体" w:eastAsia="黑体"/>
          <w:bCs/>
          <w:color w:val="FF0000"/>
          <w:sz w:val="21"/>
          <w:szCs w:val="21"/>
          <w:lang w:eastAsia="zh-CN"/>
        </w:rPr>
      </w:pPr>
    </w:p>
    <w:p w14:paraId="56FE74A4">
      <w:pPr>
        <w:keepNext/>
        <w:keepLines/>
        <w:widowControl w:val="0"/>
        <w:spacing w:before="260" w:after="260"/>
        <w:jc w:val="center"/>
        <w:outlineLvl w:val="2"/>
        <w:rPr>
          <w:rFonts w:ascii="宋体" w:hAnsi="宋体" w:eastAsia="宋体" w:cs="宋体"/>
          <w:b/>
          <w:kern w:val="2"/>
          <w:sz w:val="28"/>
          <w:lang w:eastAsia="zh-CN"/>
        </w:rPr>
      </w:pPr>
      <w:r>
        <w:rPr>
          <w:rFonts w:hint="eastAsia" w:ascii="宋体" w:hAnsi="宋体" w:eastAsia="宋体" w:cs="宋体"/>
          <w:b/>
          <w:kern w:val="2"/>
          <w:sz w:val="28"/>
          <w:lang w:eastAsia="zh-CN"/>
        </w:rPr>
        <w:t>五、法定代表人（负责人）资格证明书</w:t>
      </w:r>
    </w:p>
    <w:p w14:paraId="7316B773">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u w:val="single"/>
          <w:lang w:eastAsia="zh-CN"/>
        </w:rPr>
        <w:t xml:space="preserve">                 </w:t>
      </w:r>
      <w:r>
        <w:rPr>
          <w:rFonts w:hint="eastAsia" w:eastAsia="宋体"/>
          <w:kern w:val="2"/>
          <w:sz w:val="21"/>
          <w:szCs w:val="21"/>
          <w:lang w:eastAsia="zh-CN"/>
        </w:rPr>
        <w:t>（姓名），现任我单位</w:t>
      </w:r>
      <w:r>
        <w:rPr>
          <w:rFonts w:hint="eastAsia" w:eastAsia="宋体"/>
          <w:kern w:val="2"/>
          <w:sz w:val="21"/>
          <w:szCs w:val="21"/>
          <w:u w:val="single"/>
          <w:lang w:eastAsia="zh-CN"/>
        </w:rPr>
        <w:t xml:space="preserve">             </w:t>
      </w:r>
      <w:r>
        <w:rPr>
          <w:rFonts w:hint="eastAsia" w:eastAsia="宋体"/>
          <w:kern w:val="2"/>
          <w:sz w:val="21"/>
          <w:szCs w:val="21"/>
          <w:lang w:eastAsia="zh-CN"/>
        </w:rPr>
        <w:t>职务，为法定代表人（负责人），身份证件号为：</w:t>
      </w:r>
      <w:r>
        <w:rPr>
          <w:rFonts w:hint="eastAsia" w:eastAsia="宋体"/>
          <w:kern w:val="2"/>
          <w:sz w:val="21"/>
          <w:szCs w:val="21"/>
          <w:u w:val="single"/>
          <w:lang w:eastAsia="zh-CN"/>
        </w:rPr>
        <w:t xml:space="preserve">                                     </w:t>
      </w:r>
      <w:r>
        <w:rPr>
          <w:rFonts w:hint="eastAsia" w:eastAsia="宋体"/>
          <w:kern w:val="2"/>
          <w:sz w:val="21"/>
          <w:szCs w:val="21"/>
          <w:lang w:eastAsia="zh-CN"/>
        </w:rPr>
        <w:t>，联系电话：</w:t>
      </w:r>
      <w:r>
        <w:rPr>
          <w:rFonts w:hint="eastAsia" w:eastAsia="宋体"/>
          <w:kern w:val="2"/>
          <w:sz w:val="21"/>
          <w:szCs w:val="21"/>
          <w:u w:val="single"/>
          <w:lang w:eastAsia="zh-CN"/>
        </w:rPr>
        <w:t xml:space="preserve">                </w:t>
      </w:r>
      <w:r>
        <w:rPr>
          <w:rFonts w:hint="eastAsia" w:eastAsia="宋体"/>
          <w:kern w:val="2"/>
          <w:sz w:val="21"/>
          <w:szCs w:val="21"/>
          <w:lang w:eastAsia="zh-CN"/>
        </w:rPr>
        <w:t>。</w:t>
      </w:r>
    </w:p>
    <w:p w14:paraId="73DA585B">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特此证明。</w:t>
      </w:r>
    </w:p>
    <w:p w14:paraId="0F1A6445">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说明：1、法定代表人为投标人（企业事业单位、国家机关、社会团体）的主要行政负责人。</w:t>
      </w:r>
    </w:p>
    <w:p w14:paraId="680CF4FB">
      <w:pPr>
        <w:widowControl w:val="0"/>
        <w:numPr>
          <w:ilvl w:val="0"/>
          <w:numId w:val="1"/>
        </w:numPr>
        <w:spacing w:line="360" w:lineRule="auto"/>
        <w:ind w:firstLine="420" w:firstLineChars="200"/>
        <w:jc w:val="both"/>
        <w:rPr>
          <w:rFonts w:eastAsia="宋体"/>
          <w:kern w:val="2"/>
          <w:sz w:val="21"/>
          <w:szCs w:val="21"/>
          <w:lang w:eastAsia="zh-CN"/>
        </w:rPr>
      </w:pPr>
      <w:r>
        <w:rPr>
          <w:rFonts w:hint="eastAsia" w:eastAsia="宋体"/>
          <w:kern w:val="2"/>
          <w:sz w:val="21"/>
          <w:szCs w:val="21"/>
          <w:lang w:eastAsia="zh-Hans"/>
        </w:rPr>
        <w:t>本证明书要供法定代表人（负责人）</w:t>
      </w:r>
      <w:r>
        <w:rPr>
          <w:rFonts w:hint="eastAsia" w:eastAsia="宋体"/>
          <w:kern w:val="2"/>
          <w:sz w:val="21"/>
          <w:szCs w:val="21"/>
          <w:lang w:eastAsia="zh-CN"/>
        </w:rPr>
        <w:t>相关身份证明文件：身份证扫描件（正反两面）；港澳台居民可提供来往通行证扫描件；非中国国籍管辖范围人员，可提供公安部门认可的身份证明材料扫描件。</w:t>
      </w:r>
    </w:p>
    <w:p w14:paraId="402BA3FC">
      <w:pPr>
        <w:widowControl w:val="0"/>
        <w:numPr>
          <w:ilvl w:val="0"/>
          <w:numId w:val="1"/>
        </w:numPr>
        <w:spacing w:line="360" w:lineRule="auto"/>
        <w:ind w:firstLine="420" w:firstLineChars="200"/>
        <w:jc w:val="both"/>
        <w:rPr>
          <w:rFonts w:eastAsia="宋体"/>
          <w:kern w:val="2"/>
          <w:sz w:val="21"/>
          <w:szCs w:val="21"/>
          <w:lang w:eastAsia="zh-CN"/>
        </w:rPr>
      </w:pPr>
      <w:r>
        <w:rPr>
          <w:rFonts w:hint="eastAsia" w:eastAsia="宋体"/>
          <w:kern w:val="2"/>
          <w:sz w:val="21"/>
          <w:szCs w:val="21"/>
          <w:lang w:eastAsia="zh-Hans"/>
        </w:rPr>
        <w:t>本项目</w:t>
      </w:r>
      <w:r>
        <w:rPr>
          <w:rFonts w:hint="eastAsia" w:eastAsia="宋体"/>
          <w:kern w:val="2"/>
          <w:sz w:val="21"/>
          <w:szCs w:val="21"/>
          <w:lang w:eastAsia="zh-CN"/>
        </w:rPr>
        <w:t>响应</w:t>
      </w:r>
      <w:r>
        <w:rPr>
          <w:rFonts w:hint="eastAsia" w:eastAsia="宋体"/>
          <w:kern w:val="2"/>
          <w:sz w:val="21"/>
          <w:szCs w:val="21"/>
          <w:lang w:eastAsia="zh-Hans"/>
        </w:rPr>
        <w:t>授权代表为法定代表人（负责人）的，无需提供</w:t>
      </w:r>
      <w:r>
        <w:rPr>
          <w:rFonts w:hint="eastAsia" w:eastAsia="宋体"/>
          <w:kern w:val="2"/>
          <w:sz w:val="21"/>
          <w:szCs w:val="21"/>
          <w:lang w:eastAsia="zh-CN"/>
        </w:rPr>
        <w:t>《响应文件签署授权委托书》</w:t>
      </w:r>
      <w:r>
        <w:rPr>
          <w:rFonts w:hint="eastAsia" w:eastAsia="宋体"/>
          <w:kern w:val="2"/>
          <w:sz w:val="21"/>
          <w:szCs w:val="21"/>
          <w:lang w:eastAsia="zh-Hans"/>
        </w:rPr>
        <w:t>。</w:t>
      </w:r>
    </w:p>
    <w:p w14:paraId="1BD8B71D">
      <w:pPr>
        <w:widowControl w:val="0"/>
        <w:numPr>
          <w:ilvl w:val="0"/>
          <w:numId w:val="1"/>
        </w:numPr>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内容必须填写真实、清楚，涂改无效，不得转让、买卖。</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7"/>
        <w:gridCol w:w="4429"/>
      </w:tblGrid>
      <w:tr w14:paraId="1069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4264" w:type="dxa"/>
          </w:tcPr>
          <w:p w14:paraId="1135A127">
            <w:pPr>
              <w:widowControl w:val="0"/>
              <w:jc w:val="center"/>
              <w:rPr>
                <w:rFonts w:eastAsia="宋体"/>
                <w:kern w:val="2"/>
                <w:sz w:val="21"/>
                <w:lang w:eastAsia="zh-CN"/>
              </w:rPr>
            </w:pPr>
            <w:r>
              <w:rPr>
                <w:rFonts w:hint="eastAsia" w:eastAsia="宋体"/>
                <w:kern w:val="2"/>
                <w:sz w:val="21"/>
                <w:lang w:eastAsia="zh-CN"/>
              </w:rPr>
              <w:t>证件扫描件正面</w:t>
            </w:r>
          </w:p>
          <w:p w14:paraId="25E82343">
            <w:pPr>
              <w:widowControl w:val="0"/>
              <w:spacing w:line="360" w:lineRule="auto"/>
              <w:jc w:val="center"/>
              <w:rPr>
                <w:rFonts w:eastAsia="宋体"/>
                <w:b/>
                <w:bCs/>
                <w:kern w:val="2"/>
                <w:lang w:eastAsia="zh-CN"/>
              </w:rPr>
            </w:pPr>
          </w:p>
          <w:p w14:paraId="269EF509">
            <w:pPr>
              <w:widowControl w:val="0"/>
              <w:spacing w:line="360" w:lineRule="auto"/>
              <w:jc w:val="center"/>
              <w:rPr>
                <w:rFonts w:eastAsia="宋体"/>
                <w:kern w:val="2"/>
                <w:lang w:eastAsia="zh-CN"/>
              </w:rPr>
            </w:pPr>
          </w:p>
        </w:tc>
        <w:tc>
          <w:tcPr>
            <w:tcW w:w="4265" w:type="dxa"/>
          </w:tcPr>
          <w:p w14:paraId="568B5CDD">
            <w:pPr>
              <w:widowControl w:val="0"/>
              <w:jc w:val="center"/>
              <w:rPr>
                <w:rFonts w:eastAsia="宋体"/>
                <w:kern w:val="2"/>
                <w:sz w:val="21"/>
                <w:lang w:eastAsia="zh-CN"/>
              </w:rPr>
            </w:pPr>
            <w:r>
              <w:rPr>
                <w:rFonts w:hint="eastAsia" w:eastAsia="宋体"/>
                <w:kern w:val="2"/>
                <w:sz w:val="21"/>
                <w:lang w:eastAsia="zh-CN"/>
              </w:rPr>
              <w:t>证件扫描件反面</w:t>
            </w:r>
          </w:p>
          <w:p w14:paraId="2C44565B">
            <w:pPr>
              <w:widowControl w:val="0"/>
              <w:spacing w:line="360" w:lineRule="auto"/>
              <w:jc w:val="center"/>
              <w:rPr>
                <w:rFonts w:eastAsia="宋体"/>
                <w:b/>
                <w:bCs/>
                <w:kern w:val="2"/>
                <w:lang w:eastAsia="zh-CN"/>
              </w:rPr>
            </w:pPr>
          </w:p>
          <w:p w14:paraId="076C97B2">
            <w:pPr>
              <w:widowControl w:val="0"/>
              <w:spacing w:line="360" w:lineRule="auto"/>
              <w:jc w:val="center"/>
              <w:rPr>
                <w:rFonts w:eastAsia="宋体"/>
                <w:kern w:val="2"/>
                <w:lang w:eastAsia="zh-CN"/>
              </w:rPr>
            </w:pPr>
          </w:p>
        </w:tc>
      </w:tr>
    </w:tbl>
    <w:p w14:paraId="2F2B7863">
      <w:pPr>
        <w:widowControl w:val="0"/>
        <w:spacing w:after="120"/>
        <w:ind w:firstLine="422" w:firstLineChars="200"/>
        <w:jc w:val="both"/>
        <w:rPr>
          <w:rFonts w:ascii="Calibri" w:hAnsi="Calibri" w:eastAsia="宋体"/>
          <w:b/>
          <w:color w:val="FF0000"/>
          <w:kern w:val="2"/>
          <w:sz w:val="21"/>
          <w:lang w:eastAsia="zh-CN"/>
        </w:rPr>
      </w:pPr>
    </w:p>
    <w:p w14:paraId="2B32DCBC">
      <w:pPr>
        <w:widowControl w:val="0"/>
        <w:spacing w:after="120"/>
        <w:ind w:firstLine="422" w:firstLineChars="200"/>
        <w:jc w:val="both"/>
        <w:rPr>
          <w:rFonts w:ascii="Calibri" w:hAnsi="Calibri" w:eastAsia="宋体"/>
          <w:b/>
          <w:color w:val="FF0000"/>
          <w:kern w:val="2"/>
          <w:sz w:val="21"/>
          <w:lang w:eastAsia="zh-CN"/>
        </w:rPr>
      </w:pPr>
      <w:r>
        <w:rPr>
          <w:rFonts w:hint="eastAsia" w:ascii="Calibri" w:hAnsi="Calibri" w:eastAsia="宋体" w:cstheme="minorBidi"/>
          <w:b/>
          <w:color w:val="FF0000"/>
          <w:kern w:val="2"/>
          <w:sz w:val="21"/>
          <w:lang w:eastAsia="zh-CN"/>
        </w:rPr>
        <w:t>温馨提示：为避免出现《深圳经济特区政府采购条例实施细则》第七十五条第二项所列情形，请响应供应商核实你单位法定代表人、本项目响应授权代表人、项目负责人（如有）、主要技术人员（如有）等是否在你公司缴纳社会保险。</w:t>
      </w:r>
    </w:p>
    <w:p w14:paraId="20B3AA7D">
      <w:pPr>
        <w:widowControl w:val="0"/>
        <w:jc w:val="both"/>
        <w:rPr>
          <w:rFonts w:eastAsia="宋体"/>
          <w:kern w:val="2"/>
          <w:lang w:eastAsia="zh-CN"/>
        </w:rPr>
      </w:pPr>
    </w:p>
    <w:p w14:paraId="352A6579">
      <w:pPr>
        <w:rPr>
          <w:rFonts w:ascii="黑体" w:hAnsi="宋体" w:eastAsia="黑体"/>
          <w:bCs/>
          <w:kern w:val="2"/>
          <w:szCs w:val="32"/>
          <w:lang w:eastAsia="zh-CN"/>
        </w:rPr>
      </w:pPr>
      <w:r>
        <w:rPr>
          <w:rFonts w:ascii="黑体" w:eastAsia="黑体"/>
          <w:b/>
          <w:kern w:val="2"/>
          <w:lang w:eastAsia="zh-CN"/>
        </w:rPr>
        <w:br w:type="page"/>
      </w:r>
    </w:p>
    <w:p w14:paraId="3F0408B9">
      <w:pPr>
        <w:keepNext/>
        <w:keepLines/>
        <w:widowControl w:val="0"/>
        <w:spacing w:before="260" w:after="260"/>
        <w:jc w:val="center"/>
        <w:outlineLvl w:val="2"/>
        <w:rPr>
          <w:rFonts w:ascii="宋体" w:hAnsi="宋体" w:eastAsia="宋体" w:cs="宋体"/>
          <w:b/>
          <w:kern w:val="2"/>
          <w:sz w:val="28"/>
          <w:lang w:eastAsia="zh-CN"/>
        </w:rPr>
      </w:pPr>
      <w:r>
        <w:rPr>
          <w:rFonts w:hint="eastAsia" w:ascii="宋体" w:hAnsi="宋体" w:eastAsia="宋体" w:cs="宋体"/>
          <w:b/>
          <w:kern w:val="2"/>
          <w:sz w:val="28"/>
          <w:lang w:eastAsia="zh-CN"/>
        </w:rPr>
        <w:t>六、响应文件签署授权委托书</w:t>
      </w:r>
    </w:p>
    <w:p w14:paraId="21D227A5">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本授权委托书声明：我</w:t>
      </w:r>
      <w:r>
        <w:rPr>
          <w:rFonts w:hint="eastAsia" w:eastAsia="宋体"/>
          <w:kern w:val="2"/>
          <w:sz w:val="21"/>
          <w:szCs w:val="21"/>
          <w:u w:val="single"/>
          <w:lang w:eastAsia="zh-CN"/>
        </w:rPr>
        <w:t xml:space="preserve">           </w:t>
      </w:r>
      <w:r>
        <w:rPr>
          <w:rFonts w:hint="eastAsia" w:eastAsia="宋体"/>
          <w:kern w:val="2"/>
          <w:sz w:val="21"/>
          <w:szCs w:val="21"/>
          <w:lang w:eastAsia="zh-CN"/>
        </w:rPr>
        <w:t>（姓名）系</w:t>
      </w:r>
      <w:r>
        <w:rPr>
          <w:rFonts w:hint="eastAsia" w:eastAsia="宋体"/>
          <w:kern w:val="2"/>
          <w:sz w:val="21"/>
          <w:szCs w:val="21"/>
          <w:u w:val="single"/>
          <w:lang w:eastAsia="zh-CN"/>
        </w:rPr>
        <w:t xml:space="preserve">             </w:t>
      </w:r>
      <w:r>
        <w:rPr>
          <w:rFonts w:hint="eastAsia" w:eastAsia="宋体"/>
          <w:kern w:val="2"/>
          <w:sz w:val="21"/>
          <w:szCs w:val="21"/>
          <w:lang w:eastAsia="zh-CN"/>
        </w:rPr>
        <w:t>（投标人名称）的法定代表人（负责人），现授权委托</w:t>
      </w:r>
      <w:r>
        <w:rPr>
          <w:rFonts w:hint="eastAsia" w:eastAsia="宋体"/>
          <w:kern w:val="2"/>
          <w:sz w:val="21"/>
          <w:szCs w:val="21"/>
          <w:u w:val="single"/>
          <w:lang w:eastAsia="zh-CN"/>
        </w:rPr>
        <w:t xml:space="preserve">            </w:t>
      </w:r>
      <w:r>
        <w:rPr>
          <w:rFonts w:hint="eastAsia" w:eastAsia="宋体"/>
          <w:kern w:val="2"/>
          <w:sz w:val="21"/>
          <w:szCs w:val="21"/>
          <w:lang w:eastAsia="zh-CN"/>
        </w:rPr>
        <w:t>（姓名）为我单位签署本项目已递交的响应文件的法定代表人（负责人）的授权委托代理人，代理人全权代表我所签署的本项目已递交的响应文件内容我均承认。</w:t>
      </w:r>
    </w:p>
    <w:p w14:paraId="4CCC2D98">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代理人无转委托权，特此委托。</w:t>
      </w:r>
    </w:p>
    <w:p w14:paraId="15DF48E5">
      <w:pPr>
        <w:widowControl w:val="0"/>
        <w:spacing w:line="360" w:lineRule="auto"/>
        <w:ind w:firstLine="420" w:firstLineChars="200"/>
        <w:jc w:val="both"/>
        <w:rPr>
          <w:rFonts w:eastAsia="宋体"/>
          <w:kern w:val="2"/>
          <w:sz w:val="21"/>
          <w:szCs w:val="21"/>
          <w:lang w:eastAsia="zh-CN"/>
        </w:rPr>
      </w:pPr>
    </w:p>
    <w:p w14:paraId="17AE1EEA">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代理人：</w:t>
      </w:r>
      <w:r>
        <w:rPr>
          <w:rFonts w:hint="eastAsia" w:eastAsia="宋体"/>
          <w:kern w:val="2"/>
          <w:sz w:val="21"/>
          <w:szCs w:val="21"/>
          <w:u w:val="single"/>
          <w:lang w:eastAsia="zh-CN"/>
        </w:rPr>
        <w:t xml:space="preserve">              </w:t>
      </w:r>
      <w:r>
        <w:rPr>
          <w:rFonts w:hint="eastAsia" w:eastAsia="宋体"/>
          <w:kern w:val="2"/>
          <w:sz w:val="21"/>
          <w:szCs w:val="21"/>
          <w:lang w:eastAsia="zh-CN"/>
        </w:rPr>
        <w:t>；</w:t>
      </w:r>
    </w:p>
    <w:p w14:paraId="651BA791">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身份证件号：</w:t>
      </w:r>
      <w:r>
        <w:rPr>
          <w:rFonts w:hint="eastAsia" w:eastAsia="宋体"/>
          <w:kern w:val="2"/>
          <w:sz w:val="21"/>
          <w:szCs w:val="21"/>
          <w:u w:val="single"/>
          <w:lang w:eastAsia="zh-CN"/>
        </w:rPr>
        <w:t xml:space="preserve">                        </w:t>
      </w:r>
      <w:r>
        <w:rPr>
          <w:rFonts w:hint="eastAsia" w:eastAsia="宋体"/>
          <w:kern w:val="2"/>
          <w:sz w:val="21"/>
          <w:szCs w:val="21"/>
          <w:lang w:eastAsia="zh-CN"/>
        </w:rPr>
        <w:t>，职务：</w:t>
      </w:r>
      <w:r>
        <w:rPr>
          <w:rFonts w:hint="eastAsia" w:eastAsia="宋体"/>
          <w:kern w:val="2"/>
          <w:sz w:val="21"/>
          <w:szCs w:val="21"/>
          <w:u w:val="single"/>
          <w:lang w:eastAsia="zh-CN"/>
        </w:rPr>
        <w:t xml:space="preserve">                </w:t>
      </w:r>
      <w:r>
        <w:rPr>
          <w:rFonts w:hint="eastAsia" w:eastAsia="宋体"/>
          <w:kern w:val="2"/>
          <w:sz w:val="21"/>
          <w:szCs w:val="21"/>
          <w:lang w:eastAsia="zh-CN"/>
        </w:rPr>
        <w:t>；</w:t>
      </w:r>
    </w:p>
    <w:p w14:paraId="623ABC39">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联系电话：</w:t>
      </w:r>
      <w:r>
        <w:rPr>
          <w:rFonts w:hint="eastAsia" w:eastAsia="宋体"/>
          <w:kern w:val="2"/>
          <w:sz w:val="21"/>
          <w:szCs w:val="21"/>
          <w:u w:val="single"/>
          <w:lang w:eastAsia="zh-CN"/>
        </w:rPr>
        <w:t xml:space="preserve">         </w:t>
      </w:r>
      <w:r>
        <w:rPr>
          <w:rFonts w:hint="eastAsia" w:eastAsia="宋体"/>
          <w:kern w:val="2"/>
          <w:sz w:val="21"/>
          <w:szCs w:val="21"/>
          <w:lang w:eastAsia="zh-CN"/>
        </w:rPr>
        <w:t>，手机：</w:t>
      </w:r>
      <w:r>
        <w:rPr>
          <w:rFonts w:hint="eastAsia" w:eastAsia="宋体"/>
          <w:kern w:val="2"/>
          <w:sz w:val="21"/>
          <w:szCs w:val="21"/>
          <w:u w:val="single"/>
          <w:lang w:eastAsia="zh-CN"/>
        </w:rPr>
        <w:t xml:space="preserve">                </w:t>
      </w:r>
      <w:r>
        <w:rPr>
          <w:rFonts w:hint="eastAsia" w:eastAsia="宋体"/>
          <w:kern w:val="2"/>
          <w:sz w:val="21"/>
          <w:szCs w:val="21"/>
          <w:lang w:eastAsia="zh-CN"/>
        </w:rPr>
        <w:t>，电子邮箱：</w:t>
      </w:r>
      <w:r>
        <w:rPr>
          <w:rFonts w:hint="eastAsia" w:eastAsia="宋体"/>
          <w:kern w:val="2"/>
          <w:sz w:val="21"/>
          <w:szCs w:val="21"/>
          <w:u w:val="single"/>
          <w:lang w:eastAsia="zh-CN"/>
        </w:rPr>
        <w:t xml:space="preserve">                     </w:t>
      </w:r>
      <w:r>
        <w:rPr>
          <w:rFonts w:hint="eastAsia" w:eastAsia="宋体"/>
          <w:kern w:val="2"/>
          <w:sz w:val="21"/>
          <w:szCs w:val="21"/>
          <w:lang w:eastAsia="zh-CN"/>
        </w:rPr>
        <w:t>；</w:t>
      </w:r>
    </w:p>
    <w:p w14:paraId="083BE851">
      <w:pPr>
        <w:widowControl w:val="0"/>
        <w:spacing w:line="360" w:lineRule="auto"/>
        <w:ind w:firstLine="420" w:firstLineChars="200"/>
        <w:jc w:val="both"/>
        <w:rPr>
          <w:rFonts w:eastAsia="宋体"/>
          <w:kern w:val="2"/>
          <w:sz w:val="21"/>
          <w:szCs w:val="21"/>
          <w:lang w:eastAsia="zh-CN"/>
        </w:rPr>
      </w:pPr>
      <w:r>
        <w:rPr>
          <w:rFonts w:hint="eastAsia" w:eastAsia="宋体"/>
          <w:kern w:val="2"/>
          <w:sz w:val="21"/>
          <w:szCs w:val="21"/>
          <w:lang w:eastAsia="zh-CN"/>
        </w:rPr>
        <w:t>授权委托日期：</w:t>
      </w:r>
      <w:r>
        <w:rPr>
          <w:rFonts w:hint="eastAsia" w:eastAsia="宋体"/>
          <w:kern w:val="2"/>
          <w:sz w:val="21"/>
          <w:szCs w:val="21"/>
          <w:u w:val="single"/>
          <w:lang w:eastAsia="zh-CN"/>
        </w:rPr>
        <w:t xml:space="preserve">         </w:t>
      </w:r>
      <w:r>
        <w:rPr>
          <w:rFonts w:hint="eastAsia" w:eastAsia="宋体"/>
          <w:kern w:val="2"/>
          <w:sz w:val="21"/>
          <w:szCs w:val="21"/>
          <w:lang w:eastAsia="zh-CN"/>
        </w:rPr>
        <w:t>年</w:t>
      </w:r>
      <w:r>
        <w:rPr>
          <w:rFonts w:hint="eastAsia" w:eastAsia="宋体"/>
          <w:kern w:val="2"/>
          <w:sz w:val="21"/>
          <w:szCs w:val="21"/>
          <w:u w:val="single"/>
          <w:lang w:eastAsia="zh-CN"/>
        </w:rPr>
        <w:t xml:space="preserve">     </w:t>
      </w:r>
      <w:r>
        <w:rPr>
          <w:rFonts w:hint="eastAsia" w:eastAsia="宋体"/>
          <w:kern w:val="2"/>
          <w:sz w:val="21"/>
          <w:szCs w:val="21"/>
          <w:lang w:eastAsia="zh-CN"/>
        </w:rPr>
        <w:t xml:space="preserve">月 </w:t>
      </w:r>
      <w:r>
        <w:rPr>
          <w:rFonts w:hint="eastAsia" w:eastAsia="宋体"/>
          <w:kern w:val="2"/>
          <w:sz w:val="21"/>
          <w:szCs w:val="21"/>
          <w:u w:val="single"/>
          <w:lang w:eastAsia="zh-CN"/>
        </w:rPr>
        <w:t xml:space="preserve">      </w:t>
      </w:r>
      <w:r>
        <w:rPr>
          <w:rFonts w:hint="eastAsia" w:eastAsia="宋体"/>
          <w:kern w:val="2"/>
          <w:sz w:val="21"/>
          <w:szCs w:val="21"/>
          <w:lang w:eastAsia="zh-CN"/>
        </w:rPr>
        <w:t>日。</w:t>
      </w:r>
    </w:p>
    <w:p w14:paraId="10FB8FBF">
      <w:pPr>
        <w:widowControl w:val="0"/>
        <w:spacing w:line="360" w:lineRule="auto"/>
        <w:ind w:firstLine="422" w:firstLineChars="200"/>
        <w:jc w:val="both"/>
        <w:rPr>
          <w:rFonts w:eastAsia="宋体"/>
          <w:b/>
          <w:color w:val="FF0000"/>
          <w:kern w:val="2"/>
          <w:sz w:val="21"/>
          <w:szCs w:val="21"/>
          <w:lang w:eastAsia="zh-CN"/>
        </w:rPr>
      </w:pPr>
      <w:r>
        <w:rPr>
          <w:rFonts w:hint="eastAsia" w:eastAsia="宋体"/>
          <w:b/>
          <w:color w:val="FF0000"/>
          <w:kern w:val="2"/>
          <w:sz w:val="21"/>
          <w:szCs w:val="21"/>
          <w:lang w:eastAsia="zh-CN"/>
        </w:rPr>
        <w:t>附：请提供代理人身份证扫描件（正反两面）；港澳台居民可提供来往通行证扫描件；非中国国籍管辖范围人员，可提供公安部门认可的身份证明材料扫描件。</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7"/>
        <w:gridCol w:w="4429"/>
      </w:tblGrid>
      <w:tr w14:paraId="2DEE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4264" w:type="dxa"/>
          </w:tcPr>
          <w:p w14:paraId="2AAD9517">
            <w:pPr>
              <w:widowControl w:val="0"/>
              <w:jc w:val="center"/>
              <w:rPr>
                <w:rFonts w:eastAsia="宋体"/>
                <w:kern w:val="2"/>
                <w:sz w:val="21"/>
                <w:lang w:eastAsia="zh-CN"/>
              </w:rPr>
            </w:pPr>
            <w:r>
              <w:rPr>
                <w:rFonts w:hint="eastAsia" w:eastAsia="宋体"/>
                <w:kern w:val="2"/>
                <w:sz w:val="21"/>
                <w:lang w:eastAsia="zh-CN"/>
              </w:rPr>
              <w:t>证件扫描件正面</w:t>
            </w:r>
          </w:p>
          <w:p w14:paraId="0077CFAF">
            <w:pPr>
              <w:widowControl w:val="0"/>
              <w:spacing w:line="360" w:lineRule="auto"/>
              <w:jc w:val="center"/>
              <w:rPr>
                <w:rFonts w:eastAsia="宋体"/>
                <w:b/>
                <w:bCs/>
                <w:kern w:val="2"/>
                <w:lang w:eastAsia="zh-CN"/>
              </w:rPr>
            </w:pPr>
          </w:p>
          <w:p w14:paraId="486C6150">
            <w:pPr>
              <w:widowControl w:val="0"/>
              <w:spacing w:line="360" w:lineRule="auto"/>
              <w:jc w:val="center"/>
              <w:rPr>
                <w:rFonts w:eastAsia="宋体"/>
                <w:kern w:val="2"/>
                <w:lang w:eastAsia="zh-CN"/>
              </w:rPr>
            </w:pPr>
          </w:p>
        </w:tc>
        <w:tc>
          <w:tcPr>
            <w:tcW w:w="4265" w:type="dxa"/>
          </w:tcPr>
          <w:p w14:paraId="5CC2B254">
            <w:pPr>
              <w:widowControl w:val="0"/>
              <w:jc w:val="center"/>
              <w:rPr>
                <w:rFonts w:eastAsia="宋体"/>
                <w:kern w:val="2"/>
                <w:sz w:val="21"/>
                <w:lang w:eastAsia="zh-CN"/>
              </w:rPr>
            </w:pPr>
            <w:r>
              <w:rPr>
                <w:rFonts w:hint="eastAsia" w:eastAsia="宋体"/>
                <w:kern w:val="2"/>
                <w:sz w:val="21"/>
                <w:lang w:eastAsia="zh-CN"/>
              </w:rPr>
              <w:t>证件扫描件反面</w:t>
            </w:r>
          </w:p>
          <w:p w14:paraId="57EB815D">
            <w:pPr>
              <w:widowControl w:val="0"/>
              <w:spacing w:line="360" w:lineRule="auto"/>
              <w:jc w:val="center"/>
              <w:rPr>
                <w:rFonts w:eastAsia="宋体"/>
                <w:b/>
                <w:bCs/>
                <w:kern w:val="2"/>
                <w:lang w:eastAsia="zh-CN"/>
              </w:rPr>
            </w:pPr>
          </w:p>
          <w:p w14:paraId="1712B1D5">
            <w:pPr>
              <w:widowControl w:val="0"/>
              <w:spacing w:line="360" w:lineRule="auto"/>
              <w:jc w:val="center"/>
              <w:rPr>
                <w:rFonts w:eastAsia="宋体"/>
                <w:kern w:val="2"/>
                <w:lang w:eastAsia="zh-CN"/>
              </w:rPr>
            </w:pPr>
          </w:p>
        </w:tc>
      </w:tr>
    </w:tbl>
    <w:p w14:paraId="4DDEAC3A">
      <w:pPr>
        <w:widowControl w:val="0"/>
        <w:jc w:val="both"/>
        <w:rPr>
          <w:rFonts w:eastAsia="宋体"/>
          <w:kern w:val="2"/>
          <w:sz w:val="21"/>
          <w:lang w:eastAsia="zh-CN"/>
        </w:rPr>
      </w:pPr>
    </w:p>
    <w:p w14:paraId="0FFF72BC">
      <w:pPr>
        <w:widowControl w:val="0"/>
        <w:spacing w:after="120"/>
        <w:ind w:firstLine="422" w:firstLineChars="200"/>
        <w:jc w:val="both"/>
        <w:rPr>
          <w:rFonts w:ascii="Calibri" w:hAnsi="Calibri" w:eastAsia="宋体"/>
          <w:b/>
          <w:color w:val="FF0000"/>
          <w:kern w:val="2"/>
          <w:sz w:val="21"/>
          <w:lang w:eastAsia="zh-CN"/>
        </w:rPr>
      </w:pPr>
      <w:r>
        <w:rPr>
          <w:rFonts w:hint="eastAsia" w:ascii="Calibri" w:hAnsi="Calibri" w:eastAsia="宋体" w:cstheme="minorBidi"/>
          <w:b/>
          <w:color w:val="FF0000"/>
          <w:kern w:val="2"/>
          <w:sz w:val="21"/>
          <w:lang w:eastAsia="zh-CN"/>
        </w:rPr>
        <w:t>温馨提示：为避免出现《深圳经济特区政府采购条例实施细则》第七十五条第二项所列情形，请响应供应商核实你单位法定代表人、本项目响应授权代表人、项目负责人（如有）、主要技术人员（如有）等是否在你公司缴纳社会保险。</w:t>
      </w:r>
    </w:p>
    <w:p w14:paraId="3A99490C">
      <w:pPr>
        <w:widowControl w:val="0"/>
        <w:spacing w:after="120"/>
        <w:ind w:left="480" w:leftChars="200" w:firstLine="420" w:firstLineChars="200"/>
        <w:jc w:val="both"/>
        <w:rPr>
          <w:rFonts w:eastAsia="宋体"/>
          <w:kern w:val="2"/>
          <w:sz w:val="21"/>
          <w:lang w:eastAsia="zh-CN"/>
        </w:rPr>
      </w:pPr>
    </w:p>
    <w:p w14:paraId="5F4FFCA0">
      <w:pPr>
        <w:rPr>
          <w:rFonts w:ascii="黑体" w:hAnsi="宋体" w:eastAsia="黑体"/>
          <w:bCs/>
          <w:lang w:eastAsia="zh-CN"/>
        </w:rPr>
      </w:pPr>
      <w:r>
        <w:rPr>
          <w:rFonts w:ascii="黑体" w:eastAsia="黑体"/>
          <w:b/>
          <w:lang w:eastAsia="zh-CN"/>
        </w:rPr>
        <w:br w:type="page"/>
      </w:r>
    </w:p>
    <w:p w14:paraId="56C7CD90">
      <w:pPr>
        <w:keepNext/>
        <w:keepLines/>
        <w:widowControl w:val="0"/>
        <w:spacing w:before="260" w:after="260"/>
        <w:jc w:val="center"/>
        <w:outlineLvl w:val="2"/>
        <w:rPr>
          <w:rFonts w:ascii="宋体" w:hAnsi="宋体" w:eastAsia="宋体" w:cs="宋体"/>
          <w:b/>
          <w:kern w:val="2"/>
          <w:sz w:val="28"/>
          <w:lang w:eastAsia="zh-CN"/>
        </w:rPr>
      </w:pPr>
      <w:r>
        <w:rPr>
          <w:rFonts w:hint="eastAsia" w:ascii="宋体" w:hAnsi="宋体" w:eastAsia="宋体" w:cs="宋体"/>
          <w:b/>
          <w:kern w:val="2"/>
          <w:sz w:val="28"/>
          <w:lang w:eastAsia="zh-CN"/>
        </w:rPr>
        <w:t>七、分项报价清单</w:t>
      </w:r>
    </w:p>
    <w:tbl>
      <w:tblPr>
        <w:tblStyle w:val="14"/>
        <w:tblW w:w="5000" w:type="pct"/>
        <w:tblInd w:w="0" w:type="dxa"/>
        <w:tblLayout w:type="fixed"/>
        <w:tblCellMar>
          <w:top w:w="0" w:type="dxa"/>
          <w:left w:w="108" w:type="dxa"/>
          <w:bottom w:w="0" w:type="dxa"/>
          <w:right w:w="108" w:type="dxa"/>
        </w:tblCellMar>
      </w:tblPr>
      <w:tblGrid>
        <w:gridCol w:w="635"/>
        <w:gridCol w:w="1045"/>
        <w:gridCol w:w="3241"/>
        <w:gridCol w:w="1603"/>
        <w:gridCol w:w="2332"/>
      </w:tblGrid>
      <w:tr w14:paraId="5C386F27">
        <w:tblPrEx>
          <w:tblCellMar>
            <w:top w:w="0" w:type="dxa"/>
            <w:left w:w="108" w:type="dxa"/>
            <w:bottom w:w="0" w:type="dxa"/>
            <w:right w:w="108" w:type="dxa"/>
          </w:tblCellMar>
        </w:tblPrEx>
        <w:trPr>
          <w:trHeight w:val="285" w:hRule="atLeast"/>
        </w:trPr>
        <w:tc>
          <w:tcPr>
            <w:tcW w:w="618" w:type="dxa"/>
            <w:tcBorders>
              <w:top w:val="single" w:color="auto" w:sz="8" w:space="0"/>
              <w:left w:val="single" w:color="auto" w:sz="8" w:space="0"/>
              <w:bottom w:val="single" w:color="auto" w:sz="4" w:space="0"/>
              <w:right w:val="single" w:color="auto" w:sz="4" w:space="0"/>
            </w:tcBorders>
            <w:shd w:val="clear" w:color="000000" w:fill="E7E6E6"/>
            <w:vAlign w:val="center"/>
          </w:tcPr>
          <w:p w14:paraId="20032D0F">
            <w:pPr>
              <w:jc w:val="center"/>
              <w:rPr>
                <w:rFonts w:ascii="宋体" w:hAnsi="宋体" w:eastAsia="宋体" w:cs="宋体"/>
                <w:b/>
                <w:bCs/>
                <w:sz w:val="20"/>
                <w:szCs w:val="20"/>
                <w:lang w:eastAsia="zh-CN"/>
              </w:rPr>
            </w:pPr>
            <w:r>
              <w:rPr>
                <w:rFonts w:hint="eastAsia" w:ascii="宋体" w:hAnsi="宋体" w:eastAsia="宋体" w:cs="宋体"/>
                <w:b/>
                <w:bCs/>
                <w:sz w:val="20"/>
                <w:szCs w:val="20"/>
                <w:lang w:eastAsia="zh-CN"/>
              </w:rPr>
              <w:t>序号</w:t>
            </w:r>
          </w:p>
        </w:tc>
        <w:tc>
          <w:tcPr>
            <w:tcW w:w="4168" w:type="dxa"/>
            <w:gridSpan w:val="2"/>
            <w:tcBorders>
              <w:top w:val="single" w:color="auto" w:sz="8" w:space="0"/>
              <w:left w:val="nil"/>
              <w:bottom w:val="single" w:color="auto" w:sz="4" w:space="0"/>
              <w:right w:val="single" w:color="auto" w:sz="4" w:space="0"/>
            </w:tcBorders>
            <w:shd w:val="clear" w:color="000000" w:fill="E7E6E6"/>
            <w:vAlign w:val="center"/>
          </w:tcPr>
          <w:p w14:paraId="5D195724">
            <w:pPr>
              <w:jc w:val="center"/>
              <w:rPr>
                <w:rFonts w:ascii="宋体" w:hAnsi="宋体" w:eastAsia="宋体" w:cs="宋体"/>
                <w:b/>
                <w:bCs/>
                <w:sz w:val="20"/>
                <w:szCs w:val="20"/>
                <w:lang w:eastAsia="zh-CN"/>
              </w:rPr>
            </w:pPr>
            <w:r>
              <w:rPr>
                <w:rFonts w:hint="eastAsia" w:ascii="宋体" w:hAnsi="宋体" w:eastAsia="宋体" w:cs="宋体"/>
                <w:b/>
                <w:bCs/>
                <w:sz w:val="20"/>
                <w:szCs w:val="20"/>
                <w:lang w:eastAsia="zh-CN"/>
              </w:rPr>
              <w:t>需求名称</w:t>
            </w:r>
          </w:p>
        </w:tc>
        <w:tc>
          <w:tcPr>
            <w:tcW w:w="1559" w:type="dxa"/>
            <w:tcBorders>
              <w:top w:val="single" w:color="auto" w:sz="8" w:space="0"/>
              <w:left w:val="nil"/>
              <w:bottom w:val="single" w:color="auto" w:sz="4" w:space="0"/>
              <w:right w:val="single" w:color="auto" w:sz="4" w:space="0"/>
            </w:tcBorders>
            <w:shd w:val="clear" w:color="000000" w:fill="E7E6E6"/>
            <w:vAlign w:val="center"/>
          </w:tcPr>
          <w:p w14:paraId="764E3B01">
            <w:pPr>
              <w:jc w:val="center"/>
              <w:rPr>
                <w:rFonts w:ascii="宋体" w:hAnsi="宋体" w:eastAsia="宋体" w:cs="宋体"/>
                <w:b/>
                <w:bCs/>
                <w:sz w:val="20"/>
                <w:szCs w:val="20"/>
                <w:lang w:eastAsia="zh-CN"/>
              </w:rPr>
            </w:pPr>
            <w:r>
              <w:rPr>
                <w:rFonts w:hint="eastAsia" w:ascii="宋体" w:hAnsi="宋体" w:eastAsia="宋体" w:cs="宋体"/>
                <w:b/>
                <w:bCs/>
                <w:sz w:val="20"/>
                <w:szCs w:val="20"/>
                <w:lang w:eastAsia="zh-CN"/>
              </w:rPr>
              <w:t>金额（元）</w:t>
            </w:r>
          </w:p>
        </w:tc>
        <w:tc>
          <w:tcPr>
            <w:tcW w:w="2268" w:type="dxa"/>
            <w:tcBorders>
              <w:top w:val="single" w:color="auto" w:sz="8" w:space="0"/>
              <w:left w:val="nil"/>
              <w:bottom w:val="single" w:color="auto" w:sz="4" w:space="0"/>
              <w:right w:val="single" w:color="auto" w:sz="8" w:space="0"/>
            </w:tcBorders>
            <w:shd w:val="clear" w:color="000000" w:fill="E7E6E6"/>
            <w:vAlign w:val="center"/>
          </w:tcPr>
          <w:p w14:paraId="34FCD52E">
            <w:pPr>
              <w:jc w:val="center"/>
              <w:rPr>
                <w:rFonts w:ascii="宋体" w:hAnsi="宋体" w:eastAsia="宋体" w:cs="宋体"/>
                <w:b/>
                <w:bCs/>
                <w:sz w:val="20"/>
                <w:szCs w:val="20"/>
                <w:lang w:eastAsia="zh-CN"/>
              </w:rPr>
            </w:pPr>
            <w:r>
              <w:rPr>
                <w:rFonts w:hint="eastAsia" w:ascii="宋体" w:hAnsi="宋体" w:eastAsia="宋体" w:cs="宋体"/>
                <w:b/>
                <w:bCs/>
                <w:sz w:val="20"/>
                <w:szCs w:val="20"/>
                <w:lang w:eastAsia="zh-CN"/>
              </w:rPr>
              <w:t>说明</w:t>
            </w:r>
          </w:p>
        </w:tc>
      </w:tr>
      <w:tr w14:paraId="14B876E9">
        <w:tblPrEx>
          <w:tblCellMar>
            <w:top w:w="0" w:type="dxa"/>
            <w:left w:w="108" w:type="dxa"/>
            <w:bottom w:w="0" w:type="dxa"/>
            <w:right w:w="108" w:type="dxa"/>
          </w:tblCellMar>
        </w:tblPrEx>
        <w:trPr>
          <w:trHeight w:val="285" w:hRule="atLeast"/>
        </w:trPr>
        <w:tc>
          <w:tcPr>
            <w:tcW w:w="618" w:type="dxa"/>
            <w:tcBorders>
              <w:top w:val="single" w:color="auto" w:sz="4" w:space="0"/>
              <w:left w:val="single" w:color="auto" w:sz="8" w:space="0"/>
              <w:bottom w:val="single" w:color="auto" w:sz="4" w:space="0"/>
              <w:right w:val="single" w:color="auto" w:sz="4" w:space="0"/>
            </w:tcBorders>
            <w:shd w:val="clear" w:color="auto" w:fill="auto"/>
            <w:vAlign w:val="center"/>
          </w:tcPr>
          <w:p w14:paraId="4CA2AEA0">
            <w:pPr>
              <w:jc w:val="center"/>
              <w:rPr>
                <w:rFonts w:ascii="宋体" w:hAnsi="宋体" w:eastAsia="宋体" w:cs="宋体"/>
                <w:sz w:val="20"/>
                <w:szCs w:val="20"/>
                <w:lang w:eastAsia="zh-CN"/>
              </w:rPr>
            </w:pPr>
            <w:r>
              <w:rPr>
                <w:rFonts w:hint="eastAsia" w:ascii="宋体" w:hAnsi="宋体" w:eastAsia="宋体" w:cs="宋体"/>
                <w:sz w:val="20"/>
                <w:szCs w:val="20"/>
                <w:lang w:eastAsia="zh-CN"/>
              </w:rPr>
              <w:t>一</w:t>
            </w:r>
          </w:p>
        </w:tc>
        <w:tc>
          <w:tcPr>
            <w:tcW w:w="4168" w:type="dxa"/>
            <w:gridSpan w:val="2"/>
            <w:tcBorders>
              <w:top w:val="single" w:color="auto" w:sz="4" w:space="0"/>
              <w:left w:val="nil"/>
              <w:bottom w:val="single" w:color="auto" w:sz="4" w:space="0"/>
              <w:right w:val="single" w:color="auto" w:sz="4" w:space="0"/>
            </w:tcBorders>
            <w:shd w:val="clear" w:color="auto" w:fill="auto"/>
            <w:vAlign w:val="center"/>
          </w:tcPr>
          <w:p w14:paraId="386254C9">
            <w:pPr>
              <w:jc w:val="center"/>
              <w:rPr>
                <w:rFonts w:ascii="宋体" w:hAnsi="宋体" w:eastAsia="宋体" w:cs="宋体"/>
                <w:sz w:val="20"/>
                <w:szCs w:val="20"/>
                <w:lang w:eastAsia="zh-CN"/>
              </w:rPr>
            </w:pPr>
            <w:r>
              <w:rPr>
                <w:rFonts w:hint="eastAsia" w:ascii="宋体" w:hAnsi="宋体" w:eastAsia="宋体" w:cs="宋体"/>
                <w:sz w:val="20"/>
                <w:szCs w:val="20"/>
                <w:lang w:eastAsia="zh-CN"/>
              </w:rPr>
              <w:t>*</w:t>
            </w:r>
            <w:r>
              <w:rPr>
                <w:rFonts w:ascii="宋体" w:hAnsi="宋体" w:eastAsia="宋体" w:cs="宋体"/>
                <w:sz w:val="20"/>
                <w:szCs w:val="20"/>
                <w:lang w:eastAsia="zh-CN"/>
              </w:rPr>
              <w:t>*****</w:t>
            </w:r>
          </w:p>
        </w:tc>
        <w:tc>
          <w:tcPr>
            <w:tcW w:w="1559" w:type="dxa"/>
            <w:tcBorders>
              <w:top w:val="single" w:color="auto" w:sz="4" w:space="0"/>
              <w:left w:val="nil"/>
              <w:bottom w:val="single" w:color="auto" w:sz="4" w:space="0"/>
              <w:right w:val="single" w:color="auto" w:sz="4" w:space="0"/>
            </w:tcBorders>
            <w:shd w:val="clear" w:color="000000" w:fill="FFFFFF"/>
            <w:vAlign w:val="center"/>
          </w:tcPr>
          <w:p w14:paraId="6C8F782C">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tcBorders>
              <w:top w:val="single" w:color="auto" w:sz="4" w:space="0"/>
              <w:left w:val="nil"/>
              <w:bottom w:val="single" w:color="auto" w:sz="4" w:space="0"/>
              <w:right w:val="single" w:color="auto" w:sz="8" w:space="0"/>
            </w:tcBorders>
            <w:shd w:val="clear" w:color="auto" w:fill="auto"/>
            <w:vAlign w:val="center"/>
          </w:tcPr>
          <w:p w14:paraId="538D0B49">
            <w:pPr>
              <w:rPr>
                <w:rFonts w:ascii="宋体" w:hAnsi="宋体" w:eastAsia="宋体" w:cs="宋体"/>
                <w:sz w:val="20"/>
                <w:szCs w:val="20"/>
                <w:lang w:eastAsia="zh-CN"/>
              </w:rPr>
            </w:pPr>
          </w:p>
        </w:tc>
      </w:tr>
      <w:tr w14:paraId="40881069">
        <w:tblPrEx>
          <w:tblCellMar>
            <w:top w:w="0" w:type="dxa"/>
            <w:left w:w="108" w:type="dxa"/>
            <w:bottom w:w="0" w:type="dxa"/>
            <w:right w:w="108" w:type="dxa"/>
          </w:tblCellMar>
        </w:tblPrEx>
        <w:trPr>
          <w:trHeight w:val="480" w:hRule="atLeast"/>
        </w:trPr>
        <w:tc>
          <w:tcPr>
            <w:tcW w:w="618" w:type="dxa"/>
            <w:vMerge w:val="restart"/>
            <w:tcBorders>
              <w:top w:val="nil"/>
              <w:left w:val="single" w:color="auto" w:sz="8" w:space="0"/>
              <w:right w:val="single" w:color="auto" w:sz="4" w:space="0"/>
            </w:tcBorders>
            <w:shd w:val="clear" w:color="auto" w:fill="auto"/>
            <w:vAlign w:val="center"/>
          </w:tcPr>
          <w:p w14:paraId="1A5525EF">
            <w:pPr>
              <w:jc w:val="center"/>
              <w:rPr>
                <w:rFonts w:ascii="宋体" w:hAnsi="宋体" w:eastAsia="宋体" w:cs="宋体"/>
                <w:sz w:val="20"/>
                <w:szCs w:val="20"/>
                <w:lang w:eastAsia="zh-CN"/>
              </w:rPr>
            </w:pPr>
            <w:r>
              <w:rPr>
                <w:rFonts w:hint="eastAsia" w:ascii="宋体" w:hAnsi="宋体" w:eastAsia="宋体" w:cs="宋体"/>
                <w:sz w:val="20"/>
                <w:szCs w:val="20"/>
                <w:lang w:eastAsia="zh-CN"/>
              </w:rPr>
              <w:t>二</w:t>
            </w:r>
          </w:p>
        </w:tc>
        <w:tc>
          <w:tcPr>
            <w:tcW w:w="1016" w:type="dxa"/>
            <w:vMerge w:val="restart"/>
            <w:tcBorders>
              <w:top w:val="nil"/>
              <w:left w:val="single" w:color="auto" w:sz="4" w:space="0"/>
              <w:bottom w:val="single" w:color="auto" w:sz="4" w:space="0"/>
              <w:right w:val="single" w:color="auto" w:sz="4" w:space="0"/>
            </w:tcBorders>
            <w:shd w:val="clear" w:color="auto" w:fill="auto"/>
            <w:vAlign w:val="center"/>
          </w:tcPr>
          <w:p w14:paraId="284A670E">
            <w:pPr>
              <w:jc w:val="center"/>
              <w:rPr>
                <w:rFonts w:ascii="宋体" w:hAnsi="宋体" w:eastAsia="宋体" w:cs="宋体"/>
                <w:sz w:val="20"/>
                <w:szCs w:val="20"/>
                <w:lang w:eastAsia="zh-CN"/>
              </w:rPr>
            </w:pPr>
            <w:r>
              <w:rPr>
                <w:rFonts w:hint="eastAsia" w:ascii="宋体" w:hAnsi="宋体" w:eastAsia="宋体" w:cs="宋体"/>
                <w:sz w:val="20"/>
                <w:szCs w:val="20"/>
                <w:lang w:eastAsia="zh-CN"/>
              </w:rPr>
              <w:t>*</w:t>
            </w:r>
            <w:r>
              <w:rPr>
                <w:rFonts w:ascii="宋体" w:hAnsi="宋体" w:eastAsia="宋体" w:cs="宋体"/>
                <w:sz w:val="20"/>
                <w:szCs w:val="20"/>
                <w:lang w:eastAsia="zh-CN"/>
              </w:rPr>
              <w:t>*</w:t>
            </w:r>
            <w:r>
              <w:rPr>
                <w:rFonts w:hint="eastAsia" w:ascii="宋体" w:hAnsi="宋体" w:eastAsia="宋体" w:cs="宋体"/>
                <w:sz w:val="20"/>
                <w:szCs w:val="20"/>
                <w:lang w:eastAsia="zh-CN"/>
              </w:rPr>
              <w:t>费用</w:t>
            </w:r>
          </w:p>
        </w:tc>
        <w:tc>
          <w:tcPr>
            <w:tcW w:w="3152" w:type="dxa"/>
            <w:tcBorders>
              <w:top w:val="nil"/>
              <w:left w:val="nil"/>
              <w:bottom w:val="single" w:color="auto" w:sz="4" w:space="0"/>
              <w:right w:val="single" w:color="auto" w:sz="4" w:space="0"/>
            </w:tcBorders>
            <w:shd w:val="clear" w:color="auto" w:fill="auto"/>
            <w:vAlign w:val="center"/>
          </w:tcPr>
          <w:p w14:paraId="16807DBC">
            <w:pPr>
              <w:rPr>
                <w:rFonts w:ascii="宋体" w:hAnsi="宋体" w:eastAsia="宋体" w:cs="宋体"/>
                <w:sz w:val="20"/>
                <w:szCs w:val="20"/>
                <w:lang w:eastAsia="zh-CN"/>
              </w:rPr>
            </w:pPr>
          </w:p>
        </w:tc>
        <w:tc>
          <w:tcPr>
            <w:tcW w:w="1559" w:type="dxa"/>
            <w:tcBorders>
              <w:top w:val="nil"/>
              <w:left w:val="nil"/>
              <w:bottom w:val="single" w:color="auto" w:sz="4" w:space="0"/>
              <w:right w:val="single" w:color="auto" w:sz="4" w:space="0"/>
            </w:tcBorders>
            <w:shd w:val="clear" w:color="auto" w:fill="auto"/>
            <w:vAlign w:val="center"/>
          </w:tcPr>
          <w:p w14:paraId="787A778D">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vMerge w:val="restart"/>
            <w:tcBorders>
              <w:top w:val="nil"/>
              <w:left w:val="nil"/>
              <w:right w:val="single" w:color="auto" w:sz="8" w:space="0"/>
            </w:tcBorders>
            <w:shd w:val="clear" w:color="auto" w:fill="auto"/>
            <w:vAlign w:val="center"/>
          </w:tcPr>
          <w:p w14:paraId="614127FD">
            <w:pPr>
              <w:rPr>
                <w:rFonts w:ascii="宋体" w:hAnsi="宋体" w:eastAsia="宋体" w:cs="宋体"/>
                <w:sz w:val="20"/>
                <w:szCs w:val="20"/>
                <w:lang w:eastAsia="zh-CN"/>
              </w:rPr>
            </w:pPr>
            <w:r>
              <w:rPr>
                <w:rFonts w:hint="eastAsia" w:ascii="宋体" w:hAnsi="宋体" w:eastAsia="宋体" w:cs="宋体"/>
                <w:sz w:val="20"/>
                <w:szCs w:val="20"/>
                <w:lang w:eastAsia="zh-CN"/>
              </w:rPr>
              <w:t>　</w:t>
            </w:r>
          </w:p>
        </w:tc>
      </w:tr>
      <w:tr w14:paraId="6A75F76E">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0785B563">
            <w:pPr>
              <w:widowControl w:val="0"/>
              <w:jc w:val="center"/>
              <w:rPr>
                <w:rFonts w:ascii="宋体" w:hAnsi="宋体" w:eastAsia="宋体" w:cs="宋体"/>
                <w:sz w:val="20"/>
                <w:szCs w:val="20"/>
                <w:lang w:eastAsia="zh-CN"/>
              </w:rPr>
            </w:pPr>
          </w:p>
        </w:tc>
        <w:tc>
          <w:tcPr>
            <w:tcW w:w="1016" w:type="dxa"/>
            <w:vMerge w:val="continue"/>
            <w:tcBorders>
              <w:top w:val="nil"/>
              <w:left w:val="single" w:color="auto" w:sz="4" w:space="0"/>
              <w:bottom w:val="single" w:color="auto" w:sz="4" w:space="0"/>
              <w:right w:val="single" w:color="auto" w:sz="4" w:space="0"/>
            </w:tcBorders>
            <w:vAlign w:val="center"/>
          </w:tcPr>
          <w:p w14:paraId="50AEB7C8">
            <w:pPr>
              <w:rPr>
                <w:rFonts w:ascii="宋体" w:hAnsi="宋体" w:eastAsia="宋体" w:cs="宋体"/>
                <w:sz w:val="20"/>
                <w:szCs w:val="20"/>
                <w:lang w:eastAsia="zh-CN"/>
              </w:rPr>
            </w:pPr>
          </w:p>
        </w:tc>
        <w:tc>
          <w:tcPr>
            <w:tcW w:w="3152" w:type="dxa"/>
            <w:tcBorders>
              <w:top w:val="nil"/>
              <w:left w:val="nil"/>
              <w:bottom w:val="single" w:color="auto" w:sz="4" w:space="0"/>
              <w:right w:val="single" w:color="auto" w:sz="4" w:space="0"/>
            </w:tcBorders>
            <w:shd w:val="clear" w:color="auto" w:fill="auto"/>
            <w:vAlign w:val="center"/>
          </w:tcPr>
          <w:p w14:paraId="0492A0EA">
            <w:pPr>
              <w:rPr>
                <w:rFonts w:ascii="宋体" w:hAnsi="宋体" w:eastAsia="宋体" w:cs="宋体"/>
                <w:sz w:val="20"/>
                <w:szCs w:val="20"/>
                <w:lang w:eastAsia="zh-CN"/>
              </w:rPr>
            </w:pPr>
          </w:p>
        </w:tc>
        <w:tc>
          <w:tcPr>
            <w:tcW w:w="1559" w:type="dxa"/>
            <w:tcBorders>
              <w:top w:val="nil"/>
              <w:left w:val="nil"/>
              <w:bottom w:val="single" w:color="auto" w:sz="4" w:space="0"/>
              <w:right w:val="single" w:color="auto" w:sz="4" w:space="0"/>
            </w:tcBorders>
            <w:shd w:val="clear" w:color="auto" w:fill="auto"/>
            <w:vAlign w:val="center"/>
          </w:tcPr>
          <w:p w14:paraId="03B609A7">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vMerge w:val="continue"/>
            <w:tcBorders>
              <w:left w:val="nil"/>
              <w:right w:val="single" w:color="auto" w:sz="8" w:space="0"/>
            </w:tcBorders>
            <w:shd w:val="clear" w:color="auto" w:fill="auto"/>
            <w:vAlign w:val="center"/>
          </w:tcPr>
          <w:p w14:paraId="3ECD7D70">
            <w:pPr>
              <w:widowControl w:val="0"/>
              <w:rPr>
                <w:rFonts w:ascii="宋体" w:hAnsi="宋体" w:eastAsia="宋体" w:cs="宋体"/>
                <w:sz w:val="20"/>
                <w:szCs w:val="20"/>
                <w:lang w:eastAsia="zh-CN"/>
              </w:rPr>
            </w:pPr>
          </w:p>
        </w:tc>
      </w:tr>
      <w:tr w14:paraId="1D31E4A2">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1CF2ECCC">
            <w:pPr>
              <w:widowControl w:val="0"/>
              <w:jc w:val="center"/>
              <w:rPr>
                <w:rFonts w:ascii="宋体" w:hAnsi="宋体" w:eastAsia="宋体" w:cs="宋体"/>
                <w:sz w:val="20"/>
                <w:szCs w:val="20"/>
                <w:lang w:eastAsia="zh-CN"/>
              </w:rPr>
            </w:pPr>
          </w:p>
        </w:tc>
        <w:tc>
          <w:tcPr>
            <w:tcW w:w="1016" w:type="dxa"/>
            <w:vMerge w:val="continue"/>
            <w:tcBorders>
              <w:top w:val="nil"/>
              <w:left w:val="single" w:color="auto" w:sz="4" w:space="0"/>
              <w:bottom w:val="single" w:color="auto" w:sz="4" w:space="0"/>
              <w:right w:val="single" w:color="auto" w:sz="4" w:space="0"/>
            </w:tcBorders>
            <w:vAlign w:val="center"/>
          </w:tcPr>
          <w:p w14:paraId="0897FE82">
            <w:pPr>
              <w:rPr>
                <w:rFonts w:ascii="宋体" w:hAnsi="宋体" w:eastAsia="宋体" w:cs="宋体"/>
                <w:sz w:val="20"/>
                <w:szCs w:val="20"/>
                <w:lang w:eastAsia="zh-CN"/>
              </w:rPr>
            </w:pPr>
          </w:p>
        </w:tc>
        <w:tc>
          <w:tcPr>
            <w:tcW w:w="3152" w:type="dxa"/>
            <w:tcBorders>
              <w:top w:val="nil"/>
              <w:left w:val="nil"/>
              <w:bottom w:val="single" w:color="auto" w:sz="4" w:space="0"/>
              <w:right w:val="single" w:color="auto" w:sz="4" w:space="0"/>
            </w:tcBorders>
            <w:shd w:val="clear" w:color="auto" w:fill="auto"/>
            <w:vAlign w:val="center"/>
          </w:tcPr>
          <w:p w14:paraId="0E58326E">
            <w:pPr>
              <w:rPr>
                <w:rFonts w:ascii="宋体" w:hAnsi="宋体" w:eastAsia="宋体" w:cs="宋体"/>
                <w:sz w:val="20"/>
                <w:szCs w:val="20"/>
                <w:lang w:eastAsia="zh-CN"/>
              </w:rPr>
            </w:pPr>
          </w:p>
        </w:tc>
        <w:tc>
          <w:tcPr>
            <w:tcW w:w="1559" w:type="dxa"/>
            <w:tcBorders>
              <w:top w:val="nil"/>
              <w:left w:val="nil"/>
              <w:bottom w:val="single" w:color="auto" w:sz="4" w:space="0"/>
              <w:right w:val="single" w:color="auto" w:sz="4" w:space="0"/>
            </w:tcBorders>
            <w:shd w:val="clear" w:color="auto" w:fill="auto"/>
            <w:vAlign w:val="center"/>
          </w:tcPr>
          <w:p w14:paraId="3FFB8B42">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vMerge w:val="continue"/>
            <w:tcBorders>
              <w:left w:val="nil"/>
              <w:right w:val="single" w:color="auto" w:sz="8" w:space="0"/>
            </w:tcBorders>
            <w:shd w:val="clear" w:color="auto" w:fill="auto"/>
            <w:vAlign w:val="center"/>
          </w:tcPr>
          <w:p w14:paraId="149BC803">
            <w:pPr>
              <w:widowControl w:val="0"/>
              <w:rPr>
                <w:rFonts w:ascii="宋体" w:hAnsi="宋体" w:eastAsia="宋体" w:cs="宋体"/>
                <w:sz w:val="20"/>
                <w:szCs w:val="20"/>
                <w:lang w:eastAsia="zh-CN"/>
              </w:rPr>
            </w:pPr>
          </w:p>
        </w:tc>
      </w:tr>
      <w:tr w14:paraId="42DEB18E">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1EECE623">
            <w:pPr>
              <w:widowControl w:val="0"/>
              <w:jc w:val="center"/>
              <w:rPr>
                <w:rFonts w:ascii="宋体" w:hAnsi="宋体" w:eastAsia="宋体" w:cs="宋体"/>
                <w:sz w:val="20"/>
                <w:szCs w:val="20"/>
                <w:lang w:eastAsia="zh-CN"/>
              </w:rPr>
            </w:pPr>
          </w:p>
        </w:tc>
        <w:tc>
          <w:tcPr>
            <w:tcW w:w="1016" w:type="dxa"/>
            <w:vMerge w:val="continue"/>
            <w:tcBorders>
              <w:top w:val="nil"/>
              <w:left w:val="single" w:color="auto" w:sz="4" w:space="0"/>
              <w:bottom w:val="single" w:color="auto" w:sz="4" w:space="0"/>
              <w:right w:val="single" w:color="auto" w:sz="4" w:space="0"/>
            </w:tcBorders>
            <w:vAlign w:val="center"/>
          </w:tcPr>
          <w:p w14:paraId="04D66B75">
            <w:pPr>
              <w:rPr>
                <w:rFonts w:ascii="宋体" w:hAnsi="宋体" w:eastAsia="宋体" w:cs="宋体"/>
                <w:sz w:val="20"/>
                <w:szCs w:val="20"/>
                <w:lang w:eastAsia="zh-CN"/>
              </w:rPr>
            </w:pPr>
          </w:p>
        </w:tc>
        <w:tc>
          <w:tcPr>
            <w:tcW w:w="3152" w:type="dxa"/>
            <w:tcBorders>
              <w:top w:val="nil"/>
              <w:left w:val="nil"/>
              <w:bottom w:val="single" w:color="auto" w:sz="4" w:space="0"/>
              <w:right w:val="single" w:color="auto" w:sz="4" w:space="0"/>
            </w:tcBorders>
            <w:shd w:val="clear" w:color="auto" w:fill="auto"/>
            <w:vAlign w:val="center"/>
          </w:tcPr>
          <w:p w14:paraId="214C3D6D">
            <w:pPr>
              <w:rPr>
                <w:rFonts w:ascii="宋体" w:hAnsi="宋体" w:eastAsia="宋体" w:cs="宋体"/>
                <w:sz w:val="20"/>
                <w:szCs w:val="20"/>
                <w:lang w:eastAsia="zh-CN"/>
              </w:rPr>
            </w:pPr>
          </w:p>
        </w:tc>
        <w:tc>
          <w:tcPr>
            <w:tcW w:w="1559" w:type="dxa"/>
            <w:tcBorders>
              <w:top w:val="nil"/>
              <w:left w:val="nil"/>
              <w:bottom w:val="single" w:color="auto" w:sz="4" w:space="0"/>
              <w:right w:val="single" w:color="auto" w:sz="4" w:space="0"/>
            </w:tcBorders>
            <w:shd w:val="clear" w:color="auto" w:fill="auto"/>
            <w:vAlign w:val="center"/>
          </w:tcPr>
          <w:p w14:paraId="76FFC7D0">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vMerge w:val="continue"/>
            <w:tcBorders>
              <w:left w:val="nil"/>
              <w:right w:val="single" w:color="auto" w:sz="8" w:space="0"/>
            </w:tcBorders>
            <w:shd w:val="clear" w:color="auto" w:fill="auto"/>
            <w:vAlign w:val="center"/>
          </w:tcPr>
          <w:p w14:paraId="5427117B">
            <w:pPr>
              <w:widowControl w:val="0"/>
              <w:rPr>
                <w:rFonts w:ascii="宋体" w:hAnsi="宋体" w:eastAsia="宋体" w:cs="宋体"/>
                <w:sz w:val="20"/>
                <w:szCs w:val="20"/>
                <w:lang w:eastAsia="zh-CN"/>
              </w:rPr>
            </w:pPr>
          </w:p>
        </w:tc>
      </w:tr>
      <w:tr w14:paraId="1E5A9FC3">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5AEE1CF7">
            <w:pPr>
              <w:widowControl w:val="0"/>
              <w:jc w:val="center"/>
              <w:rPr>
                <w:rFonts w:ascii="宋体" w:hAnsi="宋体" w:eastAsia="宋体" w:cs="宋体"/>
                <w:sz w:val="20"/>
                <w:szCs w:val="20"/>
                <w:lang w:eastAsia="zh-CN"/>
              </w:rPr>
            </w:pPr>
          </w:p>
        </w:tc>
        <w:tc>
          <w:tcPr>
            <w:tcW w:w="1016" w:type="dxa"/>
            <w:vMerge w:val="continue"/>
            <w:tcBorders>
              <w:top w:val="nil"/>
              <w:left w:val="single" w:color="auto" w:sz="4" w:space="0"/>
              <w:bottom w:val="single" w:color="auto" w:sz="4" w:space="0"/>
              <w:right w:val="single" w:color="auto" w:sz="4" w:space="0"/>
            </w:tcBorders>
            <w:vAlign w:val="center"/>
          </w:tcPr>
          <w:p w14:paraId="7B114DDC">
            <w:pPr>
              <w:rPr>
                <w:rFonts w:ascii="宋体" w:hAnsi="宋体" w:eastAsia="宋体" w:cs="宋体"/>
                <w:sz w:val="20"/>
                <w:szCs w:val="20"/>
                <w:lang w:eastAsia="zh-CN"/>
              </w:rPr>
            </w:pPr>
          </w:p>
        </w:tc>
        <w:tc>
          <w:tcPr>
            <w:tcW w:w="3152" w:type="dxa"/>
            <w:tcBorders>
              <w:top w:val="nil"/>
              <w:left w:val="nil"/>
              <w:bottom w:val="single" w:color="auto" w:sz="4" w:space="0"/>
              <w:right w:val="single" w:color="auto" w:sz="4" w:space="0"/>
            </w:tcBorders>
            <w:shd w:val="clear" w:color="auto" w:fill="auto"/>
            <w:vAlign w:val="center"/>
          </w:tcPr>
          <w:p w14:paraId="54ED2A82">
            <w:pPr>
              <w:rPr>
                <w:rFonts w:ascii="宋体" w:hAnsi="宋体" w:eastAsia="宋体" w:cs="宋体"/>
                <w:sz w:val="20"/>
                <w:szCs w:val="20"/>
                <w:lang w:eastAsia="zh-CN"/>
              </w:rPr>
            </w:pPr>
          </w:p>
        </w:tc>
        <w:tc>
          <w:tcPr>
            <w:tcW w:w="1559" w:type="dxa"/>
            <w:tcBorders>
              <w:top w:val="nil"/>
              <w:left w:val="nil"/>
              <w:bottom w:val="single" w:color="auto" w:sz="4" w:space="0"/>
              <w:right w:val="single" w:color="auto" w:sz="4" w:space="0"/>
            </w:tcBorders>
            <w:shd w:val="clear" w:color="auto" w:fill="auto"/>
            <w:vAlign w:val="center"/>
          </w:tcPr>
          <w:p w14:paraId="09187B4A">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vMerge w:val="continue"/>
            <w:tcBorders>
              <w:left w:val="nil"/>
              <w:right w:val="single" w:color="auto" w:sz="8" w:space="0"/>
            </w:tcBorders>
            <w:shd w:val="clear" w:color="auto" w:fill="auto"/>
            <w:vAlign w:val="center"/>
          </w:tcPr>
          <w:p w14:paraId="277B9EA0">
            <w:pPr>
              <w:widowControl w:val="0"/>
              <w:rPr>
                <w:rFonts w:ascii="宋体" w:hAnsi="宋体" w:eastAsia="宋体" w:cs="宋体"/>
                <w:sz w:val="20"/>
                <w:szCs w:val="20"/>
                <w:lang w:eastAsia="zh-CN"/>
              </w:rPr>
            </w:pPr>
          </w:p>
        </w:tc>
      </w:tr>
      <w:tr w14:paraId="1EB779BD">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15ACDCB0">
            <w:pPr>
              <w:widowControl w:val="0"/>
              <w:jc w:val="center"/>
              <w:rPr>
                <w:rFonts w:ascii="宋体" w:hAnsi="宋体" w:eastAsia="宋体" w:cs="宋体"/>
                <w:sz w:val="20"/>
                <w:szCs w:val="20"/>
                <w:lang w:eastAsia="zh-CN"/>
              </w:rPr>
            </w:pPr>
          </w:p>
        </w:tc>
        <w:tc>
          <w:tcPr>
            <w:tcW w:w="1016" w:type="dxa"/>
            <w:vMerge w:val="continue"/>
            <w:tcBorders>
              <w:top w:val="nil"/>
              <w:left w:val="single" w:color="auto" w:sz="4" w:space="0"/>
              <w:bottom w:val="single" w:color="auto" w:sz="4" w:space="0"/>
              <w:right w:val="single" w:color="auto" w:sz="4" w:space="0"/>
            </w:tcBorders>
            <w:vAlign w:val="center"/>
          </w:tcPr>
          <w:p w14:paraId="26288101">
            <w:pPr>
              <w:rPr>
                <w:rFonts w:ascii="宋体" w:hAnsi="宋体" w:eastAsia="宋体" w:cs="宋体"/>
                <w:sz w:val="20"/>
                <w:szCs w:val="20"/>
                <w:lang w:eastAsia="zh-CN"/>
              </w:rPr>
            </w:pPr>
          </w:p>
        </w:tc>
        <w:tc>
          <w:tcPr>
            <w:tcW w:w="3152" w:type="dxa"/>
            <w:tcBorders>
              <w:top w:val="nil"/>
              <w:left w:val="nil"/>
              <w:bottom w:val="single" w:color="auto" w:sz="4" w:space="0"/>
              <w:right w:val="single" w:color="auto" w:sz="4" w:space="0"/>
            </w:tcBorders>
            <w:shd w:val="clear" w:color="auto" w:fill="auto"/>
            <w:vAlign w:val="center"/>
          </w:tcPr>
          <w:p w14:paraId="0F079F3C">
            <w:pPr>
              <w:rPr>
                <w:rFonts w:ascii="宋体" w:hAnsi="宋体" w:eastAsia="宋体" w:cs="宋体"/>
                <w:sz w:val="20"/>
                <w:szCs w:val="20"/>
                <w:lang w:eastAsia="zh-CN"/>
              </w:rPr>
            </w:pPr>
          </w:p>
        </w:tc>
        <w:tc>
          <w:tcPr>
            <w:tcW w:w="1559" w:type="dxa"/>
            <w:tcBorders>
              <w:top w:val="nil"/>
              <w:left w:val="nil"/>
              <w:bottom w:val="single" w:color="auto" w:sz="4" w:space="0"/>
              <w:right w:val="single" w:color="auto" w:sz="4" w:space="0"/>
            </w:tcBorders>
            <w:shd w:val="clear" w:color="auto" w:fill="auto"/>
            <w:vAlign w:val="center"/>
          </w:tcPr>
          <w:p w14:paraId="1FCFAEBF">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vMerge w:val="continue"/>
            <w:tcBorders>
              <w:left w:val="nil"/>
              <w:bottom w:val="single" w:color="auto" w:sz="4" w:space="0"/>
              <w:right w:val="single" w:color="auto" w:sz="8" w:space="0"/>
            </w:tcBorders>
            <w:shd w:val="clear" w:color="auto" w:fill="auto"/>
            <w:vAlign w:val="center"/>
          </w:tcPr>
          <w:p w14:paraId="591EB4B0">
            <w:pPr>
              <w:rPr>
                <w:rFonts w:ascii="宋体" w:hAnsi="宋体" w:eastAsia="宋体" w:cs="宋体"/>
                <w:sz w:val="20"/>
                <w:szCs w:val="20"/>
                <w:lang w:eastAsia="zh-CN"/>
              </w:rPr>
            </w:pPr>
          </w:p>
        </w:tc>
      </w:tr>
      <w:tr w14:paraId="17313A2D">
        <w:tblPrEx>
          <w:tblCellMar>
            <w:top w:w="0" w:type="dxa"/>
            <w:left w:w="108" w:type="dxa"/>
            <w:bottom w:w="0" w:type="dxa"/>
            <w:right w:w="108" w:type="dxa"/>
          </w:tblCellMar>
        </w:tblPrEx>
        <w:trPr>
          <w:trHeight w:val="285" w:hRule="atLeast"/>
        </w:trPr>
        <w:tc>
          <w:tcPr>
            <w:tcW w:w="618" w:type="dxa"/>
            <w:vMerge w:val="continue"/>
            <w:tcBorders>
              <w:left w:val="single" w:color="auto" w:sz="8" w:space="0"/>
              <w:bottom w:val="single" w:color="auto" w:sz="4" w:space="0"/>
              <w:right w:val="single" w:color="auto" w:sz="4" w:space="0"/>
            </w:tcBorders>
            <w:shd w:val="clear" w:color="000000" w:fill="FFFFFF"/>
            <w:vAlign w:val="center"/>
          </w:tcPr>
          <w:p w14:paraId="01B65E27">
            <w:pPr>
              <w:jc w:val="center"/>
              <w:rPr>
                <w:rFonts w:ascii="宋体" w:hAnsi="宋体" w:eastAsia="宋体" w:cs="宋体"/>
                <w:sz w:val="20"/>
                <w:szCs w:val="20"/>
                <w:lang w:eastAsia="zh-CN"/>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7F6FBCCA">
            <w:pPr>
              <w:jc w:val="center"/>
              <w:rPr>
                <w:rFonts w:ascii="宋体" w:hAnsi="宋体" w:eastAsia="宋体" w:cs="宋体"/>
                <w:sz w:val="20"/>
                <w:szCs w:val="20"/>
                <w:lang w:eastAsia="zh-CN"/>
              </w:rPr>
            </w:pPr>
            <w:r>
              <w:rPr>
                <w:rFonts w:hint="eastAsia" w:ascii="宋体" w:hAnsi="宋体" w:eastAsia="宋体" w:cs="宋体"/>
                <w:sz w:val="20"/>
                <w:szCs w:val="20"/>
                <w:lang w:eastAsia="zh-CN"/>
              </w:rPr>
              <w:t>*</w:t>
            </w:r>
            <w:r>
              <w:rPr>
                <w:rFonts w:ascii="宋体" w:hAnsi="宋体" w:eastAsia="宋体" w:cs="宋体"/>
                <w:sz w:val="20"/>
                <w:szCs w:val="20"/>
                <w:lang w:eastAsia="zh-CN"/>
              </w:rPr>
              <w:t>*</w:t>
            </w:r>
            <w:r>
              <w:rPr>
                <w:rFonts w:hint="eastAsia" w:ascii="宋体" w:hAnsi="宋体" w:eastAsia="宋体" w:cs="宋体"/>
                <w:sz w:val="20"/>
                <w:szCs w:val="20"/>
                <w:lang w:eastAsia="zh-CN"/>
              </w:rPr>
              <w:t>费用小计</w:t>
            </w:r>
          </w:p>
        </w:tc>
        <w:tc>
          <w:tcPr>
            <w:tcW w:w="1559" w:type="dxa"/>
            <w:tcBorders>
              <w:top w:val="nil"/>
              <w:left w:val="nil"/>
              <w:bottom w:val="single" w:color="auto" w:sz="4" w:space="0"/>
              <w:right w:val="single" w:color="auto" w:sz="4" w:space="0"/>
            </w:tcBorders>
            <w:shd w:val="clear" w:color="000000" w:fill="FFFFFF"/>
            <w:vAlign w:val="center"/>
          </w:tcPr>
          <w:p w14:paraId="6961DB93">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tcBorders>
              <w:top w:val="nil"/>
              <w:left w:val="nil"/>
              <w:bottom w:val="single" w:color="auto" w:sz="4" w:space="0"/>
              <w:right w:val="single" w:color="auto" w:sz="8" w:space="0"/>
            </w:tcBorders>
            <w:shd w:val="clear" w:color="000000" w:fill="FFFFFF"/>
            <w:vAlign w:val="center"/>
          </w:tcPr>
          <w:p w14:paraId="53BAA9BF">
            <w:pPr>
              <w:rPr>
                <w:rFonts w:ascii="宋体" w:hAnsi="宋体" w:eastAsia="宋体" w:cs="宋体"/>
                <w:sz w:val="20"/>
                <w:szCs w:val="20"/>
                <w:lang w:eastAsia="zh-CN"/>
              </w:rPr>
            </w:pPr>
            <w:r>
              <w:rPr>
                <w:rFonts w:hint="eastAsia" w:ascii="宋体" w:hAnsi="宋体" w:eastAsia="宋体" w:cs="宋体"/>
                <w:sz w:val="20"/>
                <w:szCs w:val="20"/>
                <w:lang w:eastAsia="zh-CN"/>
              </w:rPr>
              <w:t>　</w:t>
            </w:r>
          </w:p>
        </w:tc>
      </w:tr>
      <w:tr w14:paraId="518BEBA5">
        <w:tblPrEx>
          <w:tblCellMar>
            <w:top w:w="0" w:type="dxa"/>
            <w:left w:w="108" w:type="dxa"/>
            <w:bottom w:w="0" w:type="dxa"/>
            <w:right w:w="108" w:type="dxa"/>
          </w:tblCellMar>
        </w:tblPrEx>
        <w:trPr>
          <w:trHeight w:val="285" w:hRule="atLeast"/>
        </w:trPr>
        <w:tc>
          <w:tcPr>
            <w:tcW w:w="618" w:type="dxa"/>
            <w:vMerge w:val="restart"/>
            <w:tcBorders>
              <w:top w:val="nil"/>
              <w:left w:val="single" w:color="auto" w:sz="8" w:space="0"/>
              <w:right w:val="single" w:color="auto" w:sz="4" w:space="0"/>
            </w:tcBorders>
            <w:shd w:val="clear" w:color="000000" w:fill="FFFFFF"/>
            <w:vAlign w:val="center"/>
          </w:tcPr>
          <w:p w14:paraId="5E07308A">
            <w:pPr>
              <w:jc w:val="center"/>
              <w:rPr>
                <w:rFonts w:ascii="宋体" w:hAnsi="宋体" w:eastAsia="宋体" w:cs="宋体"/>
                <w:sz w:val="20"/>
                <w:szCs w:val="20"/>
                <w:lang w:eastAsia="zh-CN"/>
              </w:rPr>
            </w:pPr>
            <w:r>
              <w:rPr>
                <w:rFonts w:hint="eastAsia" w:ascii="宋体" w:hAnsi="宋体" w:eastAsia="宋体" w:cs="宋体"/>
                <w:sz w:val="20"/>
                <w:szCs w:val="20"/>
                <w:lang w:eastAsia="zh-CN"/>
              </w:rPr>
              <w:t>三</w:t>
            </w:r>
          </w:p>
        </w:tc>
        <w:tc>
          <w:tcPr>
            <w:tcW w:w="1016" w:type="dxa"/>
            <w:vMerge w:val="restart"/>
            <w:tcBorders>
              <w:top w:val="nil"/>
              <w:left w:val="single" w:color="auto" w:sz="4" w:space="0"/>
              <w:bottom w:val="single" w:color="auto" w:sz="4" w:space="0"/>
              <w:right w:val="single" w:color="auto" w:sz="4" w:space="0"/>
            </w:tcBorders>
            <w:shd w:val="clear" w:color="000000" w:fill="FFFFFF"/>
            <w:vAlign w:val="center"/>
          </w:tcPr>
          <w:p w14:paraId="124D3DD3">
            <w:pPr>
              <w:jc w:val="center"/>
              <w:rPr>
                <w:rFonts w:ascii="宋体" w:hAnsi="宋体" w:eastAsia="宋体" w:cs="宋体"/>
                <w:sz w:val="20"/>
                <w:szCs w:val="20"/>
                <w:lang w:eastAsia="zh-CN"/>
              </w:rPr>
            </w:pPr>
            <w:r>
              <w:rPr>
                <w:rFonts w:hint="eastAsia" w:ascii="宋体" w:hAnsi="宋体" w:eastAsia="宋体" w:cs="宋体"/>
                <w:sz w:val="20"/>
                <w:szCs w:val="20"/>
                <w:lang w:eastAsia="zh-CN"/>
              </w:rPr>
              <w:t>其他费用</w:t>
            </w:r>
          </w:p>
        </w:tc>
        <w:tc>
          <w:tcPr>
            <w:tcW w:w="3152" w:type="dxa"/>
            <w:tcBorders>
              <w:top w:val="nil"/>
              <w:left w:val="nil"/>
              <w:bottom w:val="single" w:color="auto" w:sz="4" w:space="0"/>
              <w:right w:val="single" w:color="auto" w:sz="4" w:space="0"/>
            </w:tcBorders>
            <w:shd w:val="clear" w:color="000000" w:fill="FFFFFF"/>
            <w:vAlign w:val="center"/>
          </w:tcPr>
          <w:p w14:paraId="04CA21F5">
            <w:pPr>
              <w:rPr>
                <w:rFonts w:ascii="宋体" w:hAnsi="宋体" w:eastAsia="宋体" w:cs="宋体"/>
                <w:sz w:val="20"/>
                <w:szCs w:val="20"/>
                <w:lang w:eastAsia="zh-CN"/>
              </w:rPr>
            </w:pPr>
            <w:r>
              <w:rPr>
                <w:rFonts w:hint="eastAsia" w:ascii="宋体" w:hAnsi="宋体" w:eastAsia="宋体" w:cs="宋体"/>
                <w:sz w:val="20"/>
                <w:szCs w:val="20"/>
                <w:lang w:eastAsia="zh-CN"/>
              </w:rPr>
              <w:t>*</w:t>
            </w:r>
            <w:r>
              <w:rPr>
                <w:rFonts w:ascii="宋体" w:hAnsi="宋体" w:eastAsia="宋体" w:cs="宋体"/>
                <w:sz w:val="20"/>
                <w:szCs w:val="20"/>
                <w:lang w:eastAsia="zh-CN"/>
              </w:rPr>
              <w:t>*</w:t>
            </w:r>
          </w:p>
        </w:tc>
        <w:tc>
          <w:tcPr>
            <w:tcW w:w="1559" w:type="dxa"/>
            <w:tcBorders>
              <w:top w:val="nil"/>
              <w:left w:val="nil"/>
              <w:bottom w:val="single" w:color="auto" w:sz="4" w:space="0"/>
              <w:right w:val="single" w:color="auto" w:sz="4" w:space="0"/>
            </w:tcBorders>
            <w:shd w:val="clear" w:color="000000" w:fill="FFFFFF"/>
            <w:vAlign w:val="center"/>
          </w:tcPr>
          <w:p w14:paraId="14809209">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tcBorders>
              <w:top w:val="nil"/>
              <w:left w:val="nil"/>
              <w:bottom w:val="single" w:color="auto" w:sz="4" w:space="0"/>
              <w:right w:val="single" w:color="auto" w:sz="8" w:space="0"/>
            </w:tcBorders>
            <w:shd w:val="clear" w:color="000000" w:fill="FFFFFF"/>
            <w:vAlign w:val="center"/>
          </w:tcPr>
          <w:p w14:paraId="3691A1E4">
            <w:pPr>
              <w:rPr>
                <w:rFonts w:ascii="宋体" w:hAnsi="宋体" w:eastAsia="宋体" w:cs="宋体"/>
                <w:sz w:val="20"/>
                <w:szCs w:val="20"/>
                <w:lang w:eastAsia="zh-CN"/>
              </w:rPr>
            </w:pPr>
          </w:p>
        </w:tc>
      </w:tr>
      <w:tr w14:paraId="0A55635A">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000000" w:fill="FFFFFF"/>
            <w:vAlign w:val="center"/>
          </w:tcPr>
          <w:p w14:paraId="38DFAED4">
            <w:pPr>
              <w:widowControl w:val="0"/>
              <w:jc w:val="center"/>
              <w:rPr>
                <w:rFonts w:ascii="宋体" w:hAnsi="宋体" w:eastAsia="宋体" w:cs="宋体"/>
                <w:sz w:val="20"/>
                <w:szCs w:val="20"/>
                <w:lang w:eastAsia="zh-CN"/>
              </w:rPr>
            </w:pPr>
          </w:p>
        </w:tc>
        <w:tc>
          <w:tcPr>
            <w:tcW w:w="1016" w:type="dxa"/>
            <w:vMerge w:val="continue"/>
            <w:tcBorders>
              <w:top w:val="nil"/>
              <w:left w:val="single" w:color="auto" w:sz="4" w:space="0"/>
              <w:bottom w:val="single" w:color="auto" w:sz="4" w:space="0"/>
              <w:right w:val="single" w:color="auto" w:sz="4" w:space="0"/>
            </w:tcBorders>
            <w:vAlign w:val="center"/>
          </w:tcPr>
          <w:p w14:paraId="0DE167F2">
            <w:pPr>
              <w:rPr>
                <w:rFonts w:ascii="宋体" w:hAnsi="宋体" w:eastAsia="宋体" w:cs="宋体"/>
                <w:sz w:val="20"/>
                <w:szCs w:val="20"/>
                <w:lang w:eastAsia="zh-CN"/>
              </w:rPr>
            </w:pPr>
          </w:p>
        </w:tc>
        <w:tc>
          <w:tcPr>
            <w:tcW w:w="3152" w:type="dxa"/>
            <w:tcBorders>
              <w:top w:val="nil"/>
              <w:left w:val="nil"/>
              <w:bottom w:val="single" w:color="auto" w:sz="4" w:space="0"/>
              <w:right w:val="single" w:color="auto" w:sz="4" w:space="0"/>
            </w:tcBorders>
            <w:shd w:val="clear" w:color="000000" w:fill="FFFFFF"/>
            <w:vAlign w:val="center"/>
          </w:tcPr>
          <w:p w14:paraId="3C88877D">
            <w:pPr>
              <w:rPr>
                <w:rFonts w:ascii="宋体" w:hAnsi="宋体" w:eastAsia="宋体" w:cs="宋体"/>
                <w:sz w:val="20"/>
                <w:szCs w:val="20"/>
                <w:lang w:eastAsia="zh-CN"/>
              </w:rPr>
            </w:pPr>
          </w:p>
        </w:tc>
        <w:tc>
          <w:tcPr>
            <w:tcW w:w="1559" w:type="dxa"/>
            <w:tcBorders>
              <w:top w:val="nil"/>
              <w:left w:val="nil"/>
              <w:bottom w:val="single" w:color="auto" w:sz="4" w:space="0"/>
              <w:right w:val="single" w:color="auto" w:sz="4" w:space="0"/>
            </w:tcBorders>
            <w:shd w:val="clear" w:color="000000" w:fill="FFFFFF"/>
            <w:vAlign w:val="center"/>
          </w:tcPr>
          <w:p w14:paraId="7C3198DD">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tcBorders>
              <w:top w:val="nil"/>
              <w:left w:val="nil"/>
              <w:bottom w:val="single" w:color="auto" w:sz="4" w:space="0"/>
              <w:right w:val="single" w:color="auto" w:sz="8" w:space="0"/>
            </w:tcBorders>
            <w:shd w:val="clear" w:color="000000" w:fill="FFFFFF"/>
            <w:vAlign w:val="center"/>
          </w:tcPr>
          <w:p w14:paraId="2F74CD14">
            <w:pPr>
              <w:rPr>
                <w:rFonts w:ascii="宋体" w:hAnsi="宋体" w:eastAsia="宋体" w:cs="宋体"/>
                <w:sz w:val="20"/>
                <w:szCs w:val="20"/>
                <w:lang w:eastAsia="zh-CN"/>
              </w:rPr>
            </w:pPr>
          </w:p>
        </w:tc>
      </w:tr>
      <w:tr w14:paraId="7F08883D">
        <w:tblPrEx>
          <w:tblCellMar>
            <w:top w:w="0" w:type="dxa"/>
            <w:left w:w="108" w:type="dxa"/>
            <w:bottom w:w="0" w:type="dxa"/>
            <w:right w:w="108" w:type="dxa"/>
          </w:tblCellMar>
        </w:tblPrEx>
        <w:trPr>
          <w:trHeight w:val="285" w:hRule="atLeast"/>
        </w:trPr>
        <w:tc>
          <w:tcPr>
            <w:tcW w:w="618" w:type="dxa"/>
            <w:vMerge w:val="continue"/>
            <w:tcBorders>
              <w:left w:val="single" w:color="auto" w:sz="8" w:space="0"/>
              <w:bottom w:val="single" w:color="auto" w:sz="4" w:space="0"/>
              <w:right w:val="single" w:color="auto" w:sz="4" w:space="0"/>
            </w:tcBorders>
            <w:shd w:val="clear" w:color="000000" w:fill="FFFFFF"/>
            <w:vAlign w:val="center"/>
          </w:tcPr>
          <w:p w14:paraId="194C6EAC">
            <w:pPr>
              <w:jc w:val="center"/>
              <w:rPr>
                <w:rFonts w:ascii="宋体" w:hAnsi="宋体" w:eastAsia="宋体" w:cs="宋体"/>
                <w:sz w:val="20"/>
                <w:szCs w:val="20"/>
                <w:lang w:eastAsia="zh-CN"/>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5C9DBD45">
            <w:pPr>
              <w:jc w:val="center"/>
              <w:rPr>
                <w:rFonts w:ascii="宋体" w:hAnsi="宋体" w:eastAsia="宋体" w:cs="宋体"/>
                <w:sz w:val="20"/>
                <w:szCs w:val="20"/>
                <w:lang w:eastAsia="zh-CN"/>
              </w:rPr>
            </w:pPr>
            <w:r>
              <w:rPr>
                <w:rFonts w:hint="eastAsia" w:ascii="宋体" w:hAnsi="宋体" w:eastAsia="宋体" w:cs="宋体"/>
                <w:sz w:val="20"/>
                <w:szCs w:val="20"/>
                <w:lang w:eastAsia="zh-CN"/>
              </w:rPr>
              <w:t>其他费用小计</w:t>
            </w:r>
          </w:p>
        </w:tc>
        <w:tc>
          <w:tcPr>
            <w:tcW w:w="1559" w:type="dxa"/>
            <w:tcBorders>
              <w:top w:val="nil"/>
              <w:left w:val="nil"/>
              <w:bottom w:val="single" w:color="auto" w:sz="4" w:space="0"/>
              <w:right w:val="single" w:color="auto" w:sz="4" w:space="0"/>
            </w:tcBorders>
            <w:shd w:val="clear" w:color="000000" w:fill="FFFFFF"/>
            <w:vAlign w:val="center"/>
          </w:tcPr>
          <w:p w14:paraId="07A031A7">
            <w:pPr>
              <w:jc w:val="right"/>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tcBorders>
              <w:top w:val="nil"/>
              <w:left w:val="nil"/>
              <w:bottom w:val="single" w:color="auto" w:sz="4" w:space="0"/>
              <w:right w:val="single" w:color="auto" w:sz="8" w:space="0"/>
            </w:tcBorders>
            <w:shd w:val="clear" w:color="000000" w:fill="FFFFFF"/>
            <w:vAlign w:val="center"/>
          </w:tcPr>
          <w:p w14:paraId="26D13F5E">
            <w:pPr>
              <w:rPr>
                <w:rFonts w:ascii="宋体" w:hAnsi="宋体" w:eastAsia="宋体" w:cs="宋体"/>
                <w:sz w:val="20"/>
                <w:szCs w:val="20"/>
                <w:lang w:eastAsia="zh-CN"/>
              </w:rPr>
            </w:pPr>
            <w:r>
              <w:rPr>
                <w:rFonts w:hint="eastAsia" w:ascii="宋体" w:hAnsi="宋体" w:eastAsia="宋体" w:cs="宋体"/>
                <w:sz w:val="20"/>
                <w:szCs w:val="20"/>
                <w:lang w:eastAsia="zh-CN"/>
              </w:rPr>
              <w:t>　</w:t>
            </w:r>
          </w:p>
        </w:tc>
      </w:tr>
      <w:tr w14:paraId="24BE2C92">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14:paraId="0178CB97">
            <w:pPr>
              <w:jc w:val="center"/>
              <w:rPr>
                <w:rFonts w:ascii="宋体" w:hAnsi="宋体" w:eastAsia="宋体" w:cs="宋体"/>
                <w:sz w:val="20"/>
                <w:szCs w:val="20"/>
                <w:lang w:eastAsia="zh-CN"/>
              </w:rPr>
            </w:pPr>
            <w:r>
              <w:rPr>
                <w:rFonts w:hint="eastAsia" w:ascii="宋体" w:hAnsi="宋体" w:eastAsia="宋体" w:cs="宋体"/>
                <w:sz w:val="20"/>
                <w:szCs w:val="20"/>
                <w:lang w:eastAsia="zh-CN"/>
              </w:rPr>
              <w:t>四</w:t>
            </w: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2AEC2B23">
            <w:pPr>
              <w:rPr>
                <w:rFonts w:ascii="宋体" w:hAnsi="宋体" w:eastAsia="宋体" w:cs="宋体"/>
                <w:sz w:val="20"/>
                <w:szCs w:val="20"/>
                <w:lang w:eastAsia="zh-CN"/>
              </w:rPr>
            </w:pPr>
            <w:r>
              <w:rPr>
                <w:rFonts w:hint="eastAsia" w:ascii="宋体" w:hAnsi="宋体" w:eastAsia="宋体" w:cs="宋体"/>
                <w:sz w:val="20"/>
                <w:szCs w:val="20"/>
                <w:lang w:eastAsia="zh-CN"/>
              </w:rPr>
              <w:t>税金</w:t>
            </w:r>
          </w:p>
        </w:tc>
        <w:tc>
          <w:tcPr>
            <w:tcW w:w="1559" w:type="dxa"/>
            <w:tcBorders>
              <w:top w:val="nil"/>
              <w:left w:val="nil"/>
              <w:bottom w:val="single" w:color="auto" w:sz="4" w:space="0"/>
              <w:right w:val="single" w:color="auto" w:sz="4" w:space="0"/>
            </w:tcBorders>
            <w:shd w:val="clear" w:color="000000" w:fill="FFFFFF"/>
            <w:vAlign w:val="center"/>
          </w:tcPr>
          <w:p w14:paraId="1E50865A">
            <w:pPr>
              <w:rPr>
                <w:rFonts w:ascii="宋体" w:hAnsi="宋体" w:eastAsia="宋体" w:cs="宋体"/>
                <w:sz w:val="20"/>
                <w:szCs w:val="20"/>
                <w:lang w:eastAsia="zh-CN"/>
              </w:rPr>
            </w:pPr>
            <w:r>
              <w:rPr>
                <w:rFonts w:hint="eastAsia" w:ascii="宋体" w:hAnsi="宋体" w:eastAsia="宋体" w:cs="宋体"/>
                <w:sz w:val="20"/>
                <w:szCs w:val="20"/>
                <w:lang w:eastAsia="zh-CN"/>
              </w:rPr>
              <w:t>　</w:t>
            </w:r>
          </w:p>
        </w:tc>
        <w:tc>
          <w:tcPr>
            <w:tcW w:w="2268" w:type="dxa"/>
            <w:tcBorders>
              <w:top w:val="nil"/>
              <w:left w:val="nil"/>
              <w:bottom w:val="single" w:color="auto" w:sz="4" w:space="0"/>
              <w:right w:val="single" w:color="auto" w:sz="8" w:space="0"/>
            </w:tcBorders>
            <w:shd w:val="clear" w:color="000000" w:fill="FFFFFF"/>
            <w:vAlign w:val="center"/>
          </w:tcPr>
          <w:p w14:paraId="53024FE7">
            <w:pPr>
              <w:rPr>
                <w:rFonts w:ascii="宋体" w:hAnsi="宋体" w:eastAsia="宋体" w:cs="宋体"/>
                <w:sz w:val="20"/>
                <w:szCs w:val="20"/>
                <w:lang w:eastAsia="zh-CN"/>
              </w:rPr>
            </w:pPr>
            <w:r>
              <w:rPr>
                <w:rFonts w:hint="eastAsia" w:ascii="宋体" w:hAnsi="宋体" w:eastAsia="宋体" w:cs="宋体"/>
                <w:sz w:val="20"/>
                <w:szCs w:val="20"/>
                <w:lang w:eastAsia="zh-CN"/>
              </w:rPr>
              <w:t>　</w:t>
            </w:r>
          </w:p>
        </w:tc>
      </w:tr>
      <w:tr w14:paraId="398B732B">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14:paraId="0288021D">
            <w:pPr>
              <w:jc w:val="center"/>
              <w:rPr>
                <w:rFonts w:ascii="宋体" w:hAnsi="宋体" w:eastAsia="宋体" w:cs="宋体"/>
                <w:sz w:val="20"/>
                <w:szCs w:val="20"/>
                <w:lang w:eastAsia="zh-CN"/>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4844DCBA">
            <w:pPr>
              <w:rPr>
                <w:rFonts w:ascii="宋体" w:hAnsi="宋体" w:eastAsia="宋体" w:cs="宋体"/>
                <w:sz w:val="20"/>
                <w:szCs w:val="20"/>
                <w:lang w:eastAsia="zh-CN"/>
              </w:rPr>
            </w:pPr>
            <w:r>
              <w:rPr>
                <w:rFonts w:hint="eastAsia" w:ascii="宋体" w:hAnsi="宋体" w:eastAsia="宋体" w:cs="宋体"/>
                <w:b/>
                <w:bCs/>
                <w:sz w:val="20"/>
                <w:szCs w:val="20"/>
                <w:lang w:eastAsia="zh-CN"/>
              </w:rPr>
              <w:t>……</w:t>
            </w:r>
          </w:p>
        </w:tc>
        <w:tc>
          <w:tcPr>
            <w:tcW w:w="1559" w:type="dxa"/>
            <w:tcBorders>
              <w:top w:val="nil"/>
              <w:left w:val="nil"/>
              <w:bottom w:val="single" w:color="auto" w:sz="4" w:space="0"/>
              <w:right w:val="single" w:color="auto" w:sz="4" w:space="0"/>
            </w:tcBorders>
            <w:shd w:val="clear" w:color="000000" w:fill="FFFFFF"/>
            <w:vAlign w:val="center"/>
          </w:tcPr>
          <w:p w14:paraId="6F9E522A">
            <w:pPr>
              <w:rPr>
                <w:rFonts w:ascii="宋体" w:hAnsi="宋体" w:eastAsia="宋体" w:cs="宋体"/>
                <w:sz w:val="20"/>
                <w:szCs w:val="20"/>
                <w:lang w:eastAsia="zh-CN"/>
              </w:rPr>
            </w:pPr>
          </w:p>
        </w:tc>
        <w:tc>
          <w:tcPr>
            <w:tcW w:w="2268" w:type="dxa"/>
            <w:tcBorders>
              <w:top w:val="nil"/>
              <w:left w:val="nil"/>
              <w:bottom w:val="single" w:color="auto" w:sz="4" w:space="0"/>
              <w:right w:val="single" w:color="auto" w:sz="8" w:space="0"/>
            </w:tcBorders>
            <w:shd w:val="clear" w:color="000000" w:fill="FFFFFF"/>
            <w:vAlign w:val="center"/>
          </w:tcPr>
          <w:p w14:paraId="614546D1">
            <w:pPr>
              <w:rPr>
                <w:rFonts w:ascii="宋体" w:hAnsi="宋体" w:eastAsia="宋体" w:cs="宋体"/>
                <w:sz w:val="20"/>
                <w:szCs w:val="20"/>
                <w:lang w:eastAsia="zh-CN"/>
              </w:rPr>
            </w:pPr>
          </w:p>
        </w:tc>
      </w:tr>
      <w:tr w14:paraId="0FD9FC1F">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14:paraId="45163F93">
            <w:pPr>
              <w:jc w:val="center"/>
              <w:rPr>
                <w:rFonts w:ascii="宋体" w:hAnsi="宋体" w:eastAsia="宋体" w:cs="宋体"/>
                <w:sz w:val="20"/>
                <w:szCs w:val="20"/>
                <w:lang w:eastAsia="zh-CN"/>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31BF3862">
            <w:pPr>
              <w:jc w:val="center"/>
              <w:rPr>
                <w:rFonts w:ascii="宋体" w:hAnsi="宋体" w:eastAsia="宋体" w:cs="宋体"/>
                <w:b/>
                <w:bCs/>
                <w:sz w:val="20"/>
                <w:szCs w:val="20"/>
                <w:lang w:eastAsia="zh-CN"/>
              </w:rPr>
            </w:pPr>
            <w:r>
              <w:rPr>
                <w:rFonts w:hint="eastAsia" w:ascii="宋体" w:hAnsi="宋体" w:eastAsia="宋体" w:cs="宋体"/>
                <w:b/>
                <w:bCs/>
                <w:sz w:val="20"/>
                <w:szCs w:val="20"/>
                <w:lang w:eastAsia="zh-CN"/>
              </w:rPr>
              <w:t>合计(元)</w:t>
            </w:r>
          </w:p>
        </w:tc>
        <w:tc>
          <w:tcPr>
            <w:tcW w:w="1559" w:type="dxa"/>
            <w:tcBorders>
              <w:top w:val="nil"/>
              <w:left w:val="nil"/>
              <w:bottom w:val="single" w:color="auto" w:sz="4" w:space="0"/>
              <w:right w:val="single" w:color="auto" w:sz="4" w:space="0"/>
            </w:tcBorders>
            <w:shd w:val="clear" w:color="000000" w:fill="FFFFFF"/>
            <w:vAlign w:val="center"/>
          </w:tcPr>
          <w:p w14:paraId="3AFC93F6">
            <w:pPr>
              <w:jc w:val="right"/>
              <w:rPr>
                <w:rFonts w:ascii="宋体" w:hAnsi="宋体" w:eastAsia="宋体" w:cs="宋体"/>
                <w:b/>
                <w:bCs/>
                <w:sz w:val="20"/>
                <w:szCs w:val="20"/>
                <w:lang w:eastAsia="zh-CN"/>
              </w:rPr>
            </w:pPr>
            <w:r>
              <w:rPr>
                <w:rFonts w:hint="eastAsia" w:ascii="宋体" w:hAnsi="宋体" w:eastAsia="宋体" w:cs="宋体"/>
                <w:b/>
                <w:bCs/>
                <w:sz w:val="20"/>
                <w:szCs w:val="20"/>
                <w:lang w:eastAsia="zh-CN"/>
              </w:rPr>
              <w:t>　</w:t>
            </w:r>
          </w:p>
        </w:tc>
        <w:tc>
          <w:tcPr>
            <w:tcW w:w="2268" w:type="dxa"/>
            <w:tcBorders>
              <w:top w:val="nil"/>
              <w:left w:val="nil"/>
              <w:bottom w:val="single" w:color="auto" w:sz="4" w:space="0"/>
              <w:right w:val="single" w:color="auto" w:sz="8" w:space="0"/>
            </w:tcBorders>
            <w:shd w:val="clear" w:color="000000" w:fill="FFFFFF"/>
            <w:vAlign w:val="center"/>
          </w:tcPr>
          <w:p w14:paraId="7A9638A4">
            <w:pPr>
              <w:jc w:val="center"/>
              <w:rPr>
                <w:rFonts w:ascii="宋体" w:hAnsi="宋体" w:eastAsia="宋体" w:cs="宋体"/>
                <w:sz w:val="20"/>
                <w:szCs w:val="20"/>
                <w:lang w:eastAsia="zh-CN"/>
              </w:rPr>
            </w:pPr>
            <w:r>
              <w:rPr>
                <w:rFonts w:hint="eastAsia" w:ascii="宋体" w:hAnsi="宋体" w:eastAsia="宋体" w:cs="宋体"/>
                <w:sz w:val="20"/>
                <w:szCs w:val="20"/>
                <w:lang w:eastAsia="zh-CN"/>
              </w:rPr>
              <w:t>　以上各项之和</w:t>
            </w:r>
          </w:p>
        </w:tc>
      </w:tr>
    </w:tbl>
    <w:p w14:paraId="665BA86B">
      <w:pPr>
        <w:widowControl w:val="0"/>
        <w:ind w:firstLine="420" w:firstLineChars="200"/>
        <w:jc w:val="both"/>
        <w:rPr>
          <w:rFonts w:ascii="宋体" w:hAnsi="宋体" w:eastAsia="宋体"/>
          <w:kern w:val="2"/>
          <w:sz w:val="21"/>
          <w:lang w:eastAsia="zh-CN"/>
        </w:rPr>
      </w:pPr>
      <w:r>
        <w:rPr>
          <w:rFonts w:hint="eastAsia" w:ascii="宋体" w:hAnsi="宋体" w:eastAsia="宋体"/>
          <w:kern w:val="2"/>
          <w:sz w:val="21"/>
          <w:lang w:eastAsia="zh-CN"/>
        </w:rPr>
        <w:t>注：1、所有价格应按“招标文件”中规定的货币单位填写；</w:t>
      </w:r>
    </w:p>
    <w:p w14:paraId="1D7461EE">
      <w:pPr>
        <w:widowControl w:val="0"/>
        <w:numPr>
          <w:ilvl w:val="0"/>
          <w:numId w:val="2"/>
        </w:numPr>
        <w:ind w:firstLine="840" w:firstLineChars="400"/>
        <w:jc w:val="both"/>
        <w:rPr>
          <w:rFonts w:ascii="宋体" w:hAnsi="宋体" w:eastAsia="宋体"/>
          <w:kern w:val="2"/>
          <w:sz w:val="21"/>
          <w:lang w:eastAsia="zh-CN"/>
        </w:rPr>
      </w:pPr>
      <w:r>
        <w:rPr>
          <w:rFonts w:hint="eastAsia" w:ascii="宋体" w:hAnsi="宋体" w:eastAsia="宋体"/>
          <w:kern w:val="2"/>
          <w:sz w:val="21"/>
          <w:lang w:eastAsia="zh-CN"/>
        </w:rPr>
        <w:t>本表格仅为指导性范本，供应商可根据项目具体情况对各分项内容进行调整提供详细分项报价。</w:t>
      </w:r>
    </w:p>
    <w:p w14:paraId="1FC64B5B">
      <w:pPr>
        <w:widowControl w:val="0"/>
        <w:spacing w:after="120"/>
        <w:ind w:left="480" w:leftChars="200" w:firstLine="420" w:firstLineChars="200"/>
        <w:jc w:val="both"/>
        <w:rPr>
          <w:rFonts w:eastAsia="宋体"/>
          <w:kern w:val="2"/>
          <w:sz w:val="21"/>
          <w:lang w:eastAsia="zh-CN"/>
        </w:rPr>
      </w:pPr>
    </w:p>
    <w:p w14:paraId="591AC7BC">
      <w:pPr>
        <w:widowControl w:val="0"/>
        <w:spacing w:after="120"/>
        <w:ind w:left="480" w:leftChars="200" w:firstLine="420" w:firstLineChars="200"/>
        <w:jc w:val="both"/>
        <w:rPr>
          <w:rFonts w:eastAsia="宋体"/>
          <w:kern w:val="2"/>
          <w:sz w:val="21"/>
          <w:lang w:eastAsia="zh-CN"/>
        </w:rPr>
      </w:pPr>
    </w:p>
    <w:p w14:paraId="10DD61C0">
      <w:pPr>
        <w:widowControl w:val="0"/>
        <w:ind w:firstLine="420" w:firstLineChars="200"/>
        <w:jc w:val="center"/>
        <w:rPr>
          <w:rFonts w:eastAsia="宋体"/>
          <w:kern w:val="2"/>
          <w:sz w:val="21"/>
          <w:szCs w:val="21"/>
          <w:lang w:eastAsia="zh-CN"/>
        </w:rPr>
      </w:pPr>
    </w:p>
    <w:p w14:paraId="6026863A">
      <w:pPr>
        <w:rPr>
          <w:rFonts w:ascii="Arial" w:hAnsi="Arial" w:eastAsia="黑体"/>
          <w:bCs/>
          <w:kern w:val="2"/>
          <w:lang w:eastAsia="zh-CN"/>
        </w:rPr>
      </w:pPr>
      <w:r>
        <w:rPr>
          <w:rFonts w:eastAsia="宋体"/>
          <w:b/>
          <w:kern w:val="2"/>
          <w:lang w:eastAsia="zh-CN"/>
        </w:rPr>
        <w:br w:type="page"/>
      </w:r>
    </w:p>
    <w:p w14:paraId="29675C17">
      <w:pPr>
        <w:widowControl w:val="0"/>
        <w:jc w:val="both"/>
        <w:rPr>
          <w:rFonts w:eastAsia="宋体"/>
          <w:kern w:val="2"/>
          <w:sz w:val="21"/>
          <w:lang w:eastAsia="zh-CN"/>
        </w:rPr>
      </w:pPr>
    </w:p>
    <w:p w14:paraId="7323A84B">
      <w:pPr>
        <w:keepNext/>
        <w:keepLines/>
        <w:widowControl w:val="0"/>
        <w:spacing w:before="260" w:after="260"/>
        <w:jc w:val="center"/>
        <w:outlineLvl w:val="2"/>
        <w:rPr>
          <w:rFonts w:ascii="宋体" w:hAnsi="宋体" w:eastAsia="宋体" w:cs="宋体"/>
          <w:b/>
          <w:kern w:val="2"/>
          <w:sz w:val="28"/>
          <w:lang w:eastAsia="zh-CN"/>
        </w:rPr>
      </w:pPr>
      <w:bookmarkStart w:id="23" w:name="OLE_LINK33"/>
      <w:r>
        <w:rPr>
          <w:rFonts w:hint="eastAsia" w:ascii="宋体" w:hAnsi="宋体" w:eastAsia="宋体" w:cs="宋体"/>
          <w:b/>
          <w:kern w:val="2"/>
          <w:sz w:val="28"/>
          <w:lang w:eastAsia="zh-CN"/>
        </w:rPr>
        <w:t>八、</w:t>
      </w:r>
      <w:bookmarkEnd w:id="23"/>
      <w:r>
        <w:rPr>
          <w:rFonts w:hint="eastAsia" w:ascii="宋体" w:hAnsi="宋体" w:eastAsia="宋体" w:cs="宋体"/>
          <w:b/>
          <w:kern w:val="2"/>
          <w:sz w:val="28"/>
          <w:lang w:eastAsia="zh-CN"/>
        </w:rPr>
        <w:t>响应供应商认为需要补充的内容</w:t>
      </w:r>
    </w:p>
    <w:p w14:paraId="07A4E568">
      <w:pPr>
        <w:widowControl w:val="0"/>
        <w:jc w:val="both"/>
        <w:rPr>
          <w:rFonts w:eastAsia="宋体"/>
          <w:color w:val="000000"/>
          <w:kern w:val="2"/>
          <w:sz w:val="21"/>
          <w:lang w:eastAsia="zh-CN"/>
        </w:rPr>
      </w:pPr>
    </w:p>
    <w:p w14:paraId="09581D98">
      <w:pPr>
        <w:jc w:val="center"/>
        <w:rPr>
          <w:rFonts w:ascii="黑体" w:hAnsi="宋体" w:eastAsia="黑体"/>
          <w:szCs w:val="20"/>
          <w:lang w:eastAsia="zh-CN"/>
        </w:rPr>
      </w:pPr>
      <w:r>
        <w:rPr>
          <w:rFonts w:hint="eastAsia" w:ascii="黑体" w:hAnsi="宋体" w:eastAsia="黑体"/>
          <w:szCs w:val="20"/>
          <w:lang w:eastAsia="zh-CN"/>
        </w:rPr>
        <w:t>（一）</w:t>
      </w:r>
      <w:r>
        <w:rPr>
          <w:rFonts w:hint="eastAsia" w:ascii="黑体" w:hAnsi="宋体" w:eastAsia="黑体"/>
          <w:szCs w:val="20"/>
          <w:highlight w:val="yellow"/>
          <w:lang w:eastAsia="zh-CN"/>
        </w:rPr>
        <w:t>政府采购违法行为风险知悉确认书</w:t>
      </w:r>
    </w:p>
    <w:p w14:paraId="383EEE82">
      <w:pPr>
        <w:widowControl w:val="0"/>
        <w:spacing w:after="120" w:afterLines="50" w:line="360" w:lineRule="exact"/>
        <w:ind w:firstLine="482" w:firstLineChars="200"/>
        <w:jc w:val="both"/>
        <w:rPr>
          <w:rFonts w:ascii="Calibri" w:hAnsi="Calibri" w:eastAsia="宋体"/>
          <w:b/>
          <w:bCs/>
          <w:kern w:val="2"/>
          <w:lang w:eastAsia="zh-CN"/>
        </w:rPr>
      </w:pPr>
      <w:r>
        <w:rPr>
          <w:rFonts w:hint="eastAsia" w:ascii="Calibri" w:hAnsi="Calibri" w:eastAsia="宋体"/>
          <w:b/>
          <w:bCs/>
          <w:kern w:val="2"/>
          <w:lang w:eastAsia="zh-CN"/>
        </w:rPr>
        <w:t>我单位在响应前已充分知悉以下情形为参与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8117"/>
      </w:tblGrid>
      <w:tr w14:paraId="6265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14:paraId="0E7684F3">
            <w:pPr>
              <w:widowControl w:val="0"/>
              <w:spacing w:line="400" w:lineRule="exact"/>
              <w:jc w:val="center"/>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序号</w:t>
            </w:r>
          </w:p>
        </w:tc>
        <w:tc>
          <w:tcPr>
            <w:tcW w:w="7811" w:type="dxa"/>
          </w:tcPr>
          <w:p w14:paraId="62CF75A7">
            <w:pPr>
              <w:widowControl w:val="0"/>
              <w:spacing w:line="400" w:lineRule="exact"/>
              <w:jc w:val="center"/>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供应商参与响应禁止情形</w:t>
            </w:r>
          </w:p>
        </w:tc>
      </w:tr>
      <w:tr w14:paraId="0CD8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5BC3AD5">
            <w:pPr>
              <w:widowControl w:val="0"/>
              <w:spacing w:line="400" w:lineRule="exact"/>
              <w:jc w:val="center"/>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1</w:t>
            </w:r>
          </w:p>
        </w:tc>
        <w:tc>
          <w:tcPr>
            <w:tcW w:w="7811" w:type="dxa"/>
            <w:vAlign w:val="center"/>
          </w:tcPr>
          <w:p w14:paraId="7D8A9F58">
            <w:pPr>
              <w:widowControl w:val="0"/>
              <w:spacing w:line="400" w:lineRule="exact"/>
              <w:jc w:val="left"/>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与其他响应供应商的法定代表人、主要经营负责人、响应授权代表人、项目负责人、主要技术人员为同一人、属同一单位或者在同一单位缴纳社会保险。</w:t>
            </w:r>
          </w:p>
        </w:tc>
      </w:tr>
      <w:tr w14:paraId="2250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0298CEE9">
            <w:pPr>
              <w:widowControl w:val="0"/>
              <w:spacing w:line="400" w:lineRule="exact"/>
              <w:jc w:val="center"/>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2</w:t>
            </w:r>
          </w:p>
        </w:tc>
        <w:tc>
          <w:tcPr>
            <w:tcW w:w="7811" w:type="dxa"/>
            <w:vAlign w:val="center"/>
          </w:tcPr>
          <w:p w14:paraId="0906A2F5">
            <w:pPr>
              <w:widowControl w:val="0"/>
              <w:spacing w:line="400" w:lineRule="exact"/>
              <w:jc w:val="left"/>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参与本项目采购活动时，与其他响应供应商存在单位负责人为同一人或直接控股、管理关系。</w:t>
            </w:r>
          </w:p>
        </w:tc>
      </w:tr>
      <w:tr w14:paraId="5F4A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A9DAE47">
            <w:pPr>
              <w:widowControl w:val="0"/>
              <w:spacing w:line="400" w:lineRule="exact"/>
              <w:jc w:val="center"/>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3</w:t>
            </w:r>
          </w:p>
        </w:tc>
        <w:tc>
          <w:tcPr>
            <w:tcW w:w="7811" w:type="dxa"/>
            <w:vAlign w:val="center"/>
          </w:tcPr>
          <w:p w14:paraId="0379AD10">
            <w:pPr>
              <w:widowControl w:val="0"/>
              <w:spacing w:line="400" w:lineRule="exact"/>
              <w:jc w:val="left"/>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与其他响应供应商的响应文件或部分响应文件相互混装或存在非正常一致。</w:t>
            </w:r>
          </w:p>
        </w:tc>
      </w:tr>
      <w:tr w14:paraId="3C52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02CB35D">
            <w:pPr>
              <w:widowControl w:val="0"/>
              <w:spacing w:line="400" w:lineRule="exact"/>
              <w:jc w:val="center"/>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4</w:t>
            </w:r>
          </w:p>
        </w:tc>
        <w:tc>
          <w:tcPr>
            <w:tcW w:w="7811" w:type="dxa"/>
            <w:vAlign w:val="center"/>
          </w:tcPr>
          <w:p w14:paraId="70291D68">
            <w:pPr>
              <w:widowControl w:val="0"/>
              <w:spacing w:line="400" w:lineRule="exact"/>
              <w:jc w:val="left"/>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与其他响应供应商的响应文件由同一单位或者同一人编制，或者使用同一设备编制（“文件制作机器码”“文件创建标识码”一致）。</w:t>
            </w:r>
          </w:p>
        </w:tc>
      </w:tr>
      <w:tr w14:paraId="33E6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001E8442">
            <w:pPr>
              <w:widowControl w:val="0"/>
              <w:spacing w:line="400" w:lineRule="exact"/>
              <w:jc w:val="center"/>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5</w:t>
            </w:r>
          </w:p>
        </w:tc>
        <w:tc>
          <w:tcPr>
            <w:tcW w:w="7811" w:type="dxa"/>
            <w:vAlign w:val="center"/>
          </w:tcPr>
          <w:p w14:paraId="1A38C9B1">
            <w:pPr>
              <w:widowControl w:val="0"/>
              <w:spacing w:line="400" w:lineRule="exact"/>
              <w:jc w:val="left"/>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提供未经出具机构核实的虚假的检验检测报告、业绩材料、社保缴纳证明、学历学位证书、职称认证证书等材料。</w:t>
            </w:r>
          </w:p>
        </w:tc>
      </w:tr>
      <w:tr w14:paraId="1E8A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471BF23">
            <w:pPr>
              <w:widowControl w:val="0"/>
              <w:spacing w:line="400" w:lineRule="exact"/>
              <w:jc w:val="center"/>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6</w:t>
            </w:r>
          </w:p>
        </w:tc>
        <w:tc>
          <w:tcPr>
            <w:tcW w:w="7811" w:type="dxa"/>
            <w:vAlign w:val="center"/>
          </w:tcPr>
          <w:p w14:paraId="6FDB21C3">
            <w:pPr>
              <w:widowControl w:val="0"/>
              <w:spacing w:line="400" w:lineRule="exact"/>
              <w:jc w:val="left"/>
              <w:rPr>
                <w:rFonts w:ascii="仿宋_GB2312" w:hAnsi="仿宋_GB2312" w:eastAsia="仿宋_GB2312" w:cs="仿宋_GB2312"/>
                <w:kern w:val="2"/>
                <w:lang w:eastAsia="zh-CN"/>
              </w:rPr>
            </w:pPr>
            <w:r>
              <w:rPr>
                <w:rFonts w:hint="eastAsia" w:ascii="仿宋_GB2312" w:hAnsi="仿宋_GB2312" w:eastAsia="仿宋_GB2312" w:cs="仿宋_GB2312"/>
                <w:kern w:val="2"/>
                <w:lang w:eastAsia="zh-CN"/>
              </w:rPr>
              <w:t>擅自将响应密钥或电子营业执照出借他人使用或未妥善保管。</w:t>
            </w:r>
          </w:p>
        </w:tc>
      </w:tr>
    </w:tbl>
    <w:p w14:paraId="49B2D820">
      <w:pPr>
        <w:widowControl w:val="0"/>
        <w:spacing w:before="120" w:beforeLines="50" w:line="380" w:lineRule="exact"/>
        <w:ind w:firstLine="422" w:firstLineChars="200"/>
        <w:jc w:val="both"/>
        <w:rPr>
          <w:rFonts w:ascii="Calibri" w:hAnsi="Calibri" w:eastAsia="宋体"/>
          <w:b/>
          <w:kern w:val="2"/>
          <w:sz w:val="21"/>
          <w:lang w:eastAsia="zh-CN"/>
        </w:rPr>
      </w:pPr>
      <w:r>
        <w:rPr>
          <w:rFonts w:hint="eastAsia" w:ascii="Calibri" w:hAnsi="Calibri" w:eastAsia="宋体"/>
          <w:b/>
          <w:kern w:val="2"/>
          <w:sz w:val="21"/>
          <w:lang w:eastAsia="zh-CN"/>
        </w:rPr>
        <w:t>一、我单位已充分知悉“隐瞒真实情况，提供虚假资料”的法定情形，包括但不限于：</w:t>
      </w:r>
    </w:p>
    <w:p w14:paraId="5B1AA4BC">
      <w:pPr>
        <w:widowControl w:val="0"/>
        <w:spacing w:line="38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（一）通过转让或者租借等方式从其他单位获取资格或者资质证书响应的。</w:t>
      </w:r>
    </w:p>
    <w:p w14:paraId="5E1381AA">
      <w:pPr>
        <w:widowControl w:val="0"/>
        <w:spacing w:line="38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（二）由其他单位或者其他单位负责人在响应供应商编制的响应文件上加盖印章或者签字的。</w:t>
      </w:r>
    </w:p>
    <w:p w14:paraId="0F59EBF4">
      <w:pPr>
        <w:widowControl w:val="0"/>
        <w:spacing w:line="38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（三）项目负责人或者主要技术人员不是本单位人员的。</w:t>
      </w:r>
    </w:p>
    <w:p w14:paraId="77C3ADA4">
      <w:pPr>
        <w:widowControl w:val="0"/>
        <w:spacing w:line="38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（四）响应保证金不是从响应供应商基本账户转出的。</w:t>
      </w:r>
    </w:p>
    <w:p w14:paraId="1A6B0DDD">
      <w:pPr>
        <w:widowControl w:val="0"/>
        <w:spacing w:line="38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（五）其他隐瞒真实情况、提供虚假资料的行为。</w:t>
      </w:r>
    </w:p>
    <w:p w14:paraId="7509FC04">
      <w:pPr>
        <w:widowControl w:val="0"/>
        <w:spacing w:line="380" w:lineRule="exact"/>
        <w:ind w:firstLine="422" w:firstLineChars="200"/>
        <w:jc w:val="both"/>
        <w:rPr>
          <w:rFonts w:ascii="Calibri" w:hAnsi="Calibri" w:eastAsia="宋体"/>
          <w:b/>
          <w:kern w:val="2"/>
          <w:sz w:val="21"/>
          <w:lang w:eastAsia="zh-CN"/>
        </w:rPr>
      </w:pPr>
      <w:r>
        <w:rPr>
          <w:rFonts w:hint="eastAsia" w:ascii="Calibri" w:hAnsi="Calibri" w:eastAsia="宋体"/>
          <w:b/>
          <w:kern w:val="2"/>
          <w:sz w:val="21"/>
          <w:lang w:eastAsia="zh-CN"/>
        </w:rPr>
        <w:t>二、我单位已充分知悉“与其他采购参加人串通响应”的法定情形，包括但不限于：</w:t>
      </w:r>
    </w:p>
    <w:p w14:paraId="5688135F">
      <w:pPr>
        <w:widowControl w:val="0"/>
        <w:spacing w:line="38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（一）响应供应商之间相互约定给予未中标的供应商利益补偿。</w:t>
      </w:r>
    </w:p>
    <w:p w14:paraId="07EC99C3">
      <w:pPr>
        <w:widowControl w:val="0"/>
        <w:spacing w:line="38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（二）不同响应供应商的法定代表人、主要经营负责人、项目响应授权代表人、项目负责人、主要技术人员为同一人、属同一单位或者在同一单位缴纳社会保险。</w:t>
      </w:r>
    </w:p>
    <w:p w14:paraId="7830BADD">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（三）不同响应供应商的响应文件由同一单位或者同一人编制，或者由同一人分阶段参与编制的。</w:t>
      </w:r>
    </w:p>
    <w:p w14:paraId="6F9874BC">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（四）不同响应供应商的响应文件或部分响应文件相互混装。</w:t>
      </w:r>
    </w:p>
    <w:p w14:paraId="7FEF0CB9">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（五）不同响应供应商的响应文件内容存在非正常一致。</w:t>
      </w:r>
    </w:p>
    <w:p w14:paraId="220BD9D0">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（六）由同一单位工作人员为两家以上（含两家）供应商进行同一项响应活动的。</w:t>
      </w:r>
    </w:p>
    <w:p w14:paraId="2097F41D">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（七）不同投标人的响应报价呈规律性差异。</w:t>
      </w:r>
    </w:p>
    <w:p w14:paraId="45D1840E">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（八）不同投标人的响应保证金从同一单位或者个人的账户转出。</w:t>
      </w:r>
    </w:p>
    <w:p w14:paraId="0122DFDC">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（九）主管部门依照法律、法规认定的其他情形。</w:t>
      </w:r>
    </w:p>
    <w:p w14:paraId="107CE2FA">
      <w:pPr>
        <w:widowControl w:val="0"/>
        <w:spacing w:line="340" w:lineRule="exact"/>
        <w:ind w:firstLine="422" w:firstLineChars="200"/>
        <w:jc w:val="both"/>
        <w:rPr>
          <w:rFonts w:ascii="Calibri" w:hAnsi="Calibri" w:eastAsia="宋体"/>
          <w:b/>
          <w:kern w:val="2"/>
          <w:sz w:val="21"/>
          <w:lang w:eastAsia="zh-CN"/>
        </w:rPr>
      </w:pPr>
      <w:r>
        <w:rPr>
          <w:rFonts w:hint="eastAsia" w:ascii="Calibri" w:hAnsi="Calibri" w:eastAsia="宋体"/>
          <w:b/>
          <w:kern w:val="2"/>
          <w:sz w:val="21"/>
          <w:lang w:eastAsia="zh-CN"/>
        </w:rPr>
        <w:t>三、我单位已充分知悉下列情形存在法律风险，在响应前已对相关风险事项进行排查。</w:t>
      </w:r>
    </w:p>
    <w:p w14:paraId="6D84625B">
      <w:pPr>
        <w:widowControl w:val="0"/>
        <w:spacing w:line="340" w:lineRule="exact"/>
        <w:ind w:firstLine="420" w:firstLineChars="200"/>
        <w:jc w:val="both"/>
        <w:rPr>
          <w:rFonts w:ascii="Calibri" w:hAnsi="Calibri" w:eastAsia="宋体"/>
          <w:b/>
          <w:kern w:val="2"/>
          <w:sz w:val="21"/>
          <w:lang w:eastAsia="zh-CN"/>
        </w:rPr>
      </w:pPr>
      <w:r>
        <w:rPr>
          <w:rFonts w:hint="eastAsia" w:ascii="Calibri" w:hAnsi="Calibri" w:eastAsia="宋体"/>
          <w:kern w:val="2"/>
          <w:sz w:val="21"/>
          <w:lang w:eastAsia="zh-CN"/>
        </w:rPr>
        <w:t>（一）对于从其他主体获取的响应资料，我单位应审慎核查，确保其真实性。</w:t>
      </w:r>
      <w:r>
        <w:rPr>
          <w:rFonts w:hint="eastAsia" w:ascii="Calibri" w:hAnsi="Calibri" w:eastAsia="宋体"/>
          <w:b/>
          <w:kern w:val="2"/>
          <w:sz w:val="21"/>
          <w:lang w:eastAsia="zh-CN"/>
        </w:rPr>
        <w:t>如主管部门查实响应文件中存在虚假资料的，无论相关资料是否由第三方或本公司员工提供，均不影响主管部门对供应商存在“隐瞒真实情况，提供虚假资料”违法行为的认定。</w:t>
      </w:r>
    </w:p>
    <w:p w14:paraId="2C12506E">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（二）对于涉及国家机关出具的公文、证件、证明材料等文件，一旦涉嫌虚假，经查实，主管部门将依法从严处理，并移送有关部门追究法律责任；涉嫌犯罪的，移送司法机关处理。</w:t>
      </w:r>
    </w:p>
    <w:p w14:paraId="4BC1246B">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（三）我单位对响应电子密钥或电子营业执照负有妥善保管、及时变更和续期等主体责任；使用电子密钥或电子营业执照在深圳政府采购网站进行的活动，均具有法律效力，须承担相应的法律后果。若</w:t>
      </w:r>
      <w:r>
        <w:rPr>
          <w:rFonts w:hint="eastAsia" w:ascii="Calibri" w:hAnsi="Calibri" w:eastAsia="宋体"/>
          <w:b/>
          <w:bCs/>
          <w:kern w:val="2"/>
          <w:sz w:val="21"/>
          <w:lang w:eastAsia="zh-CN"/>
        </w:rPr>
        <w:t>擅自将响应密钥或电子营业执照出借他人使用所造成的法律后果，由我单位自行承担</w:t>
      </w:r>
      <w:r>
        <w:rPr>
          <w:rFonts w:hint="eastAsia" w:ascii="Calibri" w:hAnsi="Calibri" w:eastAsia="宋体"/>
          <w:kern w:val="2"/>
          <w:sz w:val="21"/>
          <w:lang w:eastAsia="zh-CN"/>
        </w:rPr>
        <w:t>。</w:t>
      </w:r>
    </w:p>
    <w:p w14:paraId="699BB4C7">
      <w:pPr>
        <w:widowControl w:val="0"/>
        <w:spacing w:line="340" w:lineRule="exact"/>
        <w:ind w:firstLine="422" w:firstLineChars="200"/>
        <w:jc w:val="both"/>
        <w:rPr>
          <w:rFonts w:ascii="Calibri" w:hAnsi="Calibri" w:eastAsia="宋体"/>
          <w:b/>
          <w:kern w:val="2"/>
          <w:sz w:val="21"/>
          <w:lang w:eastAsia="zh-CN"/>
        </w:rPr>
      </w:pPr>
      <w:r>
        <w:rPr>
          <w:rFonts w:hint="eastAsia" w:ascii="Calibri" w:hAnsi="Calibri" w:eastAsia="宋体"/>
          <w:b/>
          <w:kern w:val="2"/>
          <w:sz w:val="21"/>
          <w:lang w:eastAsia="zh-CN"/>
        </w:rPr>
        <w:t>四、我单位已充分知悉政府采购违法、违规行为的法律后果。</w:t>
      </w:r>
    </w:p>
    <w:p w14:paraId="134A5752">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2694BBCF">
      <w:pPr>
        <w:widowControl w:val="0"/>
        <w:spacing w:line="340" w:lineRule="exact"/>
        <w:ind w:firstLine="420" w:firstLineChars="200"/>
        <w:jc w:val="both"/>
        <w:rPr>
          <w:rFonts w:ascii="Calibri" w:hAnsi="Calibri" w:eastAsia="宋体"/>
          <w:kern w:val="2"/>
          <w:sz w:val="21"/>
          <w:lang w:eastAsia="zh-CN"/>
        </w:rPr>
      </w:pPr>
      <w:r>
        <w:rPr>
          <w:rFonts w:hint="eastAsia" w:ascii="Calibri" w:hAnsi="Calibri" w:eastAsia="宋体"/>
          <w:kern w:val="2"/>
          <w:sz w:val="21"/>
          <w:lang w:eastAsia="zh-CN"/>
        </w:rPr>
        <w:t>以下文字请响应供应商抄写并确认：“我单位已仔细阅读《政府采购违法行为风险知悉确认书》，充分知悉违法行为的法律后果，并承诺将严谨、诚信、依法依规参与政府采购活动”。</w:t>
      </w:r>
    </w:p>
    <w:tbl>
      <w:tblPr>
        <w:tblStyle w:val="31"/>
        <w:tblW w:w="5000" w:type="pct"/>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56"/>
      </w:tblGrid>
      <w:tr w14:paraId="1D0D4F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14:paraId="139819EE">
            <w:pPr>
              <w:widowControl w:val="0"/>
              <w:autoSpaceDE w:val="0"/>
              <w:autoSpaceDN w:val="0"/>
              <w:spacing w:line="340" w:lineRule="exact"/>
              <w:ind w:firstLine="1866"/>
              <w:jc w:val="both"/>
              <w:rPr>
                <w:rFonts w:ascii="宋体" w:hAnsi="宋体" w:eastAsia="宋体"/>
                <w:spacing w:val="-4"/>
                <w:sz w:val="21"/>
                <w:szCs w:val="21"/>
                <w:lang w:eastAsia="zh-CN"/>
              </w:rPr>
            </w:pPr>
          </w:p>
        </w:tc>
      </w:tr>
      <w:tr w14:paraId="74C85FD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30C9BBEF">
            <w:pPr>
              <w:widowControl w:val="0"/>
              <w:autoSpaceDE w:val="0"/>
              <w:autoSpaceDN w:val="0"/>
              <w:spacing w:line="340" w:lineRule="exact"/>
              <w:ind w:firstLine="1866"/>
              <w:jc w:val="both"/>
              <w:rPr>
                <w:rFonts w:ascii="宋体" w:hAnsi="宋体" w:eastAsia="宋体"/>
                <w:spacing w:val="-4"/>
                <w:sz w:val="21"/>
                <w:szCs w:val="21"/>
                <w:lang w:eastAsia="zh-CN"/>
              </w:rPr>
            </w:pPr>
          </w:p>
        </w:tc>
      </w:tr>
      <w:tr w14:paraId="2B8F538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04CADB96">
            <w:pPr>
              <w:widowControl w:val="0"/>
              <w:autoSpaceDE w:val="0"/>
              <w:autoSpaceDN w:val="0"/>
              <w:spacing w:line="340" w:lineRule="exact"/>
              <w:ind w:firstLine="1866"/>
              <w:jc w:val="both"/>
              <w:rPr>
                <w:rFonts w:ascii="宋体" w:hAnsi="宋体" w:eastAsia="宋体"/>
                <w:spacing w:val="-4"/>
                <w:sz w:val="21"/>
                <w:szCs w:val="21"/>
                <w:lang w:eastAsia="zh-CN"/>
              </w:rPr>
            </w:pPr>
          </w:p>
        </w:tc>
      </w:tr>
      <w:tr w14:paraId="30C2E09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14:paraId="546E39F0">
            <w:pPr>
              <w:widowControl w:val="0"/>
              <w:autoSpaceDE w:val="0"/>
              <w:autoSpaceDN w:val="0"/>
              <w:spacing w:line="340" w:lineRule="exact"/>
              <w:ind w:firstLine="1866"/>
              <w:jc w:val="both"/>
              <w:rPr>
                <w:rFonts w:ascii="宋体" w:hAnsi="宋体" w:eastAsia="宋体"/>
                <w:spacing w:val="-4"/>
                <w:sz w:val="21"/>
                <w:szCs w:val="21"/>
                <w:lang w:eastAsia="zh-CN"/>
              </w:rPr>
            </w:pPr>
          </w:p>
        </w:tc>
      </w:tr>
    </w:tbl>
    <w:p w14:paraId="0C643F4C">
      <w:pPr>
        <w:wordWrap w:val="0"/>
        <w:autoSpaceDE w:val="0"/>
        <w:autoSpaceDN w:val="0"/>
        <w:spacing w:line="340" w:lineRule="exact"/>
        <w:ind w:right="808" w:firstLine="404" w:firstLineChars="200"/>
        <w:jc w:val="right"/>
        <w:rPr>
          <w:rFonts w:ascii="宋体" w:hAnsi="宋体" w:eastAsia="宋体"/>
          <w:spacing w:val="-4"/>
          <w:sz w:val="21"/>
          <w:szCs w:val="21"/>
          <w:lang w:eastAsia="zh-CN"/>
        </w:rPr>
      </w:pPr>
    </w:p>
    <w:p w14:paraId="4AB9E5D1">
      <w:pPr>
        <w:wordWrap w:val="0"/>
        <w:autoSpaceDE w:val="0"/>
        <w:autoSpaceDN w:val="0"/>
        <w:spacing w:line="340" w:lineRule="exact"/>
        <w:ind w:right="808" w:firstLine="404" w:firstLineChars="200"/>
        <w:jc w:val="right"/>
        <w:rPr>
          <w:rFonts w:ascii="宋体" w:hAnsi="宋体" w:eastAsia="宋体"/>
          <w:spacing w:val="-4"/>
          <w:sz w:val="21"/>
          <w:szCs w:val="21"/>
          <w:u w:val="single"/>
          <w:lang w:eastAsia="zh-CN"/>
        </w:rPr>
      </w:pPr>
      <w:r>
        <w:rPr>
          <w:rFonts w:hint="eastAsia" w:ascii="宋体" w:hAnsi="宋体" w:eastAsia="宋体"/>
          <w:spacing w:val="-4"/>
          <w:sz w:val="21"/>
          <w:szCs w:val="21"/>
          <w:highlight w:val="yellow"/>
          <w:lang w:eastAsia="zh-CN"/>
        </w:rPr>
        <w:t>单位负责人签名：</w:t>
      </w:r>
      <w:r>
        <w:rPr>
          <w:rFonts w:hint="eastAsia" w:ascii="宋体" w:hAnsi="宋体" w:eastAsia="宋体"/>
          <w:spacing w:val="-4"/>
          <w:sz w:val="21"/>
          <w:szCs w:val="21"/>
          <w:u w:val="single"/>
          <w:lang w:eastAsia="zh-CN"/>
        </w:rPr>
        <w:t xml:space="preserve">              </w:t>
      </w:r>
    </w:p>
    <w:p w14:paraId="3D14C118">
      <w:pPr>
        <w:wordWrap w:val="0"/>
        <w:autoSpaceDE w:val="0"/>
        <w:autoSpaceDN w:val="0"/>
        <w:spacing w:line="340" w:lineRule="exact"/>
        <w:ind w:right="808" w:firstLine="404" w:firstLineChars="200"/>
        <w:jc w:val="center"/>
        <w:rPr>
          <w:rFonts w:ascii="宋体" w:hAnsi="宋体" w:eastAsia="宋体"/>
          <w:spacing w:val="-4"/>
          <w:sz w:val="21"/>
          <w:szCs w:val="21"/>
          <w:u w:val="single"/>
          <w:lang w:eastAsia="zh-CN"/>
        </w:rPr>
      </w:pPr>
      <w:r>
        <w:rPr>
          <w:rFonts w:hint="eastAsia" w:ascii="宋体" w:hAnsi="宋体" w:eastAsia="宋体"/>
          <w:spacing w:val="-4"/>
          <w:sz w:val="21"/>
          <w:szCs w:val="21"/>
          <w:lang w:eastAsia="zh-CN"/>
        </w:rPr>
        <w:t xml:space="preserve">                                 </w:t>
      </w:r>
      <w:r>
        <w:rPr>
          <w:rFonts w:hint="eastAsia" w:ascii="宋体" w:hAnsi="宋体" w:eastAsia="宋体"/>
          <w:spacing w:val="-4"/>
          <w:sz w:val="21"/>
          <w:szCs w:val="21"/>
          <w:highlight w:val="yellow"/>
          <w:lang w:eastAsia="zh-CN"/>
        </w:rPr>
        <w:t>（加盖公章）</w:t>
      </w:r>
    </w:p>
    <w:p w14:paraId="4A866F83">
      <w:pPr>
        <w:wordWrap w:val="0"/>
        <w:autoSpaceDE w:val="0"/>
        <w:autoSpaceDN w:val="0"/>
        <w:spacing w:line="340" w:lineRule="exact"/>
        <w:ind w:right="808" w:firstLine="404" w:firstLineChars="200"/>
        <w:jc w:val="right"/>
        <w:rPr>
          <w:rFonts w:ascii="宋体" w:hAnsi="宋体" w:eastAsia="宋体"/>
          <w:spacing w:val="-4"/>
          <w:sz w:val="21"/>
          <w:szCs w:val="21"/>
          <w:u w:val="single"/>
          <w:lang w:eastAsia="zh-CN"/>
        </w:rPr>
      </w:pPr>
      <w:r>
        <w:rPr>
          <w:rFonts w:hint="eastAsia" w:ascii="宋体" w:hAnsi="宋体" w:eastAsia="宋体"/>
          <w:spacing w:val="-4"/>
          <w:sz w:val="21"/>
          <w:szCs w:val="21"/>
          <w:lang w:eastAsia="zh-CN"/>
        </w:rPr>
        <w:t xml:space="preserve">     日期：</w:t>
      </w:r>
      <w:r>
        <w:rPr>
          <w:rFonts w:hint="eastAsia" w:ascii="宋体" w:hAnsi="宋体" w:eastAsia="宋体"/>
          <w:spacing w:val="-4"/>
          <w:sz w:val="21"/>
          <w:szCs w:val="21"/>
          <w:u w:val="single"/>
          <w:lang w:eastAsia="zh-CN"/>
        </w:rPr>
        <w:t xml:space="preserve">              </w:t>
      </w:r>
    </w:p>
    <w:p w14:paraId="01C71D46">
      <w:pPr>
        <w:autoSpaceDE w:val="0"/>
        <w:autoSpaceDN w:val="0"/>
        <w:spacing w:line="340" w:lineRule="exact"/>
        <w:ind w:firstLine="406" w:firstLineChars="200"/>
        <w:rPr>
          <w:rFonts w:ascii="宋体" w:hAnsi="宋体" w:eastAsia="宋体"/>
          <w:b/>
          <w:bCs/>
          <w:spacing w:val="-4"/>
          <w:sz w:val="21"/>
          <w:szCs w:val="21"/>
          <w:lang w:eastAsia="zh-CN"/>
        </w:rPr>
      </w:pPr>
    </w:p>
    <w:p w14:paraId="6D677A90">
      <w:pPr>
        <w:autoSpaceDE w:val="0"/>
        <w:autoSpaceDN w:val="0"/>
        <w:spacing w:line="400" w:lineRule="exact"/>
        <w:ind w:firstLine="406" w:firstLineChars="200"/>
        <w:rPr>
          <w:rFonts w:ascii="宋体" w:hAnsi="宋体" w:eastAsia="宋体"/>
          <w:b/>
          <w:bCs/>
          <w:color w:val="FF0000"/>
          <w:spacing w:val="-4"/>
          <w:kern w:val="2"/>
          <w:sz w:val="21"/>
          <w:szCs w:val="21"/>
          <w:lang w:eastAsia="zh-CN" w:bidi="ar"/>
        </w:rPr>
      </w:pPr>
      <w:r>
        <w:rPr>
          <w:rFonts w:hint="eastAsia" w:ascii="宋体" w:hAnsi="宋体" w:eastAsia="宋体"/>
          <w:b/>
          <w:bCs/>
          <w:color w:val="FF0000"/>
          <w:spacing w:val="-4"/>
          <w:kern w:val="2"/>
          <w:sz w:val="21"/>
          <w:szCs w:val="21"/>
          <w:lang w:eastAsia="zh-CN" w:bidi="ar"/>
        </w:rPr>
        <w:t>注：</w:t>
      </w:r>
    </w:p>
    <w:p w14:paraId="3F192C94">
      <w:pPr>
        <w:autoSpaceDE w:val="0"/>
        <w:autoSpaceDN w:val="0"/>
        <w:spacing w:line="400" w:lineRule="exact"/>
        <w:ind w:firstLine="406" w:firstLineChars="200"/>
        <w:rPr>
          <w:rFonts w:ascii="宋体" w:hAnsi="宋体" w:eastAsia="宋体"/>
          <w:b/>
          <w:bCs/>
          <w:color w:val="FF0000"/>
          <w:spacing w:val="-4"/>
          <w:kern w:val="2"/>
          <w:sz w:val="21"/>
          <w:szCs w:val="21"/>
          <w:lang w:eastAsia="zh-CN" w:bidi="ar"/>
        </w:rPr>
      </w:pPr>
      <w:r>
        <w:rPr>
          <w:rFonts w:hint="eastAsia" w:ascii="宋体" w:hAnsi="宋体" w:eastAsia="宋体"/>
          <w:b/>
          <w:bCs/>
          <w:color w:val="FF0000"/>
          <w:spacing w:val="-4"/>
          <w:kern w:val="2"/>
          <w:sz w:val="21"/>
          <w:szCs w:val="21"/>
          <w:lang w:eastAsia="zh-CN" w:bidi="ar"/>
        </w:rPr>
        <w:t>1.《政府采购违法行为风险知悉确认书》需由</w:t>
      </w:r>
      <w:r>
        <w:rPr>
          <w:rFonts w:hint="eastAsia" w:ascii="宋体" w:hAnsi="宋体" w:eastAsia="宋体"/>
          <w:b/>
          <w:bCs/>
          <w:color w:val="FF0000"/>
          <w:spacing w:val="-4"/>
          <w:kern w:val="2"/>
          <w:sz w:val="21"/>
          <w:szCs w:val="21"/>
          <w:highlight w:val="yellow"/>
          <w:lang w:eastAsia="zh-CN" w:bidi="ar"/>
        </w:rPr>
        <w:t>响应供应商负责人签字并加盖单位公章</w:t>
      </w:r>
      <w:r>
        <w:rPr>
          <w:rFonts w:hint="eastAsia" w:ascii="宋体" w:hAnsi="宋体" w:eastAsia="宋体"/>
          <w:b/>
          <w:bCs/>
          <w:color w:val="FF0000"/>
          <w:spacing w:val="-4"/>
          <w:kern w:val="2"/>
          <w:sz w:val="21"/>
          <w:szCs w:val="21"/>
          <w:lang w:eastAsia="zh-CN" w:bidi="ar"/>
        </w:rPr>
        <w:t>后，扫描上传至响应文件一并提交。</w:t>
      </w:r>
    </w:p>
    <w:p w14:paraId="5541CA29">
      <w:pPr>
        <w:autoSpaceDE w:val="0"/>
        <w:autoSpaceDN w:val="0"/>
        <w:spacing w:line="400" w:lineRule="exact"/>
        <w:ind w:firstLine="406" w:firstLineChars="200"/>
        <w:rPr>
          <w:rFonts w:ascii="宋体" w:hAnsi="宋体" w:eastAsia="宋体"/>
          <w:b/>
          <w:bCs/>
          <w:color w:val="FF0000"/>
          <w:spacing w:val="-4"/>
          <w:kern w:val="2"/>
          <w:sz w:val="21"/>
          <w:szCs w:val="21"/>
          <w:lang w:eastAsia="zh-CN" w:bidi="ar"/>
        </w:rPr>
      </w:pPr>
      <w:r>
        <w:rPr>
          <w:rFonts w:hint="eastAsia" w:ascii="宋体" w:hAnsi="宋体" w:eastAsia="宋体"/>
          <w:b/>
          <w:bCs/>
          <w:color w:val="FF0000"/>
          <w:spacing w:val="-4"/>
          <w:kern w:val="2"/>
          <w:sz w:val="21"/>
          <w:szCs w:val="21"/>
          <w:lang w:eastAsia="zh-CN" w:bidi="ar"/>
        </w:rPr>
        <w:t>2.根据《深圳市财政局关于在采购文件及深圳政府采购智慧平台增设供应商响应特别警示条款等事宜的通知》（深财购〔2025〕7号）的要求，《政府采购违法行为风险知悉确认书》用于对供应商违法行为的提醒，不作为供应商资格性审查及符合性审查条件。</w:t>
      </w:r>
    </w:p>
    <w:p w14:paraId="357ED354">
      <w:pPr>
        <w:wordWrap w:val="0"/>
        <w:autoSpaceDE w:val="0"/>
        <w:autoSpaceDN w:val="0"/>
        <w:spacing w:line="400" w:lineRule="exact"/>
        <w:ind w:right="1414" w:firstLine="404" w:firstLineChars="200"/>
        <w:jc w:val="right"/>
        <w:rPr>
          <w:rFonts w:eastAsia="宋体"/>
          <w:lang w:eastAsia="zh-CN"/>
        </w:rPr>
      </w:pPr>
      <w:r>
        <w:rPr>
          <w:rFonts w:hint="eastAsia" w:ascii="宋体" w:hAnsi="宋体" w:eastAsia="宋体"/>
          <w:spacing w:val="-4"/>
          <w:sz w:val="21"/>
          <w:szCs w:val="21"/>
          <w:lang w:eastAsia="zh-CN"/>
        </w:rPr>
        <w:t xml:space="preserve">     </w:t>
      </w:r>
    </w:p>
    <w:p w14:paraId="41227A23">
      <w:pPr>
        <w:widowControl w:val="0"/>
        <w:spacing w:after="120"/>
        <w:ind w:left="480" w:leftChars="200" w:firstLine="420" w:firstLineChars="200"/>
        <w:jc w:val="both"/>
        <w:rPr>
          <w:rFonts w:eastAsia="宋体"/>
          <w:kern w:val="2"/>
          <w:sz w:val="21"/>
          <w:lang w:eastAsia="zh-CN"/>
        </w:rPr>
      </w:pPr>
    </w:p>
    <w:p w14:paraId="304A3629">
      <w:pPr>
        <w:widowControl w:val="0"/>
        <w:spacing w:after="120"/>
        <w:ind w:left="480" w:leftChars="200" w:firstLine="420" w:firstLineChars="200"/>
        <w:jc w:val="both"/>
        <w:rPr>
          <w:rFonts w:eastAsia="宋体"/>
          <w:kern w:val="2"/>
          <w:sz w:val="21"/>
          <w:lang w:eastAsia="zh-CN"/>
        </w:rPr>
      </w:pPr>
    </w:p>
    <w:p w14:paraId="23084DA6">
      <w:pPr>
        <w:jc w:val="center"/>
        <w:rPr>
          <w:rFonts w:ascii="黑体" w:hAnsi="宋体" w:eastAsia="黑体"/>
          <w:szCs w:val="20"/>
          <w:lang w:eastAsia="zh-CN"/>
        </w:rPr>
      </w:pPr>
      <w:r>
        <w:rPr>
          <w:rFonts w:hint="eastAsia" w:ascii="黑体" w:hAnsi="宋体" w:eastAsia="黑体"/>
          <w:szCs w:val="20"/>
          <w:lang w:eastAsia="zh-CN"/>
        </w:rPr>
        <w:t>（二）响应供应商认为需要加以说明的其他内容（格式自定）</w:t>
      </w:r>
    </w:p>
    <w:p w14:paraId="14143495">
      <w:pPr>
        <w:widowControl w:val="0"/>
        <w:spacing w:after="120"/>
        <w:ind w:left="480" w:leftChars="200" w:firstLine="420" w:firstLineChars="200"/>
        <w:jc w:val="both"/>
        <w:rPr>
          <w:rFonts w:eastAsia="宋体"/>
          <w:kern w:val="2"/>
          <w:sz w:val="21"/>
          <w:lang w:eastAsia="zh-CN"/>
        </w:rPr>
      </w:pPr>
    </w:p>
    <w:p w14:paraId="0B8990BD">
      <w:pPr>
        <w:widowControl w:val="0"/>
        <w:spacing w:after="120"/>
        <w:jc w:val="both"/>
        <w:rPr>
          <w:rFonts w:eastAsia="宋体"/>
          <w:kern w:val="2"/>
          <w:sz w:val="21"/>
          <w:lang w:eastAsia="zh-CN"/>
        </w:rPr>
      </w:pPr>
    </w:p>
    <w:p w14:paraId="67786743">
      <w:pPr>
        <w:keepNext/>
        <w:keepLines/>
        <w:widowControl w:val="0"/>
        <w:numPr>
          <w:ilvl w:val="0"/>
          <w:numId w:val="3"/>
        </w:numPr>
        <w:spacing w:before="260" w:after="260"/>
        <w:jc w:val="center"/>
        <w:outlineLvl w:val="2"/>
        <w:rPr>
          <w:rFonts w:ascii="宋体" w:hAnsi="宋体" w:eastAsia="宋体" w:cs="宋体"/>
          <w:b/>
          <w:kern w:val="2"/>
          <w:sz w:val="28"/>
          <w:lang w:eastAsia="zh-CN"/>
        </w:rPr>
      </w:pPr>
      <w:r>
        <w:rPr>
          <w:rFonts w:hint="eastAsia" w:ascii="宋体" w:hAnsi="宋体" w:eastAsia="宋体" w:cs="宋体"/>
          <w:b/>
          <w:kern w:val="2"/>
          <w:sz w:val="28"/>
          <w:lang w:eastAsia="zh-CN"/>
        </w:rPr>
        <w:t>同类项目业绩情况</w:t>
      </w:r>
    </w:p>
    <w:p w14:paraId="19F018D1">
      <w:pPr>
        <w:widowControl w:val="0"/>
        <w:jc w:val="both"/>
        <w:rPr>
          <w:rFonts w:eastAsia="宋体"/>
          <w:kern w:val="2"/>
          <w:sz w:val="21"/>
          <w:lang w:eastAsia="zh-CN"/>
        </w:rPr>
      </w:pPr>
    </w:p>
    <w:p w14:paraId="15C6D858">
      <w:pPr>
        <w:keepNext/>
        <w:keepLines/>
        <w:widowControl w:val="0"/>
        <w:numPr>
          <w:ilvl w:val="0"/>
          <w:numId w:val="3"/>
        </w:numPr>
        <w:spacing w:before="260" w:after="260"/>
        <w:jc w:val="center"/>
        <w:outlineLvl w:val="2"/>
        <w:rPr>
          <w:rFonts w:ascii="宋体" w:hAnsi="宋体" w:eastAsia="宋体" w:cs="宋体"/>
          <w:b/>
          <w:kern w:val="2"/>
          <w:sz w:val="28"/>
          <w:lang w:eastAsia="zh-CN"/>
        </w:rPr>
      </w:pPr>
      <w:r>
        <w:rPr>
          <w:rFonts w:hint="eastAsia" w:ascii="宋体" w:hAnsi="宋体" w:eastAsia="宋体" w:cs="宋体"/>
          <w:b/>
          <w:kern w:val="2"/>
          <w:sz w:val="28"/>
          <w:lang w:eastAsia="zh-CN"/>
        </w:rPr>
        <w:t>拟安排的项目团队成员</w:t>
      </w:r>
    </w:p>
    <w:p w14:paraId="4F8BA89E">
      <w:pPr>
        <w:widowControl w:val="0"/>
        <w:jc w:val="both"/>
        <w:rPr>
          <w:rFonts w:eastAsia="宋体"/>
          <w:kern w:val="2"/>
          <w:sz w:val="21"/>
          <w:lang w:eastAsia="zh-CN"/>
        </w:rPr>
      </w:pPr>
    </w:p>
    <w:p w14:paraId="1A91A512">
      <w:pPr>
        <w:keepNext/>
        <w:keepLines/>
        <w:widowControl w:val="0"/>
        <w:numPr>
          <w:ilvl w:val="0"/>
          <w:numId w:val="3"/>
        </w:numPr>
        <w:spacing w:before="260" w:after="260"/>
        <w:jc w:val="center"/>
        <w:outlineLvl w:val="2"/>
        <w:rPr>
          <w:rFonts w:ascii="宋体" w:hAnsi="宋体" w:eastAsia="宋体" w:cs="宋体"/>
          <w:b/>
          <w:kern w:val="2"/>
          <w:sz w:val="28"/>
          <w:lang w:eastAsia="zh-CN"/>
        </w:rPr>
      </w:pPr>
      <w:r>
        <w:rPr>
          <w:rFonts w:hint="eastAsia" w:ascii="宋体" w:hAnsi="宋体" w:eastAsia="宋体" w:cs="宋体"/>
          <w:b/>
          <w:kern w:val="2"/>
          <w:sz w:val="28"/>
          <w:lang w:eastAsia="zh-CN"/>
        </w:rPr>
        <w:t>视频创意方案及演示</w:t>
      </w:r>
    </w:p>
    <w:p w14:paraId="1D313E77">
      <w:pPr>
        <w:widowControl w:val="0"/>
        <w:jc w:val="both"/>
        <w:rPr>
          <w:rFonts w:eastAsia="宋体"/>
          <w:kern w:val="2"/>
          <w:sz w:val="21"/>
          <w:lang w:eastAsia="zh-CN"/>
        </w:rPr>
      </w:pPr>
    </w:p>
    <w:p w14:paraId="7CF52FB3">
      <w:pPr>
        <w:ind w:firstLine="480" w:firstLineChars="200"/>
        <w:rPr>
          <w:b/>
        </w:rPr>
      </w:pPr>
      <w:r>
        <w:rPr>
          <w:rFonts w:hint="eastAsia"/>
          <w:b/>
        </w:rPr>
        <w:t>（一）总体要求：</w:t>
      </w:r>
    </w:p>
    <w:p w14:paraId="2468DC42">
      <w:pPr>
        <w:ind w:firstLine="480" w:firstLineChars="200"/>
        <w:rPr>
          <w:rFonts w:ascii="宋体" w:hAnsi="宋体"/>
          <w:color w:val="0000FF"/>
          <w:lang w:eastAsia="zh-CN"/>
        </w:rPr>
      </w:pPr>
      <w:r>
        <w:rPr>
          <w:rFonts w:hint="eastAsia"/>
          <w:b/>
          <w:lang w:eastAsia="zh-CN"/>
        </w:rPr>
        <w:t>演示供应商签到时间：</w:t>
      </w:r>
      <w:r>
        <w:rPr>
          <w:rFonts w:hint="eastAsia" w:eastAsia="宋体"/>
          <w:lang w:eastAsia="zh-CN"/>
        </w:rPr>
        <w:t>响应</w:t>
      </w:r>
      <w:r>
        <w:rPr>
          <w:rFonts w:hint="eastAsia"/>
          <w:lang w:eastAsia="zh-CN"/>
        </w:rPr>
        <w:t>（谈判）供应商授权委托人</w:t>
      </w:r>
      <w:r>
        <w:rPr>
          <w:rFonts w:hint="eastAsia" w:ascii="宋体" w:hAnsi="宋体"/>
          <w:color w:val="0000FF"/>
          <w:lang w:eastAsia="zh-CN"/>
        </w:rPr>
        <w:t>需在本项目开标当天09点30分（北京时间）——</w:t>
      </w:r>
      <w:r>
        <w:rPr>
          <w:rFonts w:hint="eastAsia" w:ascii="宋体" w:hAnsi="宋体"/>
          <w:color w:val="0000FF"/>
          <w:lang w:val="en-US" w:eastAsia="zh-CN"/>
        </w:rPr>
        <w:t>10点00分（北京时间）</w:t>
      </w:r>
      <w:r>
        <w:rPr>
          <w:rFonts w:hint="eastAsia" w:ascii="宋体" w:hAnsi="宋体"/>
          <w:color w:val="0000FF"/>
          <w:lang w:eastAsia="zh-CN"/>
        </w:rPr>
        <w:t>前。（</w:t>
      </w:r>
      <w:r>
        <w:rPr>
          <w:rFonts w:hint="eastAsia" w:ascii="宋体" w:hAnsi="宋体"/>
          <w:color w:val="0000FF"/>
          <w:lang w:val="en-US" w:eastAsia="zh-CN"/>
        </w:rPr>
        <w:t>9：30签到，10：00开标</w:t>
      </w:r>
      <w:r>
        <w:rPr>
          <w:rFonts w:hint="eastAsia" w:ascii="宋体" w:hAnsi="宋体"/>
          <w:color w:val="0000FF"/>
          <w:lang w:eastAsia="zh-CN"/>
        </w:rPr>
        <w:t>）</w:t>
      </w:r>
    </w:p>
    <w:p w14:paraId="21DA1943">
      <w:pPr>
        <w:ind w:firstLine="480" w:firstLineChars="200"/>
        <w:rPr>
          <w:lang w:eastAsia="zh-CN"/>
        </w:rPr>
      </w:pPr>
      <w:r>
        <w:rPr>
          <w:rFonts w:hint="eastAsia"/>
          <w:b/>
          <w:lang w:eastAsia="zh-CN"/>
        </w:rPr>
        <w:t>签到地点：</w:t>
      </w:r>
      <w:r>
        <w:rPr>
          <w:rFonts w:hint="eastAsia"/>
          <w:color w:val="FF0000"/>
          <w:lang w:eastAsia="zh-CN"/>
        </w:rPr>
        <w:t>深圳公共资源交易中心（深圳交易集团有限公司罗湖分公司）服务大厅（地址：深圳市罗湖区深南东路1076号党群服务中心4楼）</w:t>
      </w:r>
      <w:r>
        <w:rPr>
          <w:rFonts w:hint="eastAsia"/>
          <w:lang w:eastAsia="zh-CN"/>
        </w:rPr>
        <w:t>，按现场工作人员指引填写《现场演示签到表》。</w:t>
      </w:r>
    </w:p>
    <w:p w14:paraId="161EC6B3">
      <w:pPr>
        <w:ind w:firstLine="480" w:firstLineChars="200"/>
        <w:rPr>
          <w:b/>
          <w:lang w:eastAsia="zh-CN"/>
        </w:rPr>
      </w:pPr>
      <w:r>
        <w:rPr>
          <w:rFonts w:hint="eastAsia"/>
          <w:b/>
          <w:lang w:eastAsia="zh-CN"/>
        </w:rPr>
        <w:t>演示设备：</w:t>
      </w:r>
    </w:p>
    <w:p w14:paraId="4CBF70F3">
      <w:pPr>
        <w:ind w:firstLine="480" w:firstLineChars="200"/>
        <w:rPr>
          <w:lang w:eastAsia="zh-CN"/>
        </w:rPr>
      </w:pPr>
      <w:r>
        <w:rPr>
          <w:rFonts w:hint="eastAsia"/>
          <w:b/>
          <w:lang w:eastAsia="zh-CN"/>
        </w:rPr>
        <w:t>（1）</w:t>
      </w:r>
      <w:r>
        <w:rPr>
          <w:rFonts w:hint="eastAsia"/>
          <w:lang w:eastAsia="zh-CN"/>
        </w:rPr>
        <w:t>深圳公共资源交易中心（深圳交易集团有限公司罗湖分公司）仅提供演示场地、电源接口和投影仪（含普通 VGA 数据线）。</w:t>
      </w:r>
    </w:p>
    <w:p w14:paraId="2BF4C239">
      <w:pPr>
        <w:ind w:firstLine="480" w:firstLineChars="200"/>
        <w:rPr>
          <w:lang w:eastAsia="zh-CN"/>
        </w:rPr>
      </w:pPr>
      <w:r>
        <w:rPr>
          <w:rFonts w:hint="eastAsia"/>
          <w:lang w:eastAsia="zh-CN"/>
        </w:rPr>
        <w:t>（2）演示电脑和电源线、U 盘等存储设备、投影转换接头等能完成方案讲解的便携设备（具体以自身实际需要为准）由</w:t>
      </w:r>
      <w:r>
        <w:rPr>
          <w:rFonts w:hint="eastAsia" w:eastAsia="宋体"/>
          <w:lang w:eastAsia="zh-CN"/>
        </w:rPr>
        <w:t>响应</w:t>
      </w:r>
      <w:r>
        <w:rPr>
          <w:rFonts w:hint="eastAsia"/>
          <w:lang w:eastAsia="zh-CN"/>
        </w:rPr>
        <w:t>（谈判）供应商授权委托人自行携带，因设备无法演示的由供应商自行负责，由于场地有限，建议不携带过大设备。</w:t>
      </w:r>
    </w:p>
    <w:p w14:paraId="60F804D9">
      <w:pPr>
        <w:ind w:firstLine="480" w:firstLineChars="200"/>
        <w:rPr>
          <w:lang w:eastAsia="zh-CN"/>
        </w:rPr>
      </w:pPr>
      <w:r>
        <w:rPr>
          <w:rFonts w:hint="eastAsia"/>
          <w:b/>
          <w:lang w:eastAsia="zh-CN"/>
        </w:rPr>
        <w:t>演示时间、人员要求：</w:t>
      </w:r>
      <w:r>
        <w:rPr>
          <w:rFonts w:hint="eastAsia"/>
          <w:lang w:eastAsia="zh-CN"/>
        </w:rPr>
        <w:t>每个</w:t>
      </w:r>
      <w:r>
        <w:rPr>
          <w:rFonts w:hint="eastAsia" w:eastAsia="宋体"/>
          <w:lang w:eastAsia="zh-CN"/>
        </w:rPr>
        <w:t>响应</w:t>
      </w:r>
      <w:r>
        <w:rPr>
          <w:rFonts w:hint="eastAsia"/>
          <w:lang w:eastAsia="zh-CN"/>
        </w:rPr>
        <w:t>（谈判）供应商现场演示时间不超过</w:t>
      </w:r>
      <w:r>
        <w:rPr>
          <w:rFonts w:hint="eastAsia" w:ascii="宋体" w:hAnsi="宋体"/>
          <w:color w:val="0000FF"/>
          <w:lang w:eastAsia="zh-CN"/>
        </w:rPr>
        <w:t>8</w:t>
      </w:r>
      <w:r>
        <w:rPr>
          <w:rFonts w:hint="eastAsia"/>
          <w:lang w:eastAsia="zh-CN"/>
        </w:rPr>
        <w:t>分钟（期间评委可能会进行提问，并有权酌情延长时间）。现场演示人员不得超过</w:t>
      </w:r>
      <w:r>
        <w:rPr>
          <w:rFonts w:hint="eastAsia" w:ascii="宋体" w:hAnsi="宋体"/>
          <w:color w:val="0000FF"/>
          <w:lang w:eastAsia="zh-CN"/>
        </w:rPr>
        <w:t>2</w:t>
      </w:r>
      <w:r>
        <w:rPr>
          <w:rFonts w:hint="eastAsia"/>
          <w:lang w:eastAsia="zh-CN"/>
        </w:rPr>
        <w:t>人。</w:t>
      </w:r>
    </w:p>
    <w:p w14:paraId="1BB87DC3">
      <w:pPr>
        <w:ind w:firstLine="480" w:firstLineChars="200"/>
        <w:rPr>
          <w:b/>
          <w:lang w:eastAsia="zh-CN"/>
        </w:rPr>
      </w:pPr>
      <w:r>
        <w:rPr>
          <w:rFonts w:hint="eastAsia"/>
          <w:b/>
          <w:lang w:eastAsia="zh-CN"/>
        </w:rPr>
        <w:t>（二）具体程序：</w:t>
      </w:r>
    </w:p>
    <w:p w14:paraId="57F4051D">
      <w:pPr>
        <w:ind w:firstLine="480" w:firstLineChars="200"/>
        <w:rPr>
          <w:color w:val="FF0000"/>
          <w:lang w:eastAsia="zh-CN"/>
        </w:rPr>
      </w:pPr>
      <w:r>
        <w:rPr>
          <w:rFonts w:hint="eastAsia"/>
          <w:color w:val="FF0000"/>
          <w:lang w:eastAsia="zh-CN"/>
        </w:rPr>
        <w:t>1、</w:t>
      </w:r>
      <w:r>
        <w:rPr>
          <w:rFonts w:hint="eastAsia" w:eastAsia="宋体"/>
          <w:color w:val="FF0000"/>
          <w:lang w:eastAsia="zh-CN"/>
        </w:rPr>
        <w:t>响应</w:t>
      </w:r>
      <w:r>
        <w:rPr>
          <w:rFonts w:hint="eastAsia"/>
          <w:color w:val="FF0000"/>
          <w:lang w:eastAsia="zh-CN"/>
        </w:rPr>
        <w:t>（谈判）供应商授权委托人需在现场演示签到截止时间前，提供法定代表人（负责人）授权委托书（加盖公章）、授权委托人身份证（港澳台居民可提供来往通行证；非中国国籍管辖范围人员，可提供公安部门认可的身份证明材料，下同）原件，到指定签到地点按现场工作人员指引填写《现场演示签到表》</w:t>
      </w:r>
      <w:r>
        <w:rPr>
          <w:rFonts w:hint="eastAsia" w:eastAsia="宋体"/>
          <w:color w:val="FF0000"/>
          <w:lang w:eastAsia="zh-CN"/>
        </w:rPr>
        <w:t>，</w:t>
      </w:r>
      <w:r>
        <w:rPr>
          <w:rFonts w:hint="eastAsia" w:ascii="宋体" w:hAnsi="宋体" w:eastAsia="宋体" w:cs="宋体"/>
          <w:b/>
          <w:bCs/>
          <w:color w:val="FF0000"/>
          <w:szCs w:val="21"/>
          <w:highlight w:val="yellow"/>
          <w:lang w:eastAsia="zh-CN"/>
        </w:rPr>
        <w:t>同时</w:t>
      </w:r>
      <w:r>
        <w:rPr>
          <w:rFonts w:hint="eastAsia" w:ascii="宋体" w:hAnsi="宋体" w:cs="宋体"/>
          <w:b/>
          <w:bCs/>
          <w:color w:val="FF0000"/>
          <w:szCs w:val="21"/>
          <w:highlight w:val="yellow"/>
          <w:lang w:eastAsia="zh-CN"/>
        </w:rPr>
        <w:t>递交的光盘或U盘</w:t>
      </w:r>
      <w:r>
        <w:rPr>
          <w:rFonts w:hint="eastAsia" w:ascii="宋体" w:hAnsi="宋体" w:eastAsia="宋体" w:cs="宋体"/>
          <w:b/>
          <w:bCs/>
          <w:color w:val="FF0000"/>
          <w:szCs w:val="21"/>
          <w:highlight w:val="yellow"/>
          <w:lang w:eastAsia="zh-CN"/>
        </w:rPr>
        <w:t>（一式两份，响应供应商确认</w:t>
      </w:r>
      <w:r>
        <w:rPr>
          <w:rFonts w:hint="eastAsia" w:ascii="宋体" w:hAnsi="宋体" w:cs="宋体"/>
          <w:b/>
          <w:bCs/>
          <w:color w:val="FF0000"/>
          <w:szCs w:val="21"/>
          <w:highlight w:val="yellow"/>
          <w:lang w:eastAsia="zh-CN"/>
        </w:rPr>
        <w:t>数据完整，内容可播放</w:t>
      </w:r>
      <w:r>
        <w:rPr>
          <w:rFonts w:hint="eastAsia" w:ascii="宋体" w:hAnsi="宋体" w:eastAsia="宋体" w:cs="宋体"/>
          <w:b/>
          <w:bCs/>
          <w:color w:val="FF0000"/>
          <w:szCs w:val="21"/>
          <w:highlight w:val="yellow"/>
          <w:lang w:eastAsia="zh-CN"/>
        </w:rPr>
        <w:t>）</w:t>
      </w:r>
      <w:r>
        <w:rPr>
          <w:rFonts w:hint="eastAsia" w:ascii="宋体" w:hAnsi="宋体" w:cs="宋体"/>
          <w:b/>
          <w:bCs/>
          <w:color w:val="FF0000"/>
          <w:szCs w:val="21"/>
          <w:highlight w:val="yellow"/>
          <w:lang w:eastAsia="zh-CN"/>
        </w:rPr>
        <w:t>，如出现光盘或U盘数据损害或无内容的情况，经评委会确认后视为投标人所递交光盘或U盘无效，投标人将无法获得该项评审分值。</w:t>
      </w:r>
    </w:p>
    <w:p w14:paraId="0AC00CF9">
      <w:pPr>
        <w:ind w:firstLine="480" w:firstLineChars="200"/>
        <w:rPr>
          <w:lang w:eastAsia="zh-CN"/>
        </w:rPr>
      </w:pPr>
      <w:r>
        <w:rPr>
          <w:rFonts w:hint="eastAsia"/>
          <w:lang w:eastAsia="zh-CN"/>
        </w:rPr>
        <w:t>特别注意事项：（1）资料提供不齐全的，不予签到；（2）招标公告规定的截止时间后，不再受理签到；（3）未进行签到的人员，不能参与现场演示；</w:t>
      </w:r>
    </w:p>
    <w:p w14:paraId="5FAE28DD">
      <w:pPr>
        <w:ind w:firstLine="480" w:firstLineChars="200"/>
        <w:rPr>
          <w:lang w:eastAsia="zh-CN"/>
        </w:rPr>
      </w:pPr>
      <w:r>
        <w:rPr>
          <w:rFonts w:hint="eastAsia"/>
          <w:lang w:eastAsia="zh-CN"/>
        </w:rPr>
        <w:t>2、签到截止时间后正式进行现场演示。现场演示正式开始前将进行身份核对；核对内容为现场演示人员提供的“法定代表人（负责人）授权委托书（加盖公章）、授权委托人身份证原件”。资料不齐全的人员，不得参与现场演示。</w:t>
      </w:r>
    </w:p>
    <w:p w14:paraId="34EB9D49">
      <w:pPr>
        <w:ind w:firstLine="480" w:firstLineChars="200"/>
        <w:rPr>
          <w:b/>
          <w:lang w:eastAsia="zh-CN"/>
        </w:rPr>
      </w:pPr>
      <w:r>
        <w:rPr>
          <w:rFonts w:hint="eastAsia"/>
          <w:b/>
          <w:lang w:eastAsia="zh-CN"/>
        </w:rPr>
        <w:t>（三）其它现场演示规则：</w:t>
      </w:r>
    </w:p>
    <w:p w14:paraId="689BCE30">
      <w:pPr>
        <w:ind w:firstLine="480" w:firstLineChars="200"/>
        <w:rPr>
          <w:lang w:eastAsia="zh-CN"/>
        </w:rPr>
      </w:pPr>
      <w:r>
        <w:rPr>
          <w:rFonts w:hint="eastAsia"/>
          <w:lang w:eastAsia="zh-CN"/>
        </w:rPr>
        <w:t>A</w:t>
      </w:r>
      <w:r>
        <w:rPr>
          <w:lang w:eastAsia="zh-CN"/>
        </w:rPr>
        <w:t>.</w:t>
      </w:r>
      <w:r>
        <w:rPr>
          <w:rFonts w:hint="eastAsia"/>
          <w:lang w:eastAsia="zh-CN"/>
        </w:rPr>
        <w:t>参加本次现场演示的各</w:t>
      </w:r>
      <w:r>
        <w:rPr>
          <w:rFonts w:hint="eastAsia" w:eastAsia="宋体"/>
          <w:lang w:eastAsia="zh-CN"/>
        </w:rPr>
        <w:t>响应</w:t>
      </w:r>
      <w:r>
        <w:rPr>
          <w:rFonts w:hint="eastAsia"/>
          <w:lang w:eastAsia="zh-CN"/>
        </w:rPr>
        <w:t>（谈判）供应商，均认为本次现场演示的程序和环境能够满足现场演示基本条件，并对本现场演示方案要求内的各项规定不做事后异议，且能够严格遵守相关规定。</w:t>
      </w:r>
    </w:p>
    <w:p w14:paraId="3AD14CD6">
      <w:pPr>
        <w:ind w:firstLine="480" w:firstLineChars="200"/>
        <w:rPr>
          <w:lang w:eastAsia="zh-CN"/>
        </w:rPr>
      </w:pPr>
      <w:r>
        <w:rPr>
          <w:rFonts w:hint="eastAsia"/>
          <w:lang w:eastAsia="zh-CN"/>
        </w:rPr>
        <w:t>B</w:t>
      </w:r>
      <w:r>
        <w:rPr>
          <w:lang w:eastAsia="zh-CN"/>
        </w:rPr>
        <w:t>.</w:t>
      </w:r>
      <w:r>
        <w:rPr>
          <w:rFonts w:hint="eastAsia"/>
          <w:lang w:eastAsia="zh-CN"/>
        </w:rPr>
        <w:t>现场演示在评审中进行。现场演示原则上按签到顺序依次进行（经评委同意，可以酌情进行调整）。一个供应商一次性现场演示完毕。一个供应商在进行现场演示时，其他供应商不得进入现场。现场演示期间，评委可视情况对讲解人员进行提问。</w:t>
      </w:r>
    </w:p>
    <w:p w14:paraId="1A932B35">
      <w:pPr>
        <w:ind w:firstLine="480" w:firstLineChars="200"/>
        <w:rPr>
          <w:lang w:eastAsia="zh-CN"/>
        </w:rPr>
      </w:pPr>
      <w:r>
        <w:rPr>
          <w:rFonts w:hint="eastAsia"/>
          <w:lang w:eastAsia="zh-CN"/>
        </w:rPr>
        <w:t>C</w:t>
      </w:r>
      <w:r>
        <w:rPr>
          <w:lang w:eastAsia="zh-CN"/>
        </w:rPr>
        <w:t>.</w:t>
      </w:r>
      <w:r>
        <w:rPr>
          <w:rFonts w:hint="eastAsia"/>
          <w:lang w:eastAsia="zh-CN"/>
        </w:rPr>
        <w:t>投标人对本次现场演示条件的不确定性疑虑应在开始前做书面表达，若所有疑虑不能完全消除，并认为现场演示结果仍会产生误判，则可以退出现场演示。</w:t>
      </w:r>
    </w:p>
    <w:p w14:paraId="552BEB1F">
      <w:pPr>
        <w:ind w:firstLine="480" w:firstLineChars="200"/>
        <w:rPr>
          <w:lang w:eastAsia="zh-CN"/>
        </w:rPr>
      </w:pPr>
      <w:r>
        <w:rPr>
          <w:rFonts w:hint="eastAsia"/>
          <w:lang w:eastAsia="zh-CN"/>
        </w:rPr>
        <w:t>D</w:t>
      </w:r>
      <w:r>
        <w:rPr>
          <w:lang w:eastAsia="zh-CN"/>
        </w:rPr>
        <w:t>.</w:t>
      </w:r>
      <w:r>
        <w:rPr>
          <w:rFonts w:hint="eastAsia"/>
          <w:lang w:eastAsia="zh-CN"/>
        </w:rPr>
        <w:t>由于现场演示时间有限，投标人同意承担其现场演示结果不确定性的风险，即同意专家以方案讲解情况的判定结论。</w:t>
      </w:r>
    </w:p>
    <w:p w14:paraId="6E0C50FE">
      <w:pPr>
        <w:ind w:firstLine="480" w:firstLineChars="200"/>
        <w:rPr>
          <w:lang w:eastAsia="zh-CN"/>
        </w:rPr>
      </w:pPr>
      <w:r>
        <w:rPr>
          <w:rFonts w:hint="eastAsia"/>
          <w:lang w:eastAsia="zh-CN"/>
        </w:rPr>
        <w:t>E</w:t>
      </w:r>
      <w:r>
        <w:rPr>
          <w:lang w:eastAsia="zh-CN"/>
        </w:rPr>
        <w:t>.</w:t>
      </w:r>
      <w:r>
        <w:rPr>
          <w:rFonts w:hint="eastAsia"/>
          <w:lang w:eastAsia="zh-CN"/>
        </w:rPr>
        <w:t>本次现场演示的结果，仅对本项目</w:t>
      </w:r>
      <w:r>
        <w:rPr>
          <w:rFonts w:hint="eastAsia" w:eastAsia="宋体"/>
          <w:lang w:eastAsia="zh-CN"/>
        </w:rPr>
        <w:t>谈判小组</w:t>
      </w:r>
      <w:r>
        <w:rPr>
          <w:rFonts w:hint="eastAsia"/>
          <w:lang w:eastAsia="zh-CN"/>
        </w:rPr>
        <w:t>（谈判小组）负责，无义务向其余各方出具方案讲解结果。</w:t>
      </w:r>
    </w:p>
    <w:p w14:paraId="5095EE5B">
      <w:pPr>
        <w:ind w:firstLine="480" w:firstLineChars="200"/>
        <w:rPr>
          <w:lang w:eastAsia="zh-CN"/>
        </w:rPr>
      </w:pPr>
      <w:r>
        <w:rPr>
          <w:rFonts w:hint="eastAsia"/>
          <w:lang w:eastAsia="zh-CN"/>
        </w:rPr>
        <w:t>F</w:t>
      </w:r>
      <w:r>
        <w:rPr>
          <w:lang w:eastAsia="zh-CN"/>
        </w:rPr>
        <w:t>.</w:t>
      </w:r>
      <w:r>
        <w:rPr>
          <w:rFonts w:hint="eastAsia"/>
          <w:lang w:eastAsia="zh-CN"/>
        </w:rPr>
        <w:t>风险及费用说明：各项费用由供应商自理、风险自负。</w:t>
      </w:r>
    </w:p>
    <w:p w14:paraId="6098B78A">
      <w:pPr>
        <w:ind w:firstLine="480" w:firstLineChars="200"/>
        <w:rPr>
          <w:b/>
          <w:lang w:eastAsia="zh-CN"/>
        </w:rPr>
      </w:pPr>
      <w:r>
        <w:rPr>
          <w:rFonts w:hint="eastAsia"/>
          <w:b/>
          <w:lang w:eastAsia="zh-CN"/>
        </w:rPr>
        <w:t>（四）现场演示内容及要求表：</w:t>
      </w:r>
    </w:p>
    <w:tbl>
      <w:tblPr>
        <w:tblStyle w:val="14"/>
        <w:tblW w:w="78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3439"/>
        <w:gridCol w:w="3689"/>
      </w:tblGrid>
      <w:tr w14:paraId="28A1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675" w:type="dxa"/>
            <w:vAlign w:val="center"/>
          </w:tcPr>
          <w:p w14:paraId="2B012D9B">
            <w:pPr>
              <w:snapToGrid w:val="0"/>
              <w:jc w:val="center"/>
              <w:rPr>
                <w:rFonts w:ascii="宋体" w:hAnsi="宋体" w:cs="宋体"/>
                <w:b/>
                <w:szCs w:val="21"/>
              </w:rPr>
            </w:pPr>
            <w:r>
              <w:rPr>
                <w:rFonts w:hint="eastAsia" w:ascii="宋体" w:hAnsi="宋体" w:cs="宋体"/>
                <w:b/>
                <w:szCs w:val="21"/>
              </w:rPr>
              <w:t>序号</w:t>
            </w:r>
          </w:p>
        </w:tc>
        <w:tc>
          <w:tcPr>
            <w:tcW w:w="3439" w:type="dxa"/>
            <w:vAlign w:val="center"/>
          </w:tcPr>
          <w:p w14:paraId="175581F4">
            <w:pPr>
              <w:snapToGrid w:val="0"/>
              <w:jc w:val="center"/>
              <w:rPr>
                <w:rFonts w:ascii="宋体" w:hAnsi="宋体" w:cs="宋体"/>
                <w:b/>
                <w:szCs w:val="21"/>
              </w:rPr>
            </w:pPr>
            <w:r>
              <w:rPr>
                <w:rFonts w:hint="eastAsia" w:ascii="宋体" w:hAnsi="宋体" w:cs="宋体"/>
                <w:b/>
                <w:szCs w:val="21"/>
              </w:rPr>
              <w:t>演示项目</w:t>
            </w:r>
          </w:p>
        </w:tc>
        <w:tc>
          <w:tcPr>
            <w:tcW w:w="3689" w:type="dxa"/>
            <w:vAlign w:val="center"/>
          </w:tcPr>
          <w:p w14:paraId="615F7E41">
            <w:pPr>
              <w:snapToGrid w:val="0"/>
              <w:jc w:val="center"/>
              <w:rPr>
                <w:rFonts w:ascii="宋体" w:hAnsi="宋体" w:cs="宋体"/>
                <w:b/>
                <w:szCs w:val="21"/>
              </w:rPr>
            </w:pPr>
            <w:r>
              <w:rPr>
                <w:rFonts w:hint="eastAsia" w:ascii="宋体" w:hAnsi="宋体" w:cs="宋体"/>
                <w:b/>
                <w:szCs w:val="21"/>
              </w:rPr>
              <w:t>演示形式要求</w:t>
            </w:r>
          </w:p>
        </w:tc>
      </w:tr>
      <w:tr w14:paraId="7807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675" w:type="dxa"/>
            <w:vAlign w:val="center"/>
          </w:tcPr>
          <w:p w14:paraId="7D848FBF">
            <w:pPr>
              <w:jc w:val="center"/>
              <w:rPr>
                <w:rStyle w:val="18"/>
                <w:szCs w:val="24"/>
              </w:rPr>
            </w:pPr>
            <w:r>
              <w:rPr>
                <w:rStyle w:val="18"/>
                <w:rFonts w:hint="eastAsia"/>
                <w:szCs w:val="24"/>
              </w:rPr>
              <w:t>1</w:t>
            </w:r>
          </w:p>
        </w:tc>
        <w:tc>
          <w:tcPr>
            <w:tcW w:w="3439" w:type="dxa"/>
            <w:vAlign w:val="center"/>
          </w:tcPr>
          <w:p w14:paraId="52DB3C49">
            <w:pPr>
              <w:rPr>
                <w:rStyle w:val="18"/>
                <w:szCs w:val="24"/>
                <w:lang w:eastAsia="zh-CN"/>
              </w:rPr>
            </w:pPr>
            <w:r>
              <w:rPr>
                <w:rStyle w:val="18"/>
                <w:rFonts w:hint="eastAsia"/>
                <w:szCs w:val="24"/>
                <w:lang w:eastAsia="zh-CN"/>
              </w:rPr>
              <w:t>1.项目概述</w:t>
            </w:r>
          </w:p>
          <w:p w14:paraId="79720C9C">
            <w:pPr>
              <w:rPr>
                <w:rStyle w:val="18"/>
                <w:szCs w:val="24"/>
                <w:lang w:eastAsia="zh-CN"/>
              </w:rPr>
            </w:pPr>
            <w:r>
              <w:rPr>
                <w:rStyle w:val="18"/>
                <w:rFonts w:hint="eastAsia"/>
                <w:szCs w:val="24"/>
                <w:lang w:eastAsia="zh-CN"/>
              </w:rPr>
              <w:t>2.创意阐述</w:t>
            </w:r>
          </w:p>
          <w:p w14:paraId="1F3FD36A">
            <w:pPr>
              <w:rPr>
                <w:rStyle w:val="18"/>
                <w:szCs w:val="24"/>
                <w:lang w:eastAsia="zh-CN"/>
              </w:rPr>
            </w:pPr>
            <w:r>
              <w:rPr>
                <w:rStyle w:val="18"/>
                <w:rFonts w:hint="eastAsia"/>
                <w:szCs w:val="24"/>
                <w:lang w:eastAsia="zh-CN"/>
              </w:rPr>
              <w:t>3.内容框架</w:t>
            </w:r>
          </w:p>
          <w:p w14:paraId="79DDE5C0">
            <w:pPr>
              <w:rPr>
                <w:rStyle w:val="18"/>
                <w:szCs w:val="24"/>
              </w:rPr>
            </w:pPr>
            <w:r>
              <w:rPr>
                <w:rStyle w:val="18"/>
                <w:rFonts w:hint="eastAsia"/>
                <w:szCs w:val="24"/>
              </w:rPr>
              <w:t>4.制作周期</w:t>
            </w:r>
          </w:p>
          <w:p w14:paraId="2824CFD2">
            <w:pPr>
              <w:rPr>
                <w:rStyle w:val="18"/>
                <w:szCs w:val="24"/>
              </w:rPr>
            </w:pPr>
            <w:r>
              <w:rPr>
                <w:rStyle w:val="18"/>
                <w:rFonts w:hint="eastAsia"/>
                <w:szCs w:val="24"/>
              </w:rPr>
              <w:t>5.推广计划</w:t>
            </w:r>
          </w:p>
        </w:tc>
        <w:tc>
          <w:tcPr>
            <w:tcW w:w="3689" w:type="dxa"/>
            <w:vAlign w:val="center"/>
          </w:tcPr>
          <w:p w14:paraId="4D59EA65">
            <w:pPr>
              <w:jc w:val="center"/>
              <w:rPr>
                <w:rStyle w:val="18"/>
                <w:szCs w:val="24"/>
              </w:rPr>
            </w:pPr>
            <w:r>
              <w:rPr>
                <w:rStyle w:val="18"/>
                <w:rFonts w:hint="eastAsia"/>
                <w:szCs w:val="24"/>
              </w:rPr>
              <w:t>PPT演示</w:t>
            </w:r>
          </w:p>
        </w:tc>
      </w:tr>
      <w:tr w14:paraId="28B1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675" w:type="dxa"/>
            <w:vAlign w:val="center"/>
          </w:tcPr>
          <w:p w14:paraId="405F93DC">
            <w:pPr>
              <w:jc w:val="center"/>
              <w:rPr>
                <w:rStyle w:val="18"/>
                <w:szCs w:val="24"/>
                <w:lang w:eastAsia="zh-CN"/>
              </w:rPr>
            </w:pPr>
            <w:r>
              <w:rPr>
                <w:rStyle w:val="18"/>
                <w:rFonts w:hint="eastAsia"/>
                <w:szCs w:val="24"/>
                <w:lang w:eastAsia="zh-CN"/>
              </w:rPr>
              <w:t>2</w:t>
            </w:r>
          </w:p>
        </w:tc>
        <w:tc>
          <w:tcPr>
            <w:tcW w:w="3439" w:type="dxa"/>
            <w:vAlign w:val="center"/>
          </w:tcPr>
          <w:p w14:paraId="41E73892">
            <w:pPr>
              <w:rPr>
                <w:rStyle w:val="18"/>
                <w:szCs w:val="24"/>
                <w:lang w:eastAsia="zh-CN"/>
              </w:rPr>
            </w:pPr>
            <w:r>
              <w:rPr>
                <w:rStyle w:val="18"/>
                <w:rFonts w:hint="eastAsia"/>
                <w:szCs w:val="24"/>
                <w:lang w:eastAsia="zh-CN"/>
              </w:rPr>
              <w:t>以往做过的同类样片展示。（样片需为AI融合实拍类型）</w:t>
            </w:r>
          </w:p>
        </w:tc>
        <w:tc>
          <w:tcPr>
            <w:tcW w:w="3689" w:type="dxa"/>
            <w:vAlign w:val="center"/>
          </w:tcPr>
          <w:p w14:paraId="1FC72814">
            <w:pPr>
              <w:jc w:val="center"/>
              <w:rPr>
                <w:rStyle w:val="18"/>
                <w:szCs w:val="24"/>
              </w:rPr>
            </w:pPr>
            <w:r>
              <w:rPr>
                <w:rStyle w:val="18"/>
                <w:rFonts w:hint="eastAsia"/>
                <w:szCs w:val="24"/>
              </w:rPr>
              <w:t>视频演示</w:t>
            </w:r>
          </w:p>
        </w:tc>
      </w:tr>
    </w:tbl>
    <w:p w14:paraId="7BA6B44A">
      <w:pPr>
        <w:rPr>
          <w:rFonts w:ascii="宋体" w:hAnsi="宋体" w:cs="宋体"/>
          <w:b/>
          <w:bCs/>
          <w:szCs w:val="21"/>
          <w:highlight w:val="yellow"/>
        </w:rPr>
      </w:pPr>
    </w:p>
    <w:p w14:paraId="38A0CE39">
      <w:pPr>
        <w:pStyle w:val="8"/>
      </w:pPr>
    </w:p>
    <w:p w14:paraId="0E02101B">
      <w:pPr>
        <w:pStyle w:val="11"/>
      </w:pPr>
    </w:p>
    <w:p w14:paraId="72790933">
      <w:pPr>
        <w:widowControl w:val="0"/>
        <w:jc w:val="both"/>
        <w:rPr>
          <w:rFonts w:eastAsia="宋体"/>
          <w:kern w:val="2"/>
          <w:sz w:val="21"/>
          <w:lang w:eastAsia="zh-CN"/>
        </w:rPr>
      </w:pPr>
    </w:p>
    <w:p w14:paraId="5CAC423B">
      <w:pPr>
        <w:keepNext/>
        <w:keepLines/>
        <w:widowControl w:val="0"/>
        <w:numPr>
          <w:ilvl w:val="0"/>
          <w:numId w:val="3"/>
        </w:numPr>
        <w:spacing w:before="260" w:after="260"/>
        <w:jc w:val="center"/>
        <w:outlineLvl w:val="2"/>
        <w:rPr>
          <w:rFonts w:ascii="宋体" w:hAnsi="宋体" w:eastAsia="宋体" w:cs="宋体"/>
          <w:b/>
          <w:kern w:val="2"/>
          <w:sz w:val="28"/>
          <w:lang w:eastAsia="zh-CN"/>
        </w:rPr>
      </w:pPr>
      <w:r>
        <w:rPr>
          <w:rFonts w:hint="eastAsia" w:ascii="宋体" w:hAnsi="宋体" w:eastAsia="宋体" w:cs="宋体"/>
          <w:b/>
          <w:kern w:val="2"/>
          <w:sz w:val="28"/>
          <w:lang w:eastAsia="zh-CN"/>
        </w:rPr>
        <w:t xml:space="preserve">获奖情况  </w:t>
      </w:r>
    </w:p>
    <w:p w14:paraId="15F59431">
      <w:pPr>
        <w:widowControl w:val="0"/>
        <w:jc w:val="both"/>
        <w:rPr>
          <w:rFonts w:eastAsia="宋体"/>
          <w:kern w:val="2"/>
          <w:sz w:val="21"/>
          <w:lang w:eastAsia="zh-CN"/>
        </w:rPr>
      </w:pPr>
    </w:p>
    <w:p w14:paraId="4F8DBD5B">
      <w:pPr>
        <w:keepNext/>
        <w:keepLines/>
        <w:widowControl w:val="0"/>
        <w:numPr>
          <w:ilvl w:val="0"/>
          <w:numId w:val="3"/>
        </w:numPr>
        <w:spacing w:before="260" w:after="260"/>
        <w:jc w:val="center"/>
        <w:outlineLvl w:val="2"/>
        <w:rPr>
          <w:rFonts w:ascii="宋体" w:hAnsi="宋体" w:eastAsia="宋体" w:cs="宋体"/>
          <w:b/>
          <w:kern w:val="2"/>
          <w:sz w:val="28"/>
          <w:lang w:eastAsia="zh-CN"/>
        </w:rPr>
      </w:pPr>
      <w:r>
        <w:rPr>
          <w:rFonts w:hint="eastAsia" w:ascii="宋体" w:hAnsi="宋体" w:eastAsia="宋体" w:cs="宋体"/>
          <w:b/>
          <w:kern w:val="2"/>
          <w:sz w:val="28"/>
          <w:lang w:eastAsia="zh-CN"/>
        </w:rPr>
        <w:t>同类作品传播力情况</w:t>
      </w:r>
    </w:p>
    <w:p w14:paraId="25B5F855">
      <w:pPr>
        <w:widowControl w:val="0"/>
        <w:spacing w:after="120"/>
        <w:jc w:val="both"/>
        <w:rPr>
          <w:rFonts w:eastAsia="宋体"/>
          <w:kern w:val="2"/>
          <w:sz w:val="21"/>
          <w:lang w:eastAsia="zh-CN"/>
        </w:rPr>
      </w:pPr>
    </w:p>
    <w:p w14:paraId="1E8B89E3">
      <w:pPr>
        <w:widowControl w:val="0"/>
        <w:jc w:val="both"/>
        <w:rPr>
          <w:rFonts w:eastAsia="宋体"/>
          <w:kern w:val="2"/>
          <w:sz w:val="21"/>
          <w:lang w:eastAsia="zh-CN"/>
        </w:rPr>
      </w:pPr>
    </w:p>
    <w:p w14:paraId="46A3B416">
      <w:pPr>
        <w:rPr>
          <w:rFonts w:eastAsia="宋体"/>
          <w:kern w:val="2"/>
          <w:sz w:val="21"/>
          <w:lang w:eastAsia="zh-CN"/>
        </w:rPr>
      </w:pPr>
      <w:r>
        <w:rPr>
          <w:rFonts w:eastAsia="宋体"/>
          <w:kern w:val="2"/>
          <w:sz w:val="21"/>
          <w:lang w:eastAsia="zh-CN"/>
        </w:rPr>
        <w:br w:type="page"/>
      </w:r>
    </w:p>
    <w:p w14:paraId="233DC897">
      <w:pPr>
        <w:keepNext/>
        <w:keepLines/>
        <w:widowControl w:val="0"/>
        <w:adjustRightInd w:val="0"/>
        <w:spacing w:before="260" w:after="260"/>
        <w:jc w:val="center"/>
        <w:outlineLvl w:val="1"/>
        <w:rPr>
          <w:rFonts w:ascii="宋体" w:hAnsi="宋体" w:eastAsia="宋体" w:cs="宋体"/>
          <w:b/>
          <w:bCs/>
          <w:kern w:val="2"/>
          <w:szCs w:val="20"/>
          <w:lang w:eastAsia="zh-CN"/>
        </w:rPr>
      </w:pPr>
      <w:bookmarkStart w:id="24" w:name="_Toc194467284"/>
      <w:r>
        <w:rPr>
          <w:rFonts w:hint="eastAsia" w:ascii="宋体" w:hAnsi="宋体" w:eastAsia="宋体" w:cs="宋体"/>
          <w:b/>
          <w:bCs/>
          <w:kern w:val="2"/>
          <w:szCs w:val="20"/>
          <w:lang w:eastAsia="zh-CN"/>
        </w:rPr>
        <w:t>第二章 合同格式</w:t>
      </w:r>
    </w:p>
    <w:p w14:paraId="71EEA544">
      <w:pPr>
        <w:widowControl w:val="0"/>
        <w:jc w:val="center"/>
        <w:rPr>
          <w:rFonts w:eastAsia="宋体"/>
          <w:kern w:val="2"/>
          <w:sz w:val="21"/>
          <w:lang w:eastAsia="zh-CN"/>
        </w:rPr>
      </w:pPr>
      <w:r>
        <w:rPr>
          <w:rFonts w:hint="eastAsia" w:eastAsia="宋体"/>
          <w:kern w:val="2"/>
          <w:sz w:val="21"/>
          <w:lang w:eastAsia="zh-CN"/>
        </w:rPr>
        <w:t>（详询采购单位）</w:t>
      </w:r>
      <w:bookmarkEnd w:id="24"/>
    </w:p>
    <w:p w14:paraId="681F3CEF">
      <w:pPr>
        <w:rPr>
          <w:rFonts w:eastAsia="宋体"/>
          <w:kern w:val="2"/>
          <w:sz w:val="21"/>
          <w:lang w:eastAsia="zh-CN"/>
        </w:rPr>
      </w:pPr>
      <w:r>
        <w:rPr>
          <w:rFonts w:eastAsia="宋体"/>
          <w:kern w:val="2"/>
          <w:sz w:val="21"/>
          <w:lang w:eastAsia="zh-CN"/>
        </w:rPr>
        <w:br w:type="page"/>
      </w:r>
    </w:p>
    <w:p w14:paraId="4610FF78">
      <w:pPr>
        <w:keepNext/>
        <w:keepLines/>
        <w:widowControl w:val="0"/>
        <w:spacing w:before="340" w:after="330" w:line="360" w:lineRule="auto"/>
        <w:jc w:val="center"/>
        <w:outlineLvl w:val="0"/>
        <w:rPr>
          <w:rFonts w:ascii="宋体" w:hAnsi="宋体" w:eastAsia="黑体" w:cs="宋体"/>
          <w:b/>
          <w:bCs/>
          <w:kern w:val="44"/>
          <w:sz w:val="28"/>
          <w:szCs w:val="44"/>
          <w:lang w:eastAsia="zh-CN"/>
        </w:rPr>
      </w:pPr>
      <w:bookmarkStart w:id="25" w:name="bt总则"/>
      <w:bookmarkEnd w:id="25"/>
      <w:bookmarkStart w:id="26" w:name="bt投标文件的编制"/>
      <w:bookmarkEnd w:id="26"/>
      <w:bookmarkStart w:id="27" w:name="bt招标文件"/>
      <w:bookmarkEnd w:id="27"/>
      <w:bookmarkStart w:id="28" w:name="bt投标须知前附表"/>
      <w:bookmarkEnd w:id="28"/>
      <w:bookmarkStart w:id="29" w:name="bt投标须知"/>
      <w:bookmarkEnd w:id="29"/>
      <w:bookmarkStart w:id="30" w:name="bt授予合同"/>
      <w:bookmarkEnd w:id="30"/>
      <w:bookmarkStart w:id="31" w:name="bt图纸"/>
      <w:bookmarkEnd w:id="31"/>
      <w:bookmarkStart w:id="32" w:name="bt开标与评标"/>
      <w:bookmarkEnd w:id="32"/>
      <w:bookmarkStart w:id="33" w:name="OLE_LINK26"/>
      <w:bookmarkStart w:id="34" w:name="_Toc73517640"/>
      <w:bookmarkStart w:id="35" w:name="_Toc100052365"/>
      <w:bookmarkStart w:id="36" w:name="_Toc73521636"/>
      <w:bookmarkStart w:id="37" w:name="_Toc73521548"/>
      <w:bookmarkStart w:id="38" w:name="_Toc73518118"/>
      <w:bookmarkStart w:id="39" w:name="_Toc194467300"/>
      <w:bookmarkStart w:id="40" w:name="_Toc101074877"/>
      <w:r>
        <w:rPr>
          <w:rFonts w:hint="eastAsia" w:ascii="宋体" w:hAnsi="宋体" w:eastAsia="黑体" w:cs="宋体"/>
          <w:b/>
          <w:bCs/>
          <w:kern w:val="44"/>
          <w:sz w:val="28"/>
          <w:szCs w:val="44"/>
          <w:lang w:eastAsia="zh-CN"/>
        </w:rPr>
        <w:t>第三册  响应供应商须知</w:t>
      </w:r>
    </w:p>
    <w:bookmarkEnd w:id="33"/>
    <w:p w14:paraId="1480B5D6">
      <w:pPr>
        <w:keepNext/>
        <w:keepLines/>
        <w:widowControl w:val="0"/>
        <w:adjustRightInd w:val="0"/>
        <w:spacing w:before="260" w:after="260"/>
        <w:jc w:val="center"/>
        <w:outlineLvl w:val="1"/>
        <w:rPr>
          <w:rFonts w:ascii="宋体" w:hAnsi="宋体" w:eastAsia="宋体" w:cs="宋体"/>
          <w:b/>
          <w:bCs/>
          <w:szCs w:val="20"/>
          <w:lang w:eastAsia="zh-CN"/>
        </w:rPr>
      </w:pPr>
      <w:r>
        <w:rPr>
          <w:rFonts w:hint="eastAsia" w:ascii="宋体" w:hAnsi="宋体" w:eastAsia="宋体" w:cs="宋体"/>
          <w:b/>
          <w:bCs/>
          <w:szCs w:val="20"/>
          <w:lang w:eastAsia="zh-CN"/>
        </w:rPr>
        <w:t>第一章 总则</w:t>
      </w:r>
      <w:bookmarkEnd w:id="34"/>
      <w:bookmarkEnd w:id="35"/>
      <w:bookmarkEnd w:id="36"/>
      <w:bookmarkEnd w:id="37"/>
      <w:bookmarkEnd w:id="38"/>
      <w:bookmarkEnd w:id="39"/>
      <w:bookmarkEnd w:id="40"/>
    </w:p>
    <w:p w14:paraId="1701FA32">
      <w:pPr>
        <w:widowControl w:val="0"/>
        <w:spacing w:line="360" w:lineRule="auto"/>
        <w:jc w:val="both"/>
        <w:rPr>
          <w:rFonts w:ascii="黑体" w:hAnsi="宋体" w:eastAsia="黑体"/>
          <w:kern w:val="2"/>
          <w:lang w:eastAsia="zh-CN"/>
        </w:rPr>
      </w:pPr>
      <w:bookmarkStart w:id="41" w:name="_Toc73518119"/>
      <w:bookmarkStart w:id="42" w:name="_Toc60631622"/>
      <w:bookmarkStart w:id="43" w:name="_Toc100052366"/>
      <w:bookmarkStart w:id="44" w:name="_Toc73521549"/>
      <w:bookmarkStart w:id="45" w:name="_Toc60560627"/>
      <w:bookmarkStart w:id="46" w:name="_Toc73517641"/>
      <w:bookmarkStart w:id="47" w:name="_Toc73521637"/>
      <w:r>
        <w:rPr>
          <w:rFonts w:ascii="黑体" w:hAnsi="宋体" w:eastAsia="黑体"/>
          <w:kern w:val="2"/>
          <w:lang w:eastAsia="zh-CN"/>
        </w:rPr>
        <w:t>1．</w:t>
      </w:r>
      <w:r>
        <w:rPr>
          <w:rFonts w:hint="eastAsia" w:ascii="黑体" w:hAnsi="宋体" w:eastAsia="黑体"/>
          <w:kern w:val="2"/>
          <w:lang w:eastAsia="zh-CN"/>
        </w:rPr>
        <w:t>招标说明</w:t>
      </w:r>
      <w:bookmarkEnd w:id="41"/>
      <w:bookmarkEnd w:id="42"/>
      <w:bookmarkEnd w:id="43"/>
      <w:bookmarkEnd w:id="44"/>
      <w:bookmarkEnd w:id="45"/>
      <w:bookmarkEnd w:id="46"/>
      <w:bookmarkEnd w:id="47"/>
    </w:p>
    <w:p w14:paraId="41E9ADCF">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本项目参照《深圳经济特区政府采购条例》及其实施细则等有关文件的规定，通过</w:t>
      </w:r>
      <w:r>
        <w:rPr>
          <w:rFonts w:hint="eastAsia" w:eastAsia="宋体"/>
          <w:kern w:val="2"/>
          <w:sz w:val="21"/>
          <w:szCs w:val="21"/>
          <w:lang w:eastAsia="zh-CN"/>
        </w:rPr>
        <w:t>评审定标方式确定成交供应商。</w:t>
      </w:r>
    </w:p>
    <w:p w14:paraId="627C2BBB">
      <w:pPr>
        <w:widowControl w:val="0"/>
        <w:spacing w:line="360" w:lineRule="auto"/>
        <w:jc w:val="both"/>
        <w:rPr>
          <w:rFonts w:ascii="黑体" w:hAnsi="宋体" w:eastAsia="黑体"/>
          <w:kern w:val="2"/>
          <w:lang w:eastAsia="zh-CN"/>
        </w:rPr>
      </w:pPr>
      <w:bookmarkStart w:id="48" w:name="_Toc60631623"/>
      <w:bookmarkStart w:id="49" w:name="_Toc60560628"/>
      <w:bookmarkStart w:id="50" w:name="_Toc73518120"/>
      <w:bookmarkStart w:id="51" w:name="_Toc100052367"/>
      <w:bookmarkStart w:id="52" w:name="_Toc73521550"/>
      <w:bookmarkStart w:id="53" w:name="_Toc73521638"/>
      <w:bookmarkStart w:id="54" w:name="_Toc73517642"/>
      <w:r>
        <w:rPr>
          <w:rFonts w:ascii="黑体" w:hAnsi="宋体" w:eastAsia="黑体"/>
          <w:kern w:val="2"/>
          <w:lang w:eastAsia="zh-CN"/>
        </w:rPr>
        <w:t>2</w:t>
      </w:r>
      <w:r>
        <w:rPr>
          <w:rFonts w:hint="eastAsia" w:ascii="黑体" w:hAnsi="宋体" w:eastAsia="黑体"/>
          <w:kern w:val="2"/>
          <w:lang w:eastAsia="zh-CN"/>
        </w:rPr>
        <w:t>．定义</w:t>
      </w:r>
      <w:bookmarkEnd w:id="48"/>
      <w:bookmarkEnd w:id="49"/>
      <w:bookmarkEnd w:id="50"/>
      <w:bookmarkEnd w:id="51"/>
      <w:bookmarkEnd w:id="52"/>
      <w:bookmarkEnd w:id="53"/>
      <w:bookmarkEnd w:id="54"/>
    </w:p>
    <w:p w14:paraId="26BFFF92">
      <w:pPr>
        <w:widowControl w:val="0"/>
        <w:ind w:firstLine="420" w:firstLineChars="200"/>
        <w:jc w:val="both"/>
        <w:rPr>
          <w:rFonts w:ascii="宋体" w:hAnsi="宋体" w:eastAsia="宋体"/>
          <w:kern w:val="2"/>
          <w:sz w:val="21"/>
          <w:szCs w:val="21"/>
          <w:lang w:eastAsia="zh-CN"/>
        </w:rPr>
      </w:pPr>
      <w:r>
        <w:rPr>
          <w:rFonts w:ascii="宋体" w:hAnsi="宋体" w:eastAsia="宋体"/>
          <w:kern w:val="2"/>
          <w:sz w:val="21"/>
          <w:szCs w:val="21"/>
          <w:lang w:eastAsia="zh-CN"/>
        </w:rPr>
        <w:t>招标文件中下列术语应解释为：</w:t>
      </w:r>
    </w:p>
    <w:p w14:paraId="2436F7D9">
      <w:pPr>
        <w:widowControl w:val="0"/>
        <w:ind w:firstLine="411" w:firstLineChars="196"/>
        <w:jc w:val="both"/>
        <w:rPr>
          <w:rFonts w:ascii="宋体" w:hAnsi="宋体" w:eastAsia="宋体"/>
          <w:kern w:val="2"/>
          <w:sz w:val="21"/>
          <w:szCs w:val="21"/>
          <w:lang w:eastAsia="zh-CN"/>
        </w:rPr>
      </w:pPr>
      <w:r>
        <w:rPr>
          <w:rFonts w:ascii="宋体" w:hAnsi="宋体" w:eastAsia="宋体"/>
          <w:kern w:val="2"/>
          <w:sz w:val="21"/>
          <w:szCs w:val="21"/>
          <w:lang w:eastAsia="zh-CN"/>
        </w:rPr>
        <w:t>2</w:t>
      </w:r>
      <w:r>
        <w:rPr>
          <w:rFonts w:hint="eastAsia" w:ascii="宋体" w:hAnsi="宋体" w:eastAsia="宋体"/>
          <w:kern w:val="2"/>
          <w:sz w:val="21"/>
          <w:szCs w:val="21"/>
          <w:lang w:eastAsia="zh-CN"/>
        </w:rPr>
        <w:t>.1“日期”</w:t>
      </w:r>
      <w:r>
        <w:rPr>
          <w:rFonts w:ascii="宋体" w:hAnsi="宋体" w:eastAsia="宋体"/>
          <w:kern w:val="2"/>
          <w:sz w:val="21"/>
          <w:szCs w:val="21"/>
          <w:lang w:eastAsia="zh-CN"/>
        </w:rPr>
        <w:t>指</w:t>
      </w:r>
      <w:r>
        <w:rPr>
          <w:rFonts w:hint="eastAsia" w:ascii="宋体" w:hAnsi="宋体" w:eastAsia="宋体"/>
          <w:kern w:val="2"/>
          <w:sz w:val="21"/>
          <w:szCs w:val="21"/>
          <w:lang w:eastAsia="zh-CN"/>
        </w:rPr>
        <w:t>公历日；</w:t>
      </w:r>
    </w:p>
    <w:p w14:paraId="5D7868B9">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2.2“</w:t>
      </w:r>
      <w:r>
        <w:rPr>
          <w:rFonts w:hint="eastAsia" w:eastAsia="宋体"/>
          <w:kern w:val="2"/>
          <w:sz w:val="21"/>
          <w:lang w:eastAsia="zh-CN"/>
        </w:rPr>
        <w:t>招标文件</w:t>
      </w:r>
      <w:r>
        <w:rPr>
          <w:rFonts w:hint="eastAsia" w:ascii="宋体" w:hAnsi="宋体" w:eastAsia="宋体"/>
          <w:kern w:val="2"/>
          <w:sz w:val="21"/>
          <w:szCs w:val="21"/>
          <w:lang w:eastAsia="zh-CN"/>
        </w:rPr>
        <w:t>”指采购文件；</w:t>
      </w:r>
    </w:p>
    <w:p w14:paraId="374FE330">
      <w:pPr>
        <w:widowControl w:val="0"/>
        <w:ind w:firstLine="411" w:firstLineChars="196"/>
        <w:jc w:val="both"/>
        <w:rPr>
          <w:rFonts w:ascii="宋体" w:hAnsi="宋体" w:eastAsia="宋体"/>
          <w:kern w:val="2"/>
          <w:sz w:val="21"/>
          <w:szCs w:val="21"/>
          <w:lang w:eastAsia="zh-CN"/>
        </w:rPr>
      </w:pPr>
      <w:r>
        <w:rPr>
          <w:rFonts w:ascii="宋体" w:hAnsi="宋体" w:eastAsia="宋体"/>
          <w:kern w:val="2"/>
          <w:sz w:val="21"/>
          <w:szCs w:val="21"/>
          <w:lang w:eastAsia="zh-CN"/>
        </w:rPr>
        <w:t>2.</w:t>
      </w:r>
      <w:r>
        <w:rPr>
          <w:rFonts w:hint="eastAsia" w:ascii="宋体" w:hAnsi="宋体" w:eastAsia="宋体"/>
          <w:kern w:val="2"/>
          <w:sz w:val="21"/>
          <w:szCs w:val="21"/>
          <w:lang w:eastAsia="zh-CN"/>
        </w:rPr>
        <w:t>3“应答文件”指响应文件；</w:t>
      </w:r>
    </w:p>
    <w:p w14:paraId="0B21C54F">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2.4 “成交”指中标；</w:t>
      </w:r>
    </w:p>
    <w:p w14:paraId="4E97E858">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2.5“合同”指由本次招标所产生的合同或合约文件；</w:t>
      </w:r>
    </w:p>
    <w:p w14:paraId="4692F3AE">
      <w:pPr>
        <w:widowControl w:val="0"/>
        <w:ind w:firstLine="411" w:firstLineChars="196"/>
        <w:jc w:val="both"/>
        <w:rPr>
          <w:rFonts w:ascii="宋体" w:hAnsi="宋体" w:eastAsia="宋体"/>
          <w:kern w:val="2"/>
          <w:sz w:val="21"/>
          <w:szCs w:val="21"/>
          <w:lang w:eastAsia="zh-CN"/>
        </w:rPr>
      </w:pPr>
      <w:r>
        <w:rPr>
          <w:rFonts w:ascii="宋体" w:hAnsi="宋体" w:eastAsia="宋体"/>
          <w:kern w:val="2"/>
          <w:sz w:val="21"/>
          <w:szCs w:val="21"/>
          <w:lang w:eastAsia="zh-CN"/>
        </w:rPr>
        <w:t>2.</w:t>
      </w:r>
      <w:r>
        <w:rPr>
          <w:rFonts w:hint="eastAsia" w:ascii="宋体" w:hAnsi="宋体" w:eastAsia="宋体"/>
          <w:kern w:val="2"/>
          <w:sz w:val="21"/>
          <w:szCs w:val="21"/>
          <w:lang w:eastAsia="zh-CN"/>
        </w:rPr>
        <w:t>6</w:t>
      </w:r>
      <w:r>
        <w:rPr>
          <w:rFonts w:ascii="宋体" w:hAnsi="宋体" w:eastAsia="宋体"/>
          <w:kern w:val="2"/>
          <w:sz w:val="21"/>
          <w:szCs w:val="21"/>
          <w:lang w:eastAsia="zh-CN"/>
        </w:rPr>
        <w:t>“网上</w:t>
      </w:r>
      <w:r>
        <w:rPr>
          <w:rFonts w:hint="eastAsia" w:ascii="宋体" w:hAnsi="宋体" w:eastAsia="宋体"/>
          <w:kern w:val="2"/>
          <w:sz w:val="21"/>
          <w:szCs w:val="21"/>
          <w:lang w:eastAsia="zh-CN"/>
        </w:rPr>
        <w:t>响应</w:t>
      </w:r>
      <w:r>
        <w:rPr>
          <w:rFonts w:ascii="宋体" w:hAnsi="宋体" w:eastAsia="宋体"/>
          <w:kern w:val="2"/>
          <w:sz w:val="21"/>
          <w:szCs w:val="21"/>
          <w:lang w:eastAsia="zh-CN"/>
        </w:rPr>
        <w:t>”指按照招标文件的规定并遵循相应的技术要求，通过深圳公共资源交易中心（深圳交易集团有限公司罗湖分公司）网站上传电子</w:t>
      </w:r>
      <w:r>
        <w:rPr>
          <w:rFonts w:hint="eastAsia" w:ascii="宋体" w:hAnsi="宋体" w:eastAsia="宋体"/>
          <w:kern w:val="2"/>
          <w:sz w:val="21"/>
          <w:szCs w:val="21"/>
          <w:lang w:eastAsia="zh-CN"/>
        </w:rPr>
        <w:t>响应</w:t>
      </w:r>
      <w:r>
        <w:rPr>
          <w:rFonts w:ascii="宋体" w:hAnsi="宋体" w:eastAsia="宋体"/>
          <w:kern w:val="2"/>
          <w:sz w:val="21"/>
          <w:szCs w:val="21"/>
          <w:lang w:eastAsia="zh-CN"/>
        </w:rPr>
        <w:t>文件的行为；</w:t>
      </w:r>
    </w:p>
    <w:p w14:paraId="2B8503B7">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2.7招标文件中的标题或题名仅起引导作用，而不应视为对招标文件内容的理解和解释；</w:t>
      </w:r>
    </w:p>
    <w:p w14:paraId="0116E70E">
      <w:pPr>
        <w:widowControl w:val="0"/>
        <w:ind w:firstLine="411" w:firstLineChars="196"/>
        <w:jc w:val="both"/>
        <w:rPr>
          <w:rFonts w:ascii="宋体" w:hAnsi="宋体" w:eastAsia="宋体"/>
          <w:kern w:val="2"/>
          <w:sz w:val="21"/>
          <w:szCs w:val="21"/>
          <w:lang w:eastAsia="zh-CN"/>
        </w:rPr>
      </w:pPr>
      <w:r>
        <w:rPr>
          <w:rFonts w:ascii="宋体" w:hAnsi="宋体" w:eastAsia="宋体"/>
          <w:kern w:val="2"/>
          <w:sz w:val="21"/>
          <w:szCs w:val="21"/>
          <w:lang w:eastAsia="zh-CN"/>
        </w:rPr>
        <w:t>2.</w:t>
      </w:r>
      <w:r>
        <w:rPr>
          <w:rFonts w:hint="eastAsia" w:ascii="宋体" w:hAnsi="宋体" w:eastAsia="宋体"/>
          <w:kern w:val="2"/>
          <w:sz w:val="21"/>
          <w:szCs w:val="21"/>
          <w:lang w:eastAsia="zh-CN"/>
        </w:rPr>
        <w:t>8除特别声明外，</w:t>
      </w:r>
      <w:bookmarkStart w:id="55" w:name="OLE_LINK4"/>
      <w:r>
        <w:rPr>
          <w:rFonts w:hint="eastAsia" w:ascii="宋体" w:hAnsi="宋体" w:eastAsia="宋体"/>
          <w:kern w:val="2"/>
          <w:sz w:val="21"/>
          <w:szCs w:val="21"/>
          <w:lang w:eastAsia="zh-CN"/>
        </w:rPr>
        <w:t>本招标文件所称的网站均指</w:t>
      </w:r>
      <w:bookmarkStart w:id="56" w:name="OLE_LINK2"/>
      <w:r>
        <w:rPr>
          <w:rFonts w:hint="eastAsia" w:ascii="宋体" w:hAnsi="宋体" w:eastAsia="宋体"/>
          <w:kern w:val="2"/>
          <w:sz w:val="21"/>
          <w:szCs w:val="21"/>
          <w:lang w:eastAsia="zh-CN"/>
        </w:rPr>
        <w:t>深圳交易集团罗湖分公司网站，网址：</w:t>
      </w:r>
      <w:bookmarkStart w:id="57" w:name="OLE_LINK1"/>
      <w:r>
        <w:rPr>
          <w:rFonts w:hint="eastAsia" w:ascii="宋体" w:hAnsi="宋体" w:eastAsia="宋体"/>
          <w:color w:val="FF0000"/>
          <w:kern w:val="2"/>
          <w:sz w:val="21"/>
          <w:szCs w:val="21"/>
          <w:lang w:eastAsia="zh-CN"/>
        </w:rPr>
        <w:t>https://lh.szexgrp.com/jyfw/zfcg-view.html?id=zfcg</w:t>
      </w:r>
      <w:bookmarkEnd w:id="57"/>
    </w:p>
    <w:bookmarkEnd w:id="55"/>
    <w:bookmarkEnd w:id="56"/>
    <w:p w14:paraId="37224B73">
      <w:pPr>
        <w:widowControl w:val="0"/>
        <w:spacing w:line="360" w:lineRule="auto"/>
        <w:jc w:val="both"/>
        <w:rPr>
          <w:rFonts w:ascii="黑体" w:hAnsi="宋体" w:eastAsia="黑体"/>
          <w:kern w:val="2"/>
          <w:lang w:eastAsia="zh-CN"/>
        </w:rPr>
      </w:pPr>
      <w:bookmarkStart w:id="58" w:name="_Toc73518121"/>
      <w:bookmarkStart w:id="59" w:name="_Toc60631624"/>
      <w:bookmarkStart w:id="60" w:name="_Toc73521551"/>
      <w:bookmarkStart w:id="61" w:name="_Toc100052368"/>
      <w:bookmarkStart w:id="62" w:name="_Toc73517643"/>
      <w:bookmarkStart w:id="63" w:name="_Toc73521639"/>
      <w:bookmarkStart w:id="64" w:name="_Toc60560629"/>
      <w:r>
        <w:rPr>
          <w:rFonts w:hint="eastAsia" w:ascii="黑体" w:hAnsi="宋体" w:eastAsia="黑体"/>
          <w:kern w:val="2"/>
          <w:lang w:eastAsia="zh-CN"/>
        </w:rPr>
        <w:t>3．响应供应商的资质要求</w:t>
      </w:r>
      <w:bookmarkEnd w:id="58"/>
      <w:bookmarkEnd w:id="59"/>
      <w:bookmarkEnd w:id="60"/>
      <w:bookmarkEnd w:id="61"/>
      <w:bookmarkEnd w:id="62"/>
      <w:bookmarkEnd w:id="63"/>
      <w:bookmarkEnd w:id="64"/>
    </w:p>
    <w:p w14:paraId="0BA498F3">
      <w:pPr>
        <w:widowControl w:val="0"/>
        <w:ind w:firstLine="411" w:firstLineChars="196"/>
        <w:jc w:val="both"/>
        <w:rPr>
          <w:rFonts w:ascii="宋体" w:hAnsi="宋体" w:eastAsia="宋体"/>
          <w:kern w:val="2"/>
          <w:sz w:val="21"/>
          <w:szCs w:val="21"/>
          <w:lang w:eastAsia="zh-CN"/>
        </w:rPr>
      </w:pPr>
      <w:bookmarkStart w:id="65" w:name="OLE_LINK39"/>
      <w:r>
        <w:rPr>
          <w:rFonts w:hint="eastAsia" w:ascii="宋体" w:hAnsi="宋体" w:eastAsia="宋体"/>
          <w:kern w:val="2"/>
          <w:sz w:val="21"/>
          <w:szCs w:val="21"/>
          <w:lang w:eastAsia="zh-CN"/>
        </w:rPr>
        <w:t>3</w:t>
      </w:r>
      <w:r>
        <w:rPr>
          <w:rFonts w:ascii="宋体" w:hAnsi="宋体" w:eastAsia="宋体"/>
          <w:kern w:val="2"/>
          <w:sz w:val="21"/>
          <w:szCs w:val="21"/>
          <w:lang w:eastAsia="zh-CN"/>
        </w:rPr>
        <w:t>.</w:t>
      </w:r>
      <w:r>
        <w:rPr>
          <w:rFonts w:hint="eastAsia" w:ascii="宋体" w:hAnsi="宋体" w:eastAsia="宋体"/>
          <w:kern w:val="2"/>
          <w:sz w:val="21"/>
          <w:szCs w:val="21"/>
          <w:lang w:eastAsia="zh-CN"/>
        </w:rPr>
        <w:t>1 参加本次响应的响应供应商应满足招标文件规定的资格条件，详</w:t>
      </w:r>
      <w:r>
        <w:rPr>
          <w:rFonts w:hint="eastAsia" w:ascii="宋体" w:hAnsi="宋体" w:eastAsia="宋体"/>
          <w:bCs/>
          <w:kern w:val="2"/>
          <w:sz w:val="21"/>
          <w:szCs w:val="21"/>
          <w:lang w:eastAsia="zh-CN"/>
        </w:rPr>
        <w:t>见招标公告有关响应供应商资格要求。</w:t>
      </w:r>
    </w:p>
    <w:bookmarkEnd w:id="65"/>
    <w:p w14:paraId="0BDD81E9">
      <w:pPr>
        <w:widowControl w:val="0"/>
        <w:spacing w:line="360" w:lineRule="auto"/>
        <w:jc w:val="both"/>
        <w:rPr>
          <w:rFonts w:ascii="黑体" w:hAnsi="宋体" w:eastAsia="黑体"/>
          <w:kern w:val="2"/>
          <w:lang w:eastAsia="zh-CN"/>
        </w:rPr>
      </w:pPr>
      <w:bookmarkStart w:id="66" w:name="_Toc60560631"/>
      <w:bookmarkStart w:id="67" w:name="_Toc73518123"/>
      <w:bookmarkStart w:id="68" w:name="_Toc60631626"/>
      <w:bookmarkStart w:id="69" w:name="_Toc100052370"/>
      <w:bookmarkStart w:id="70" w:name="_Toc73521641"/>
      <w:bookmarkStart w:id="71" w:name="_Toc73517645"/>
      <w:bookmarkStart w:id="72" w:name="_Toc73521553"/>
      <w:r>
        <w:rPr>
          <w:rFonts w:hint="eastAsia" w:ascii="黑体" w:hAnsi="宋体" w:eastAsia="黑体"/>
          <w:kern w:val="2"/>
          <w:lang w:eastAsia="zh-CN"/>
        </w:rPr>
        <w:t>4．响应费用</w:t>
      </w:r>
      <w:bookmarkEnd w:id="66"/>
      <w:bookmarkEnd w:id="67"/>
      <w:bookmarkEnd w:id="68"/>
      <w:bookmarkEnd w:id="69"/>
      <w:bookmarkEnd w:id="70"/>
      <w:bookmarkEnd w:id="71"/>
      <w:bookmarkEnd w:id="72"/>
    </w:p>
    <w:p w14:paraId="5F8FA2E9">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lang w:eastAsia="zh-CN"/>
        </w:rPr>
        <w:t>不论响应的结果如何，响应</w:t>
      </w:r>
      <w:r>
        <w:rPr>
          <w:rFonts w:hint="eastAsia" w:ascii="宋体" w:hAnsi="宋体" w:eastAsia="宋体"/>
          <w:color w:val="000000"/>
          <w:kern w:val="2"/>
          <w:sz w:val="21"/>
          <w:szCs w:val="21"/>
          <w:lang w:eastAsia="zh-CN"/>
        </w:rPr>
        <w:t>供应商</w:t>
      </w:r>
      <w:r>
        <w:rPr>
          <w:rFonts w:hint="eastAsia" w:ascii="宋体" w:hAnsi="宋体" w:eastAsia="宋体"/>
          <w:kern w:val="2"/>
          <w:sz w:val="21"/>
          <w:lang w:eastAsia="zh-CN"/>
        </w:rPr>
        <w:t>应承担所有与准备和参加响应</w:t>
      </w:r>
      <w:r>
        <w:rPr>
          <w:rFonts w:hint="eastAsia" w:ascii="宋体" w:hAnsi="宋体" w:eastAsia="宋体"/>
          <w:kern w:val="2"/>
          <w:sz w:val="21"/>
          <w:szCs w:val="21"/>
          <w:lang w:eastAsia="zh-CN"/>
        </w:rPr>
        <w:t>(含实物样品)</w:t>
      </w:r>
      <w:r>
        <w:rPr>
          <w:rFonts w:hint="eastAsia" w:ascii="宋体" w:hAnsi="宋体" w:eastAsia="宋体"/>
          <w:kern w:val="2"/>
          <w:sz w:val="21"/>
          <w:lang w:eastAsia="zh-CN"/>
        </w:rPr>
        <w:t>有关的费用，深圳公共资源交易中心（深圳交易集团有限公司罗湖分公司）和采购单位均无义务、也无责任承担这些费用。</w:t>
      </w:r>
      <w:bookmarkStart w:id="73" w:name="_Toc78260681"/>
      <w:bookmarkStart w:id="74" w:name="_Toc100052372"/>
    </w:p>
    <w:p w14:paraId="2C1DD74F">
      <w:pPr>
        <w:widowControl w:val="0"/>
        <w:spacing w:line="360" w:lineRule="auto"/>
        <w:jc w:val="both"/>
        <w:rPr>
          <w:rFonts w:ascii="黑体" w:hAnsi="宋体" w:eastAsia="黑体"/>
          <w:kern w:val="2"/>
          <w:lang w:eastAsia="zh-CN"/>
        </w:rPr>
      </w:pPr>
      <w:r>
        <w:rPr>
          <w:rFonts w:hint="eastAsia" w:ascii="黑体" w:hAnsi="宋体" w:eastAsia="黑体"/>
          <w:kern w:val="2"/>
          <w:lang w:eastAsia="zh-CN"/>
        </w:rPr>
        <w:t>5．招标</w:t>
      </w:r>
      <w:bookmarkEnd w:id="73"/>
      <w:r>
        <w:rPr>
          <w:rFonts w:hint="eastAsia" w:ascii="黑体" w:hAnsi="宋体" w:eastAsia="黑体"/>
          <w:kern w:val="2"/>
          <w:lang w:eastAsia="zh-CN"/>
        </w:rPr>
        <w:t>答疑</w:t>
      </w:r>
      <w:bookmarkEnd w:id="74"/>
      <w:r>
        <w:rPr>
          <w:rFonts w:hint="eastAsia" w:ascii="黑体" w:hAnsi="宋体" w:eastAsia="黑体"/>
          <w:kern w:val="2"/>
          <w:lang w:eastAsia="zh-CN"/>
        </w:rPr>
        <w:t>、质疑</w:t>
      </w:r>
    </w:p>
    <w:p w14:paraId="16669128">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5.1招标答疑的目的是澄清、解答响应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在查阅招标文件后可能提出的与响应有关的问题；</w:t>
      </w:r>
    </w:p>
    <w:p w14:paraId="2FD98FE2">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5.2响应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提出的与响应有关的问题须在招标文件规定的截止时间前以网上形式提交给深圳公共资源交易中心（深圳交易集团有限公司罗湖分公司）；</w:t>
      </w:r>
    </w:p>
    <w:p w14:paraId="58B1EA9F">
      <w:pPr>
        <w:widowControl w:val="0"/>
        <w:ind w:firstLine="420"/>
        <w:jc w:val="both"/>
        <w:rPr>
          <w:rFonts w:ascii="宋体" w:hAnsi="宋体" w:eastAsia="宋体" w:cs="宋体"/>
          <w:sz w:val="21"/>
          <w:szCs w:val="21"/>
          <w:lang w:eastAsia="zh-CN"/>
        </w:rPr>
      </w:pPr>
      <w:r>
        <w:rPr>
          <w:rFonts w:hint="eastAsia" w:ascii="宋体" w:hAnsi="宋体" w:eastAsia="宋体"/>
          <w:kern w:val="2"/>
          <w:sz w:val="21"/>
          <w:szCs w:val="21"/>
          <w:lang w:eastAsia="zh-CN"/>
        </w:rPr>
        <w:t>5.3</w:t>
      </w:r>
      <w:r>
        <w:rPr>
          <w:rFonts w:hint="eastAsia" w:ascii="宋体" w:hAnsi="宋体" w:eastAsia="宋体" w:cs="宋体"/>
          <w:sz w:val="21"/>
          <w:szCs w:val="21"/>
          <w:lang w:eastAsia="zh-CN"/>
        </w:rPr>
        <w:t>供应商如认为招标文件、采购过程、中标或成交结果等采购程序环节存在下列情形使其权益受到损害的，存在限制性、倾向性、其权益受到损害，可以依法向</w:t>
      </w:r>
      <w:r>
        <w:rPr>
          <w:rFonts w:hint="eastAsia" w:ascii="宋体" w:hAnsi="宋体" w:eastAsia="宋体"/>
          <w:kern w:val="2"/>
          <w:sz w:val="21"/>
          <w:szCs w:val="21"/>
          <w:lang w:eastAsia="zh-CN"/>
        </w:rPr>
        <w:t>深圳公共资源交易中心（深圳交易集团有限公司罗湖分公司）</w:t>
      </w:r>
      <w:r>
        <w:rPr>
          <w:rFonts w:hint="eastAsia" w:ascii="宋体" w:hAnsi="宋体" w:eastAsia="宋体" w:cs="宋体"/>
          <w:sz w:val="21"/>
          <w:szCs w:val="21"/>
          <w:lang w:eastAsia="zh-CN"/>
        </w:rPr>
        <w:t>以书面形式提出质疑。</w:t>
      </w:r>
    </w:p>
    <w:p w14:paraId="2660DDEE">
      <w:pPr>
        <w:widowControl w:val="0"/>
        <w:ind w:firstLine="420"/>
        <w:jc w:val="both"/>
        <w:rPr>
          <w:rFonts w:ascii="宋体" w:hAnsi="宋体" w:eastAsia="宋体" w:cs="宋体"/>
          <w:sz w:val="21"/>
          <w:szCs w:val="21"/>
          <w:lang w:eastAsia="zh-CN"/>
        </w:rPr>
      </w:pPr>
      <w:r>
        <w:rPr>
          <w:rFonts w:hint="eastAsia" w:ascii="宋体" w:hAnsi="宋体" w:eastAsia="宋体"/>
          <w:kern w:val="2"/>
          <w:sz w:val="21"/>
          <w:szCs w:val="21"/>
          <w:lang w:eastAsia="zh-CN"/>
        </w:rPr>
        <w:t>5.3.1</w:t>
      </w:r>
      <w:r>
        <w:rPr>
          <w:rFonts w:hint="eastAsia" w:ascii="宋体" w:hAnsi="宋体" w:eastAsia="宋体" w:cs="宋体"/>
          <w:sz w:val="21"/>
          <w:szCs w:val="21"/>
          <w:lang w:eastAsia="zh-CN"/>
        </w:rPr>
        <w:t>供应商应按以下规定时限提出质疑：</w:t>
      </w:r>
    </w:p>
    <w:p w14:paraId="6AD872CB">
      <w:pPr>
        <w:widowControl w:val="0"/>
        <w:ind w:firstLine="420"/>
        <w:jc w:val="both"/>
        <w:rPr>
          <w:rFonts w:ascii="宋体" w:hAnsi="宋体" w:eastAsia="宋体" w:cs="宋体"/>
          <w:sz w:val="21"/>
          <w:szCs w:val="21"/>
          <w:lang w:eastAsia="zh-CN"/>
        </w:rPr>
      </w:pPr>
      <w:r>
        <w:rPr>
          <w:rFonts w:hint="eastAsia" w:ascii="宋体" w:hAnsi="宋体" w:eastAsia="宋体" w:cs="宋体"/>
          <w:sz w:val="21"/>
          <w:szCs w:val="21"/>
          <w:lang w:eastAsia="zh-CN"/>
        </w:rPr>
        <w:t>（1）对招标（采购）文件的质疑，为招标（采购）公告公示期内；</w:t>
      </w:r>
    </w:p>
    <w:p w14:paraId="7EB1C3C5">
      <w:pPr>
        <w:widowControl w:val="0"/>
        <w:ind w:firstLine="420"/>
        <w:jc w:val="both"/>
        <w:rPr>
          <w:rFonts w:ascii="宋体" w:hAnsi="宋体" w:eastAsia="宋体" w:cs="宋体"/>
          <w:sz w:val="21"/>
          <w:szCs w:val="21"/>
          <w:lang w:eastAsia="zh-CN"/>
        </w:rPr>
      </w:pPr>
      <w:r>
        <w:rPr>
          <w:rFonts w:hint="eastAsia" w:ascii="宋体" w:hAnsi="宋体" w:eastAsia="宋体" w:cs="宋体"/>
          <w:sz w:val="21"/>
          <w:szCs w:val="21"/>
          <w:lang w:eastAsia="zh-CN"/>
        </w:rPr>
        <w:t>（2）对中标（成交）结果以及谈判小组、谈判小组组成人员的质疑，为中标（成交）结果公示期内；</w:t>
      </w:r>
    </w:p>
    <w:p w14:paraId="41C8796A">
      <w:pPr>
        <w:widowControl w:val="0"/>
        <w:ind w:firstLine="420"/>
        <w:jc w:val="both"/>
        <w:rPr>
          <w:rFonts w:ascii="宋体" w:hAnsi="宋体" w:eastAsia="宋体" w:cs="宋体"/>
          <w:sz w:val="21"/>
          <w:szCs w:val="21"/>
          <w:lang w:eastAsia="zh-CN"/>
        </w:rPr>
      </w:pPr>
      <w:r>
        <w:rPr>
          <w:rFonts w:hint="eastAsia" w:ascii="宋体" w:hAnsi="宋体" w:eastAsia="宋体" w:cs="宋体"/>
          <w:sz w:val="21"/>
          <w:szCs w:val="21"/>
          <w:lang w:eastAsia="zh-CN"/>
        </w:rPr>
        <w:t>（3）对项目发布更正公告的（包括但不限于采购文件的澄清或修改、中标或成交结果的改变）且供应商针对更正事项提出质疑的，为更正公告公示期内。</w:t>
      </w:r>
    </w:p>
    <w:p w14:paraId="047C0EAE">
      <w:pPr>
        <w:widowControl w:val="0"/>
        <w:ind w:firstLine="420"/>
        <w:jc w:val="both"/>
        <w:rPr>
          <w:rFonts w:ascii="宋体" w:hAnsi="宋体" w:eastAsia="宋体"/>
          <w:kern w:val="2"/>
          <w:sz w:val="21"/>
          <w:szCs w:val="21"/>
          <w:lang w:eastAsia="zh-CN"/>
        </w:rPr>
      </w:pPr>
      <w:r>
        <w:rPr>
          <w:rFonts w:hint="eastAsia" w:ascii="宋体" w:hAnsi="宋体" w:eastAsia="宋体"/>
          <w:kern w:val="2"/>
          <w:sz w:val="21"/>
          <w:szCs w:val="21"/>
          <w:lang w:eastAsia="zh-CN"/>
        </w:rPr>
        <w:t>5.3.2书面质疑函应当包括以下内容：</w:t>
      </w:r>
      <w:r>
        <w:rPr>
          <w:rFonts w:ascii="宋体" w:hAnsi="宋体" w:eastAsia="宋体"/>
          <w:kern w:val="2"/>
          <w:sz w:val="21"/>
          <w:szCs w:val="21"/>
          <w:lang w:eastAsia="zh-CN"/>
        </w:rPr>
        <w:t xml:space="preserve"> </w:t>
      </w:r>
    </w:p>
    <w:p w14:paraId="6084D8FB">
      <w:pPr>
        <w:widowControl w:val="0"/>
        <w:ind w:firstLine="420"/>
        <w:jc w:val="both"/>
        <w:rPr>
          <w:rFonts w:ascii="宋体" w:hAnsi="宋体" w:eastAsia="宋体"/>
          <w:kern w:val="2"/>
          <w:sz w:val="21"/>
          <w:szCs w:val="21"/>
          <w:lang w:eastAsia="zh-CN"/>
        </w:rPr>
      </w:pPr>
      <w:r>
        <w:rPr>
          <w:rFonts w:hint="eastAsia" w:ascii="宋体" w:hAnsi="宋体" w:eastAsia="宋体"/>
          <w:kern w:val="2"/>
          <w:sz w:val="21"/>
          <w:szCs w:val="21"/>
          <w:lang w:eastAsia="zh-CN"/>
        </w:rPr>
        <w:t>（1）供应商的名称（或者姓名）、地址、邮编、邮箱、联系人及联系电话；</w:t>
      </w:r>
    </w:p>
    <w:p w14:paraId="204481B8">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（2）质疑项目的名称、编号；</w:t>
      </w:r>
    </w:p>
    <w:p w14:paraId="2A6CE9EC">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（3）具体、明确的质疑对象、质疑事项和质疑请求；</w:t>
      </w:r>
    </w:p>
    <w:p w14:paraId="76654951">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（4）因质疑事项而受损害的权益；</w:t>
      </w:r>
    </w:p>
    <w:p w14:paraId="321B5D87">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（5）事实依据；</w:t>
      </w:r>
    </w:p>
    <w:p w14:paraId="1D32C8C7">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（6）必要的法律依据；</w:t>
      </w:r>
    </w:p>
    <w:p w14:paraId="243B9A45">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（7）提出质疑的日期。</w:t>
      </w:r>
    </w:p>
    <w:p w14:paraId="2FD8640F">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供应商为自然人的，应当由本人签字；供应商为法人或者其他组织的，应当由法定代表人（负责人），或者其授权代理人签字或者盖章，并加盖公章。</w:t>
      </w:r>
    </w:p>
    <w:p w14:paraId="1479A784">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5.3.3提交</w:t>
      </w:r>
      <w:r>
        <w:rPr>
          <w:rFonts w:ascii="宋体" w:hAnsi="宋体" w:eastAsia="宋体"/>
          <w:kern w:val="2"/>
          <w:sz w:val="21"/>
          <w:szCs w:val="21"/>
          <w:lang w:eastAsia="zh-CN"/>
        </w:rPr>
        <w:t>材料</w:t>
      </w:r>
    </w:p>
    <w:p w14:paraId="017449BE">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供应商质疑实行实名制。质疑（投诉）人应保证质疑、投诉的真实性，其在质疑或投诉时应当有具体的事项及证明利益受损的事实根据，实行“谁质疑，谁举证”的原则。</w:t>
      </w:r>
    </w:p>
    <w:p w14:paraId="5BA34853">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供应商为自然人的，应当提交本人身份证复印件；供应商为法人或者其他组织的，应当根据自身性质提交营业执照复印件或者其他证明文件（如事业单位法人证书等）复印件。</w:t>
      </w:r>
    </w:p>
    <w:p w14:paraId="270171E3">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供应商可以委托代理人进行质疑。</w:t>
      </w:r>
      <w:r>
        <w:rPr>
          <w:rFonts w:ascii="宋体" w:hAnsi="宋体" w:eastAsia="宋体"/>
          <w:kern w:val="2"/>
          <w:sz w:val="21"/>
          <w:szCs w:val="21"/>
          <w:lang w:eastAsia="zh-CN"/>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4A1BCB51">
      <w:pPr>
        <w:widowControl w:val="0"/>
        <w:ind w:firstLine="420" w:firstLineChars="200"/>
        <w:jc w:val="both"/>
        <w:rPr>
          <w:rFonts w:ascii="宋体" w:hAnsi="宋体" w:eastAsia="宋体"/>
          <w:b/>
          <w:kern w:val="2"/>
          <w:sz w:val="21"/>
          <w:szCs w:val="21"/>
          <w:lang w:eastAsia="zh-CN"/>
        </w:rPr>
      </w:pPr>
      <w:r>
        <w:rPr>
          <w:rFonts w:hint="eastAsia" w:ascii="宋体" w:hAnsi="宋体" w:eastAsia="宋体"/>
          <w:kern w:val="2"/>
          <w:sz w:val="21"/>
          <w:szCs w:val="21"/>
          <w:lang w:eastAsia="zh-CN"/>
        </w:rPr>
        <w:t>5.3.4</w:t>
      </w:r>
      <w:r>
        <w:rPr>
          <w:rFonts w:hint="eastAsia" w:ascii="宋体" w:hAnsi="宋体" w:eastAsia="宋体"/>
          <w:b/>
          <w:kern w:val="2"/>
          <w:sz w:val="21"/>
          <w:szCs w:val="21"/>
          <w:lang w:eastAsia="zh-CN"/>
        </w:rPr>
        <w:t>收文单位、地点</w:t>
      </w:r>
    </w:p>
    <w:p w14:paraId="50D81B15">
      <w:pPr>
        <w:widowControl w:val="0"/>
        <w:ind w:firstLine="420" w:firstLineChars="200"/>
        <w:jc w:val="both"/>
        <w:rPr>
          <w:rFonts w:ascii="宋体" w:hAnsi="宋体" w:eastAsia="宋体"/>
          <w:b/>
          <w:bCs/>
          <w:kern w:val="2"/>
          <w:sz w:val="21"/>
          <w:szCs w:val="21"/>
          <w:lang w:eastAsia="zh-CN"/>
        </w:rPr>
      </w:pPr>
      <w:r>
        <w:rPr>
          <w:rFonts w:hint="eastAsia" w:ascii="宋体" w:hAnsi="宋体" w:eastAsia="宋体"/>
          <w:kern w:val="2"/>
          <w:sz w:val="21"/>
          <w:szCs w:val="21"/>
          <w:lang w:eastAsia="zh-CN"/>
        </w:rPr>
        <w:t>提交方式：请质疑供应商根据深圳政府采购智慧平台（https://www.szggzy.com/globalSearch/details.html?contentId=1211037）所发布的质疑指引、质疑函模板填写质疑函并提交质疑材料。</w:t>
      </w:r>
    </w:p>
    <w:p w14:paraId="77FB7F3C">
      <w:pPr>
        <w:widowControl w:val="0"/>
        <w:ind w:firstLine="422" w:firstLineChars="200"/>
        <w:jc w:val="both"/>
        <w:rPr>
          <w:rFonts w:ascii="宋体" w:hAnsi="宋体" w:eastAsia="宋体"/>
          <w:b/>
          <w:bCs/>
          <w:kern w:val="2"/>
          <w:sz w:val="21"/>
          <w:szCs w:val="21"/>
          <w:lang w:eastAsia="zh-CN"/>
        </w:rPr>
      </w:pPr>
      <w:r>
        <w:rPr>
          <w:rFonts w:hint="eastAsia" w:ascii="宋体" w:hAnsi="宋体" w:eastAsia="宋体"/>
          <w:b/>
          <w:bCs/>
          <w:kern w:val="2"/>
          <w:sz w:val="21"/>
          <w:szCs w:val="21"/>
          <w:lang w:eastAsia="zh-CN"/>
        </w:rPr>
        <w:t>收文单位：深圳公共资源交易中心（深圳交易集团有限公司罗湖分公司），地址：</w:t>
      </w:r>
      <w:r>
        <w:rPr>
          <w:rFonts w:hint="eastAsia" w:ascii="宋体" w:hAnsi="宋体" w:eastAsia="宋体"/>
          <w:b/>
          <w:bCs/>
          <w:kern w:val="2"/>
          <w:sz w:val="21"/>
          <w:lang w:eastAsia="zh-CN"/>
        </w:rPr>
        <w:t>深圳市罗湖区深南东路1076号党群服务中心4、</w:t>
      </w:r>
      <w:r>
        <w:rPr>
          <w:rFonts w:hint="eastAsia" w:ascii="宋体" w:hAnsi="宋体" w:eastAsia="宋体"/>
          <w:b/>
          <w:bCs/>
          <w:kern w:val="2"/>
          <w:sz w:val="21"/>
          <w:szCs w:val="21"/>
          <w:lang w:eastAsia="zh-CN"/>
        </w:rPr>
        <w:t>5楼，质疑咨询电话：0755-82230808。</w:t>
      </w:r>
    </w:p>
    <w:p w14:paraId="76912B08">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5.4深圳公共资源交易中心（深圳交易集团有限公司罗湖分公司）对疑问所做出的澄清和解答，以书面形式（包括网站发布信息）统一答复为准。</w:t>
      </w:r>
    </w:p>
    <w:p w14:paraId="20DBB905">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5.5如深圳公共资源交易中心（深圳交易集团有限公司罗湖分公司）认为有必要组织现场招标答疑会，响应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应按照招标文件规定的时间或深圳公共资源交易中心（深圳交易集团有限公司罗湖分公司）另行书面通知（包括网站发布信息）的时间和地点，参与招标答疑会；</w:t>
      </w:r>
    </w:p>
    <w:p w14:paraId="48BFE913">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5.6未参与招标答疑不作为否定响应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资格的理由。</w:t>
      </w:r>
    </w:p>
    <w:p w14:paraId="2D06A45B">
      <w:pPr>
        <w:widowControl w:val="0"/>
        <w:spacing w:after="120"/>
        <w:ind w:left="480" w:leftChars="200" w:firstLine="420" w:firstLineChars="200"/>
        <w:jc w:val="both"/>
        <w:rPr>
          <w:rFonts w:eastAsia="宋体"/>
          <w:kern w:val="2"/>
          <w:sz w:val="21"/>
          <w:lang w:eastAsia="zh-CN"/>
        </w:rPr>
      </w:pPr>
    </w:p>
    <w:p w14:paraId="7C75290F">
      <w:pPr>
        <w:keepNext/>
        <w:keepLines/>
        <w:widowControl w:val="0"/>
        <w:adjustRightInd w:val="0"/>
        <w:spacing w:before="260" w:after="260"/>
        <w:jc w:val="center"/>
        <w:outlineLvl w:val="1"/>
        <w:rPr>
          <w:rFonts w:ascii="宋体" w:hAnsi="宋体" w:eastAsia="宋体" w:cs="宋体"/>
          <w:b/>
          <w:bCs/>
          <w:szCs w:val="20"/>
          <w:lang w:eastAsia="zh-CN"/>
        </w:rPr>
      </w:pPr>
      <w:bookmarkStart w:id="75" w:name="_Toc194467301"/>
      <w:bookmarkStart w:id="76" w:name="_Toc73521556"/>
      <w:bookmarkStart w:id="77" w:name="_Toc73517648"/>
      <w:bookmarkStart w:id="78" w:name="_Toc100052373"/>
      <w:bookmarkStart w:id="79" w:name="_Toc73518126"/>
      <w:bookmarkStart w:id="80" w:name="_Toc101074878"/>
      <w:bookmarkStart w:id="81" w:name="_Toc73521644"/>
      <w:r>
        <w:rPr>
          <w:rFonts w:hint="eastAsia" w:ascii="宋体" w:hAnsi="宋体" w:eastAsia="宋体" w:cs="宋体"/>
          <w:b/>
          <w:bCs/>
          <w:szCs w:val="20"/>
          <w:lang w:eastAsia="zh-CN"/>
        </w:rPr>
        <w:t>第二章 招标文件</w:t>
      </w:r>
      <w:bookmarkEnd w:id="75"/>
      <w:bookmarkEnd w:id="76"/>
      <w:bookmarkEnd w:id="77"/>
      <w:bookmarkEnd w:id="78"/>
      <w:bookmarkEnd w:id="79"/>
      <w:bookmarkEnd w:id="80"/>
      <w:bookmarkEnd w:id="81"/>
    </w:p>
    <w:p w14:paraId="0D3BC4E2">
      <w:pPr>
        <w:widowControl w:val="0"/>
        <w:spacing w:line="360" w:lineRule="auto"/>
        <w:jc w:val="both"/>
        <w:rPr>
          <w:rFonts w:ascii="黑体" w:hAnsi="宋体" w:eastAsia="黑体"/>
          <w:kern w:val="2"/>
          <w:lang w:eastAsia="zh-CN"/>
        </w:rPr>
      </w:pPr>
      <w:bookmarkStart w:id="82" w:name="_Toc100052374"/>
      <w:bookmarkStart w:id="83" w:name="_Toc73517649"/>
      <w:bookmarkStart w:id="84" w:name="_Toc73521557"/>
      <w:bookmarkStart w:id="85" w:name="_Toc73518127"/>
      <w:bookmarkStart w:id="86" w:name="_Toc73521645"/>
      <w:r>
        <w:rPr>
          <w:rFonts w:hint="eastAsia" w:ascii="黑体" w:hAnsi="宋体" w:eastAsia="黑体"/>
          <w:kern w:val="2"/>
          <w:lang w:eastAsia="zh-CN"/>
        </w:rPr>
        <w:t>6．招标文件的组成</w:t>
      </w:r>
      <w:bookmarkEnd w:id="82"/>
      <w:bookmarkEnd w:id="83"/>
      <w:bookmarkEnd w:id="84"/>
      <w:bookmarkEnd w:id="85"/>
      <w:bookmarkEnd w:id="86"/>
    </w:p>
    <w:p w14:paraId="6BCAECEF">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6.1招标文件除以下内容外，深圳公共资源交易中心（深圳交易集团有限公司罗湖分公司）在招标期间以书面形式（包括网站公开发布的方式）统一发出的答疑纪要和其他补充修改函件，均是招标文件的组成部分，对所有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起约束作用；</w:t>
      </w:r>
    </w:p>
    <w:p w14:paraId="235DF8A8">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6.2招标文件共分为关键信息和招标文件正文。</w:t>
      </w:r>
    </w:p>
    <w:p w14:paraId="08290042">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6.3 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下载招标文件后，应仔细检查招标文件的所有内容，如有内容缺失应在提出澄清要求截止时间之前向深圳公共资源交易中心（深圳交易集团有限公司罗湖分公司）提出，否则，由此引起的响应损失自负；响应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同时应认真审阅招标文件所有的事项、格式、条款和规范要求等，如果响应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的响应文件没有按招标文件要求提交全部资料或者响应文件没有对招标文件做出实质性响应，其风险应由响应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自行承担，并根据有关条款规定，其响应有可能被拒绝。</w:t>
      </w:r>
    </w:p>
    <w:p w14:paraId="5599A77F">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6.4</w:t>
      </w:r>
      <w:r>
        <w:rPr>
          <w:rFonts w:hint="eastAsia" w:ascii="宋体" w:hAnsi="宋体" w:eastAsia="宋体"/>
          <w:kern w:val="2"/>
          <w:sz w:val="21"/>
          <w:lang w:eastAsia="zh-CN"/>
        </w:rPr>
        <w:t>任何人或任何组织向响应</w:t>
      </w:r>
      <w:r>
        <w:rPr>
          <w:rFonts w:hint="eastAsia" w:ascii="宋体" w:hAnsi="宋体" w:eastAsia="宋体"/>
          <w:color w:val="000000"/>
          <w:kern w:val="2"/>
          <w:sz w:val="21"/>
          <w:szCs w:val="21"/>
          <w:lang w:eastAsia="zh-CN"/>
        </w:rPr>
        <w:t>供应商</w:t>
      </w:r>
      <w:r>
        <w:rPr>
          <w:rFonts w:hint="eastAsia" w:ascii="宋体" w:hAnsi="宋体" w:eastAsia="宋体"/>
          <w:kern w:val="2"/>
          <w:sz w:val="21"/>
          <w:lang w:eastAsia="zh-CN"/>
        </w:rPr>
        <w:t>提交的任何书面或口头资料，未经深圳公共资源交易中心（深圳交易集团有限公司罗湖分公司）在网上发布或书面通知，均作无效处理，不得作为招标文件的组成部分。深圳公共资源交易中心（深圳交易集团有限公司罗湖分公司）对响应</w:t>
      </w:r>
      <w:r>
        <w:rPr>
          <w:rFonts w:hint="eastAsia" w:ascii="宋体" w:hAnsi="宋体" w:eastAsia="宋体"/>
          <w:color w:val="000000"/>
          <w:kern w:val="2"/>
          <w:sz w:val="21"/>
          <w:szCs w:val="21"/>
          <w:lang w:eastAsia="zh-CN"/>
        </w:rPr>
        <w:t>供应商</w:t>
      </w:r>
      <w:r>
        <w:rPr>
          <w:rFonts w:hint="eastAsia" w:ascii="宋体" w:hAnsi="宋体" w:eastAsia="宋体"/>
          <w:kern w:val="2"/>
          <w:sz w:val="21"/>
          <w:lang w:eastAsia="zh-CN"/>
        </w:rPr>
        <w:t>由此而做出的推论、理解和结论概不负责。</w:t>
      </w:r>
    </w:p>
    <w:p w14:paraId="5E6D2C6B">
      <w:pPr>
        <w:widowControl w:val="0"/>
        <w:spacing w:line="360" w:lineRule="auto"/>
        <w:jc w:val="both"/>
        <w:rPr>
          <w:rFonts w:ascii="黑体" w:hAnsi="宋体" w:eastAsia="黑体"/>
          <w:kern w:val="2"/>
          <w:lang w:eastAsia="zh-CN"/>
        </w:rPr>
      </w:pPr>
      <w:bookmarkStart w:id="87" w:name="_Toc60560636"/>
      <w:bookmarkStart w:id="88" w:name="_Toc73521558"/>
      <w:bookmarkStart w:id="89" w:name="_Toc73521646"/>
      <w:bookmarkStart w:id="90" w:name="_Toc60631631"/>
      <w:bookmarkStart w:id="91" w:name="_Toc73518128"/>
      <w:bookmarkStart w:id="92" w:name="_Toc100052375"/>
      <w:bookmarkStart w:id="93" w:name="_Toc73517650"/>
      <w:r>
        <w:rPr>
          <w:rFonts w:hint="eastAsia" w:ascii="黑体" w:hAnsi="宋体" w:eastAsia="黑体"/>
          <w:kern w:val="2"/>
          <w:lang w:eastAsia="zh-CN"/>
        </w:rPr>
        <w:t>7．招标文件的澄清</w:t>
      </w:r>
      <w:bookmarkEnd w:id="87"/>
      <w:bookmarkEnd w:id="88"/>
      <w:bookmarkEnd w:id="89"/>
      <w:bookmarkEnd w:id="90"/>
      <w:bookmarkEnd w:id="91"/>
      <w:bookmarkEnd w:id="92"/>
      <w:bookmarkEnd w:id="93"/>
    </w:p>
    <w:p w14:paraId="69F90BE9">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7.1响应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在收到招标文件后，对招标文件任何部分若有任何疑问，或要求澄清招标文件的，均应在招标公告规定的</w:t>
      </w:r>
      <w:r>
        <w:rPr>
          <w:rFonts w:eastAsia="宋体"/>
          <w:kern w:val="2"/>
          <w:sz w:val="21"/>
          <w:lang w:eastAsia="zh-CN"/>
        </w:rPr>
        <w:t>提出澄清要求截止时间</w:t>
      </w:r>
      <w:r>
        <w:rPr>
          <w:rFonts w:hint="eastAsia" w:ascii="宋体" w:hAnsi="宋体" w:eastAsia="宋体"/>
          <w:kern w:val="2"/>
          <w:sz w:val="21"/>
          <w:szCs w:val="21"/>
          <w:lang w:eastAsia="zh-CN"/>
        </w:rPr>
        <w:t>前，按网上提问的形式向深圳公共资源交易中心（深圳交易集团有限公司罗湖分公司）提交。不论是深圳公共资源交易中心（深圳交易集团有限公司罗湖分公司）根据需要主动对招标文件进行必要的澄清或是根据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的要求对招标文件做出澄清，深圳公共资源交易中心（深圳交易集团有限公司罗湖分公司）都将在响应截止日期前以书面形式（包括网站公开发布和深圳公共资源交易中心（深圳交易集团有限公司罗湖分公司）采购系统中发布的方式）答复或发送给所有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。澄清纪要作为招标文件的组成部分，对响应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起约束作用；</w:t>
      </w:r>
    </w:p>
    <w:p w14:paraId="5454C26D">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7.2对于没有提出澄清又参与了该项目响应的供应商将被视为完全认同该招标文件（含澄清纪要），响应截止期后不再受理针对招标文件的相关质疑或投诉。</w:t>
      </w:r>
    </w:p>
    <w:p w14:paraId="5E539AA1">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7.3 对招标文件中描述有歧义或前后不一致的地方，评标委员会有权进行评判，但对同一条款的评判应适用于每个响应供应商。</w:t>
      </w:r>
    </w:p>
    <w:p w14:paraId="726F3FEE">
      <w:pPr>
        <w:widowControl w:val="0"/>
        <w:spacing w:line="360" w:lineRule="auto"/>
        <w:jc w:val="both"/>
        <w:rPr>
          <w:rFonts w:ascii="黑体" w:hAnsi="宋体" w:eastAsia="黑体"/>
          <w:kern w:val="2"/>
          <w:lang w:eastAsia="zh-CN"/>
        </w:rPr>
      </w:pPr>
      <w:bookmarkStart w:id="94" w:name="_Toc73518129"/>
      <w:bookmarkStart w:id="95" w:name="_Toc60631632"/>
      <w:bookmarkStart w:id="96" w:name="_Toc60560637"/>
      <w:bookmarkStart w:id="97" w:name="_Toc73521647"/>
      <w:bookmarkStart w:id="98" w:name="_Toc73521559"/>
      <w:bookmarkStart w:id="99" w:name="_Toc100052376"/>
      <w:bookmarkStart w:id="100" w:name="_Toc73517651"/>
      <w:r>
        <w:rPr>
          <w:rFonts w:hint="eastAsia" w:ascii="黑体" w:hAnsi="宋体" w:eastAsia="黑体"/>
          <w:kern w:val="2"/>
          <w:lang w:eastAsia="zh-CN"/>
        </w:rPr>
        <w:t>8．招标文件的修改</w:t>
      </w:r>
      <w:bookmarkEnd w:id="94"/>
      <w:bookmarkEnd w:id="95"/>
      <w:bookmarkEnd w:id="96"/>
      <w:bookmarkEnd w:id="97"/>
      <w:bookmarkEnd w:id="98"/>
      <w:bookmarkEnd w:id="99"/>
      <w:bookmarkEnd w:id="100"/>
    </w:p>
    <w:p w14:paraId="2AAD0BB1">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8.1招标文件发出后，在响应截止日期前任何时候，确需要变更招标内容的，深圳公共资源交易中心（深圳交易集团有限公司罗湖分公司）可主动地或在解答响应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提出的澄清问题时对招标文件进行修改；</w:t>
      </w:r>
    </w:p>
    <w:p w14:paraId="29A868C5">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8.2招标文件的修改以书面形式（包括网站公开发布和深圳公共资源交易中心（深圳交易集团有限公司罗湖分公司）采购系统中发布的方式）发送给所有响应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，招标文件的修改内容作为招标文件的组成部分，并具有约束力。</w:t>
      </w:r>
    </w:p>
    <w:p w14:paraId="09CEA2B8">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8.3招标文件、招标文件澄清（答疑）纪要、招标文件修改补充通知内容均以书面明确的内容为准。当招标文件、修改补充通知、澄清（答疑）纪要内容相互矛盾时，以最后发出的通知（或纪要）或修改的文件为准；</w:t>
      </w:r>
    </w:p>
    <w:p w14:paraId="02D13516">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8.4深圳公共资源交易中心（深圳交易集团有限公司罗湖分公司）保证招标文件澄清（答疑）纪要和招标文件修改补充通知在响应截止时间前以网站公开发布形式或书面形式发送给所有响应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。为使响应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在编写响应文件时有充分时间对招标文件的修改部分进行研究，深圳公共资源交易中心（深圳交易集团有限公司罗湖分公司）可以酌情延长递交响应文件的截止日期，具体时间将在修改补充通知中明确。</w:t>
      </w:r>
    </w:p>
    <w:p w14:paraId="3D634170">
      <w:pPr>
        <w:keepNext/>
        <w:keepLines/>
        <w:widowControl w:val="0"/>
        <w:adjustRightInd w:val="0"/>
        <w:spacing w:before="260" w:after="260"/>
        <w:jc w:val="center"/>
        <w:outlineLvl w:val="1"/>
        <w:rPr>
          <w:rFonts w:ascii="宋体" w:hAnsi="宋体" w:eastAsia="宋体" w:cs="宋体"/>
          <w:b/>
          <w:bCs/>
          <w:szCs w:val="20"/>
          <w:lang w:eastAsia="zh-CN"/>
        </w:rPr>
      </w:pPr>
      <w:bookmarkStart w:id="101" w:name="bt投标文件"/>
      <w:bookmarkEnd w:id="101"/>
      <w:bookmarkStart w:id="102" w:name="_Toc60631634"/>
      <w:bookmarkStart w:id="103" w:name="_Toc60560639"/>
      <w:bookmarkStart w:id="104" w:name="_Toc73521649"/>
      <w:bookmarkStart w:id="105" w:name="_Toc100052378"/>
      <w:bookmarkStart w:id="106" w:name="_Toc73517653"/>
      <w:bookmarkStart w:id="107" w:name="_Toc73518131"/>
      <w:bookmarkStart w:id="108" w:name="_Toc73521561"/>
      <w:r>
        <w:rPr>
          <w:rFonts w:hint="eastAsia" w:ascii="宋体" w:hAnsi="宋体" w:eastAsia="宋体" w:cs="宋体"/>
          <w:b/>
          <w:bCs/>
          <w:szCs w:val="20"/>
          <w:lang w:eastAsia="zh-CN"/>
        </w:rPr>
        <w:t>第三章 响应文件的</w:t>
      </w:r>
      <w:r>
        <w:rPr>
          <w:rFonts w:hint="eastAsia" w:ascii="宋体" w:hAnsi="宋体" w:eastAsia="宋体" w:cs="宋体"/>
          <w:b/>
          <w:bCs/>
          <w:kern w:val="2"/>
          <w:szCs w:val="20"/>
          <w:lang w:eastAsia="zh-CN"/>
        </w:rPr>
        <w:t>编制</w:t>
      </w:r>
    </w:p>
    <w:p w14:paraId="0670C649">
      <w:pPr>
        <w:widowControl w:val="0"/>
        <w:jc w:val="both"/>
        <w:rPr>
          <w:rFonts w:ascii="黑体" w:hAnsi="宋体" w:eastAsia="黑体"/>
          <w:kern w:val="2"/>
          <w:lang w:eastAsia="zh-CN"/>
        </w:rPr>
      </w:pPr>
      <w:r>
        <w:rPr>
          <w:rFonts w:hint="eastAsia" w:ascii="黑体" w:hAnsi="宋体" w:eastAsia="黑体"/>
          <w:kern w:val="2"/>
          <w:lang w:eastAsia="zh-CN"/>
        </w:rPr>
        <w:t>9．响应文件的语言及度量单位</w:t>
      </w:r>
      <w:bookmarkEnd w:id="102"/>
      <w:bookmarkEnd w:id="103"/>
      <w:bookmarkEnd w:id="104"/>
      <w:bookmarkEnd w:id="105"/>
      <w:bookmarkEnd w:id="106"/>
      <w:bookmarkEnd w:id="107"/>
      <w:bookmarkEnd w:id="108"/>
    </w:p>
    <w:p w14:paraId="182C618E">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9.1响应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与深圳公共资源交易中心（深圳交易集团有限公司罗湖分公司）之间与响应有关的所有往来通知、函件和响应文件均用中文表述。响应</w:t>
      </w:r>
      <w:r>
        <w:rPr>
          <w:rFonts w:hint="eastAsia" w:ascii="宋体" w:hAnsi="宋体" w:eastAsia="宋体"/>
          <w:color w:val="000000"/>
          <w:kern w:val="2"/>
          <w:sz w:val="21"/>
          <w:szCs w:val="21"/>
          <w:lang w:eastAsia="zh-CN"/>
        </w:rPr>
        <w:t>供应商</w:t>
      </w:r>
      <w:r>
        <w:rPr>
          <w:rFonts w:hint="eastAsia" w:ascii="宋体" w:hAnsi="宋体" w:eastAsia="宋体"/>
          <w:kern w:val="2"/>
          <w:sz w:val="21"/>
          <w:szCs w:val="21"/>
          <w:lang w:eastAsia="zh-CN"/>
        </w:rPr>
        <w:t>随响应文件提供的证明文件和资料可以为其它语言，但必须附中文译文。在此，为了解释响应文件，应以中文为准；</w:t>
      </w:r>
    </w:p>
    <w:p w14:paraId="669543CC">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9.2除技术规范另有规定外，响应文件使用的度量单位，均采用中华人民共和国法定计量单位。</w:t>
      </w:r>
    </w:p>
    <w:p w14:paraId="453C54E0">
      <w:pPr>
        <w:widowControl w:val="0"/>
        <w:spacing w:line="360" w:lineRule="auto"/>
        <w:jc w:val="both"/>
        <w:rPr>
          <w:rFonts w:ascii="黑体" w:hAnsi="宋体" w:eastAsia="黑体"/>
          <w:kern w:val="2"/>
          <w:lang w:eastAsia="zh-CN"/>
        </w:rPr>
      </w:pPr>
      <w:bookmarkStart w:id="109" w:name="_Toc73521650"/>
      <w:bookmarkStart w:id="110" w:name="_Toc73521562"/>
      <w:bookmarkStart w:id="111" w:name="_Toc60560640"/>
      <w:bookmarkStart w:id="112" w:name="_Toc73518132"/>
      <w:bookmarkStart w:id="113" w:name="_Toc73517654"/>
      <w:bookmarkStart w:id="114" w:name="_Toc100052379"/>
      <w:bookmarkStart w:id="115" w:name="_Toc60631635"/>
      <w:r>
        <w:rPr>
          <w:rFonts w:hint="eastAsia" w:ascii="黑体" w:hAnsi="宋体" w:eastAsia="黑体"/>
          <w:kern w:val="2"/>
          <w:lang w:eastAsia="zh-CN"/>
        </w:rPr>
        <w:t>10．响应文件的组成</w:t>
      </w:r>
      <w:bookmarkEnd w:id="109"/>
      <w:bookmarkEnd w:id="110"/>
      <w:bookmarkEnd w:id="111"/>
      <w:bookmarkEnd w:id="112"/>
      <w:bookmarkEnd w:id="113"/>
      <w:bookmarkEnd w:id="114"/>
      <w:bookmarkEnd w:id="115"/>
    </w:p>
    <w:p w14:paraId="6612F8C5">
      <w:pPr>
        <w:widowControl w:val="0"/>
        <w:ind w:firstLine="413" w:firstLineChars="196"/>
        <w:jc w:val="both"/>
        <w:rPr>
          <w:rFonts w:ascii="宋体" w:hAnsi="宋体" w:eastAsia="宋体"/>
          <w:b/>
          <w:kern w:val="2"/>
          <w:sz w:val="21"/>
          <w:szCs w:val="21"/>
          <w:lang w:eastAsia="zh-CN"/>
        </w:rPr>
      </w:pPr>
      <w:r>
        <w:rPr>
          <w:rFonts w:hint="eastAsia" w:ascii="宋体" w:hAnsi="宋体" w:eastAsia="宋体"/>
          <w:b/>
          <w:kern w:val="2"/>
          <w:sz w:val="21"/>
          <w:szCs w:val="21"/>
          <w:lang w:eastAsia="zh-CN"/>
        </w:rPr>
        <w:t>（具体内容请详见招标文件第一册第一章</w:t>
      </w:r>
      <w:bookmarkStart w:id="116" w:name="投标文件的组成"/>
      <w:bookmarkStart w:id="117" w:name="_Toc73521651"/>
      <w:bookmarkStart w:id="118" w:name="_Toc60560641"/>
      <w:bookmarkStart w:id="119" w:name="_Toc73521563"/>
      <w:bookmarkStart w:id="120" w:name="_Toc73517655"/>
      <w:bookmarkStart w:id="121" w:name="_Toc60631636"/>
      <w:bookmarkStart w:id="122" w:name="_Toc73518133"/>
      <w:r>
        <w:rPr>
          <w:rFonts w:hint="eastAsia" w:ascii="宋体" w:hAnsi="宋体" w:eastAsia="宋体"/>
          <w:b/>
          <w:kern w:val="2"/>
          <w:sz w:val="21"/>
          <w:szCs w:val="21"/>
          <w:lang w:eastAsia="zh-CN"/>
        </w:rPr>
        <w:t>）</w:t>
      </w:r>
    </w:p>
    <w:p w14:paraId="4F829272">
      <w:pPr>
        <w:widowControl w:val="0"/>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注意：为保证公平公正，除非另有规定或说明，投标人对同一货物或服务响应时，不得同时提供两套或两套以上的响应方案。</w:t>
      </w:r>
    </w:p>
    <w:bookmarkEnd w:id="116"/>
    <w:p w14:paraId="35180604">
      <w:pPr>
        <w:widowControl w:val="0"/>
        <w:spacing w:line="360" w:lineRule="auto"/>
        <w:jc w:val="both"/>
        <w:rPr>
          <w:rFonts w:ascii="黑体" w:hAnsi="宋体" w:eastAsia="黑体"/>
          <w:kern w:val="2"/>
          <w:lang w:eastAsia="zh-CN"/>
        </w:rPr>
      </w:pPr>
      <w:bookmarkStart w:id="123" w:name="_Toc100052380"/>
      <w:r>
        <w:rPr>
          <w:rFonts w:hint="eastAsia" w:ascii="黑体" w:hAnsi="宋体" w:eastAsia="黑体"/>
          <w:kern w:val="2"/>
          <w:lang w:eastAsia="zh-CN"/>
        </w:rPr>
        <w:t>11．响应文件格式</w:t>
      </w:r>
      <w:bookmarkEnd w:id="117"/>
      <w:bookmarkEnd w:id="118"/>
      <w:bookmarkEnd w:id="119"/>
      <w:bookmarkEnd w:id="120"/>
      <w:bookmarkEnd w:id="121"/>
      <w:bookmarkEnd w:id="122"/>
      <w:bookmarkEnd w:id="123"/>
    </w:p>
    <w:p w14:paraId="5C893200">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如招标文件提供了响应文件格式，则响应供应商提交的响应文件必须毫无例外地使用招标文件所提供的相应格式（表格可以按同样格式扩展）。</w:t>
      </w:r>
      <w:bookmarkStart w:id="124" w:name="_Toc73521565"/>
      <w:bookmarkStart w:id="125" w:name="_Toc60631638"/>
      <w:bookmarkStart w:id="126" w:name="_Toc60560643"/>
      <w:bookmarkStart w:id="127" w:name="_Toc73517657"/>
      <w:bookmarkStart w:id="128" w:name="_Toc73518135"/>
      <w:bookmarkStart w:id="129" w:name="_Toc73521653"/>
    </w:p>
    <w:p w14:paraId="1B372D00">
      <w:pPr>
        <w:widowControl w:val="0"/>
        <w:spacing w:line="360" w:lineRule="auto"/>
        <w:jc w:val="both"/>
        <w:rPr>
          <w:rFonts w:ascii="黑体" w:hAnsi="宋体" w:eastAsia="黑体"/>
          <w:kern w:val="2"/>
          <w:lang w:eastAsia="zh-CN"/>
        </w:rPr>
      </w:pPr>
      <w:bookmarkStart w:id="130" w:name="_Toc100052382"/>
      <w:r>
        <w:rPr>
          <w:rFonts w:hint="eastAsia" w:ascii="黑体" w:hAnsi="宋体" w:eastAsia="黑体"/>
          <w:kern w:val="2"/>
          <w:lang w:eastAsia="zh-CN"/>
        </w:rPr>
        <w:t>12．响应货币</w:t>
      </w:r>
      <w:bookmarkEnd w:id="124"/>
      <w:bookmarkEnd w:id="125"/>
      <w:bookmarkEnd w:id="126"/>
      <w:bookmarkEnd w:id="127"/>
      <w:bookmarkEnd w:id="128"/>
      <w:bookmarkEnd w:id="129"/>
      <w:bookmarkEnd w:id="130"/>
    </w:p>
    <w:p w14:paraId="3959FFF8">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12.1本项目的响应应以人民币计。</w:t>
      </w:r>
      <w:bookmarkStart w:id="131" w:name="bt递交投标文件"/>
      <w:bookmarkEnd w:id="131"/>
    </w:p>
    <w:p w14:paraId="17AD0D78">
      <w:pPr>
        <w:widowControl w:val="0"/>
        <w:spacing w:line="360" w:lineRule="auto"/>
        <w:jc w:val="both"/>
        <w:rPr>
          <w:rFonts w:ascii="黑体" w:hAnsi="宋体" w:eastAsia="黑体"/>
          <w:kern w:val="2"/>
          <w:lang w:eastAsia="zh-CN"/>
        </w:rPr>
      </w:pPr>
      <w:r>
        <w:rPr>
          <w:rFonts w:hint="eastAsia" w:ascii="黑体" w:hAnsi="宋体" w:eastAsia="黑体"/>
          <w:kern w:val="2"/>
          <w:lang w:eastAsia="zh-CN"/>
        </w:rPr>
        <w:t>13.响应文件的制作要求</w:t>
      </w:r>
    </w:p>
    <w:p w14:paraId="5DAE633A">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13.1响应文件份数：一份正本、五份副本、一份电子文档（U盘储存）</w:t>
      </w:r>
    </w:p>
    <w:p w14:paraId="5EE880AC">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13.1.1响应文件正本和副本要求：</w:t>
      </w:r>
    </w:p>
    <w:p w14:paraId="3568BCB3">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①响应文件正本和副本须使用不褪色墨水打印，由投标人法定代表人或其授权代表在对应位置签字，后者须将“法定代表人授权书”以书面形式附在响应文件中。副本文件可由正本文件复印而成。</w:t>
      </w:r>
    </w:p>
    <w:p w14:paraId="403A90F5">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②除投标人对错处作必要修改外，响应文件中不许有加行、涂抹或改写。若有修改须由投标人法定代表人或其授权代表进行签字，并加盖投标人公章。</w:t>
      </w:r>
    </w:p>
    <w:p w14:paraId="12FF4E36">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③响应文件的[正本]及所有[副本]的封面均须加盖投标人公章。</w:t>
      </w:r>
    </w:p>
    <w:p w14:paraId="7EBF772F">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④响应文件的封面应注明“采购项目名称、项目编号、投标人名称、响应日期等”。</w:t>
      </w:r>
    </w:p>
    <w:p w14:paraId="4CE1F94E">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13.1.2电子文档要求：</w:t>
      </w:r>
    </w:p>
    <w:p w14:paraId="54E57ACF">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①响应文件完整的Word版本（DOC或者DOCX格式）；</w:t>
      </w:r>
    </w:p>
    <w:p w14:paraId="0EAB2029">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②响应文件正本扫描件（PDF要求彩色扫描，扫描页面清晰、完整），内容包括：由投标人自行制作的与响应文件正本一致的所有文件；电子文件用U盘储存。</w:t>
      </w:r>
    </w:p>
    <w:p w14:paraId="5C20CA30">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13.1.3其他要求：</w:t>
      </w:r>
    </w:p>
    <w:p w14:paraId="03CAA3CC">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响应文件应加盖骑缝章。</w:t>
      </w:r>
    </w:p>
    <w:p w14:paraId="649E9436">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13.2投标人在使用《响应书编制软件》编制响应书时须注意：</w:t>
      </w:r>
    </w:p>
    <w:p w14:paraId="54198ED5">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13.2.1导入《响应书编制软件》的招标文件项目编号、包号应与以此制作的响应文件项目编号、包号一致。例如，不能将甲项目A包的招标书导入《响应书编制软件》，制作乙项目B包的响应书。</w:t>
      </w:r>
    </w:p>
    <w:p w14:paraId="5429F5D3">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13.2.2不能用非本公司的电子密钥加密本公司的响应文件，或者用其它公司的登录用户上传本公司的响应文件。</w:t>
      </w:r>
    </w:p>
    <w:p w14:paraId="01DC9430">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13.2.3要求用《响应书编制软件》编制响应书的包，不能用其它方式编制响应书。编制响应文件时，电脑须连通互联网。</w:t>
      </w:r>
    </w:p>
    <w:p w14:paraId="4E431860">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13.2.4响应文件不能带病毒。招标代理机构将用专业杀毒软件对响应文件进行病毒检测，如果这两种软件均报告发现病毒，则招标代理机构认为该响应文件带病毒。</w:t>
      </w:r>
    </w:p>
    <w:p w14:paraId="7599874B">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13.2.6投标人在编辑响应文件时，</w:t>
      </w:r>
      <w:r>
        <w:rPr>
          <w:rFonts w:hint="eastAsia" w:ascii="宋体" w:hAnsi="宋体" w:eastAsia="宋体" w:cs="宋体"/>
          <w:b/>
          <w:kern w:val="2"/>
          <w:sz w:val="21"/>
          <w:lang w:eastAsia="zh-CN"/>
        </w:rPr>
        <w:t>在响应文件目录中属于本节点内容的必须在本节点中填写，填写到其他节点或附件，</w:t>
      </w:r>
      <w:r>
        <w:rPr>
          <w:rFonts w:hint="eastAsia" w:ascii="宋体" w:hAnsi="宋体" w:eastAsia="宋体" w:cs="宋体"/>
          <w:kern w:val="2"/>
          <w:sz w:val="21"/>
          <w:lang w:eastAsia="zh-CN"/>
        </w:rPr>
        <w:t>一切后果由供应商自行承担。</w:t>
      </w:r>
    </w:p>
    <w:p w14:paraId="2AF4DFA9">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13.2.7响应文件编写完成后，</w:t>
      </w:r>
      <w:r>
        <w:rPr>
          <w:rFonts w:hint="eastAsia" w:ascii="宋体" w:hAnsi="宋体" w:eastAsia="宋体" w:cs="宋体"/>
          <w:b/>
          <w:kern w:val="2"/>
          <w:sz w:val="21"/>
          <w:lang w:eastAsia="zh-CN"/>
        </w:rPr>
        <w:t>必须用属于投标人的电子密钥或电子营业执照进行加密，否则视同未盖公章，将导致响应文件无效。</w:t>
      </w:r>
    </w:p>
    <w:p w14:paraId="3D3ED458">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13.2.8招标代理机构不接受响应截止时间后递交的纸质、电子、传真等所有形式的响应文件。由于对自行采购系统操作不熟悉或自身电脑、网络等原因导致不能在响应截止时间之前上传响应文件，招标代理机构概不负责。建议于开标前一个工作日完成响应文件的制作与上传，如上传确有困难，请及时咨询。</w:t>
      </w:r>
    </w:p>
    <w:p w14:paraId="792463E2">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13.2.9如果开标时出现网络故障、技术故障，影响了交易活动，招标代理机构有权采取措施如延期、接受无法从网上上传的响应书等，以保障交易活动的公开、公平和公正。</w:t>
      </w:r>
    </w:p>
    <w:p w14:paraId="6DCBE508">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13.3电报、电话、传真形式的响应概不接受。</w:t>
      </w:r>
    </w:p>
    <w:p w14:paraId="1AD0CD3F">
      <w:pPr>
        <w:widowControl w:val="0"/>
        <w:ind w:firstLine="411" w:firstLineChars="196"/>
        <w:jc w:val="both"/>
        <w:rPr>
          <w:rFonts w:ascii="宋体" w:hAnsi="宋体" w:eastAsia="宋体" w:cs="宋体"/>
          <w:b/>
          <w:kern w:val="2"/>
          <w:sz w:val="21"/>
          <w:lang w:eastAsia="zh-CN"/>
        </w:rPr>
      </w:pPr>
      <w:r>
        <w:rPr>
          <w:rFonts w:hint="eastAsia" w:ascii="宋体" w:hAnsi="宋体" w:eastAsia="宋体" w:cs="宋体"/>
          <w:kern w:val="2"/>
          <w:sz w:val="21"/>
          <w:lang w:eastAsia="zh-CN"/>
        </w:rPr>
        <w:t>13.4</w:t>
      </w:r>
      <w:r>
        <w:rPr>
          <w:rFonts w:hint="eastAsia" w:ascii="宋体" w:hAnsi="宋体" w:eastAsia="宋体" w:cs="宋体"/>
          <w:b/>
          <w:kern w:val="2"/>
          <w:sz w:val="21"/>
          <w:lang w:eastAsia="zh-CN"/>
        </w:rPr>
        <w:t>经投标人电子密钥或电子营业执照加密的响应文件无须盖章或签字，</w:t>
      </w:r>
      <w:r>
        <w:rPr>
          <w:rFonts w:hint="eastAsia" w:ascii="宋体" w:hAnsi="宋体" w:eastAsia="宋体" w:cs="宋体"/>
          <w:kern w:val="2"/>
          <w:sz w:val="21"/>
          <w:lang w:eastAsia="zh-CN"/>
        </w:rPr>
        <w:t>专用条款另有要求的除外。</w:t>
      </w:r>
    </w:p>
    <w:p w14:paraId="57AB3197">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13.5 各类资格（资质）文件提供扫描件，专用条款另有要求的除外。</w:t>
      </w:r>
    </w:p>
    <w:p w14:paraId="1668BD60">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13.6</w:t>
      </w:r>
      <w:r>
        <w:rPr>
          <w:rFonts w:hint="eastAsia" w:ascii="宋体" w:hAnsi="宋体" w:eastAsia="宋体" w:cs="宋体"/>
          <w:b/>
          <w:bCs/>
          <w:kern w:val="2"/>
          <w:sz w:val="21"/>
          <w:lang w:eastAsia="zh-CN"/>
        </w:rPr>
        <w:t>供应商用户手册下载</w:t>
      </w:r>
      <w:r>
        <w:rPr>
          <w:rFonts w:hint="eastAsia" w:ascii="宋体" w:hAnsi="宋体" w:eastAsia="宋体" w:cs="宋体"/>
          <w:kern w:val="2"/>
          <w:sz w:val="21"/>
          <w:lang w:eastAsia="zh-CN"/>
        </w:rPr>
        <w:t>：输入网址</w:t>
      </w:r>
      <w:r>
        <w:fldChar w:fldCharType="begin"/>
      </w:r>
      <w:r>
        <w:instrText xml:space="preserve"> HYPERLINK "https://www.szggzy.com/static/index.html" </w:instrText>
      </w:r>
      <w:r>
        <w:fldChar w:fldCharType="separate"/>
      </w:r>
      <w:r>
        <w:rPr>
          <w:rFonts w:hint="eastAsia" w:ascii="宋体" w:hAnsi="宋体" w:eastAsia="宋体" w:cs="宋体"/>
          <w:kern w:val="2"/>
          <w:sz w:val="21"/>
          <w:lang w:eastAsia="zh-CN"/>
        </w:rPr>
        <w:t>https://www.szggzy.com/static/index.html</w:t>
      </w:r>
      <w:r>
        <w:rPr>
          <w:rFonts w:hint="eastAsia" w:ascii="宋体" w:hAnsi="宋体" w:eastAsia="宋体" w:cs="宋体"/>
          <w:kern w:val="2"/>
          <w:sz w:val="21"/>
          <w:lang w:eastAsia="zh-CN"/>
        </w:rPr>
        <w:fldChar w:fldCharType="end"/>
      </w:r>
      <w:r>
        <w:rPr>
          <w:rFonts w:hint="eastAsia" w:ascii="宋体" w:hAnsi="宋体" w:eastAsia="宋体" w:cs="宋体"/>
          <w:kern w:val="2"/>
          <w:sz w:val="21"/>
          <w:lang w:eastAsia="zh-CN"/>
        </w:rPr>
        <w:t>，选择政府采购，点击资料下载，找到【深圳市自行采购系统用户操作指引（供应商）】，下载查阅。</w:t>
      </w:r>
    </w:p>
    <w:p w14:paraId="50F7778B">
      <w:pPr>
        <w:widowControl w:val="0"/>
        <w:spacing w:after="120"/>
        <w:jc w:val="both"/>
        <w:rPr>
          <w:rFonts w:eastAsia="宋体"/>
          <w:kern w:val="2"/>
          <w:sz w:val="21"/>
          <w:lang w:eastAsia="zh-CN"/>
        </w:rPr>
      </w:pPr>
    </w:p>
    <w:p w14:paraId="55BA0C4A">
      <w:pPr>
        <w:keepNext/>
        <w:keepLines/>
        <w:widowControl w:val="0"/>
        <w:adjustRightInd w:val="0"/>
        <w:spacing w:before="260" w:after="260"/>
        <w:jc w:val="center"/>
        <w:outlineLvl w:val="1"/>
        <w:rPr>
          <w:rFonts w:ascii="宋体" w:hAnsi="宋体" w:eastAsia="宋体" w:cs="宋体"/>
          <w:b/>
          <w:bCs/>
          <w:kern w:val="2"/>
          <w:szCs w:val="20"/>
          <w:lang w:eastAsia="zh-CN"/>
        </w:rPr>
      </w:pPr>
      <w:bookmarkStart w:id="132" w:name="bt开标"/>
      <w:bookmarkEnd w:id="132"/>
      <w:bookmarkStart w:id="133" w:name="_Toc73517666"/>
      <w:bookmarkStart w:id="134" w:name="_Toc73521574"/>
      <w:bookmarkStart w:id="135" w:name="_Toc194467304"/>
      <w:bookmarkStart w:id="136" w:name="_Toc73521662"/>
      <w:bookmarkStart w:id="137" w:name="_Toc100052391"/>
      <w:bookmarkStart w:id="138" w:name="_Toc73518144"/>
      <w:bookmarkStart w:id="139" w:name="_Toc101074881"/>
      <w:r>
        <w:rPr>
          <w:rFonts w:hint="eastAsia" w:ascii="宋体" w:hAnsi="宋体" w:eastAsia="宋体" w:cs="宋体"/>
          <w:b/>
          <w:bCs/>
          <w:kern w:val="2"/>
          <w:szCs w:val="20"/>
          <w:lang w:eastAsia="zh-CN"/>
        </w:rPr>
        <w:t>第四章 响应文件的递交</w:t>
      </w:r>
    </w:p>
    <w:p w14:paraId="4010C744">
      <w:pPr>
        <w:widowControl w:val="0"/>
        <w:jc w:val="both"/>
        <w:rPr>
          <w:rFonts w:ascii="宋体" w:hAnsi="宋体" w:eastAsia="宋体" w:cs="宋体"/>
          <w:kern w:val="2"/>
          <w:sz w:val="21"/>
          <w:lang w:eastAsia="zh-CN"/>
        </w:rPr>
      </w:pPr>
      <w:bookmarkStart w:id="140" w:name="_Hlk72405459"/>
      <w:r>
        <w:rPr>
          <w:rFonts w:hint="eastAsia" w:ascii="宋体" w:hAnsi="宋体" w:eastAsia="宋体" w:cs="宋体"/>
          <w:kern w:val="2"/>
          <w:sz w:val="21"/>
          <w:lang w:eastAsia="zh-CN"/>
        </w:rPr>
        <w:t>14．响应文件的保密</w:t>
      </w:r>
    </w:p>
    <w:p w14:paraId="5E47187A">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14.1在响应文件制作完成后，生成后会选择是否加密响应文件，如不加密则直接点击生成文件即可，如需加密请插入CA锁，点击加密后生成文件，需输入CA锁密码即可加密成功。加密后会提示文件生成成功！(注意：加密的响应文件开标时须使用加密文件时使用的锁在项目规定时间内解密！)</w:t>
      </w:r>
    </w:p>
    <w:p w14:paraId="052EF982">
      <w:pPr>
        <w:widowControl w:val="0"/>
        <w:ind w:firstLine="420" w:firstLineChars="200"/>
        <w:jc w:val="both"/>
        <w:rPr>
          <w:rFonts w:ascii="宋体" w:hAnsi="宋体" w:eastAsia="宋体" w:cs="宋体"/>
          <w:kern w:val="2"/>
          <w:sz w:val="21"/>
          <w:lang w:eastAsia="zh-CN"/>
        </w:rPr>
      </w:pPr>
      <w:r>
        <w:rPr>
          <w:rFonts w:hint="eastAsia" w:ascii="宋体" w:hAnsi="宋体" w:eastAsia="宋体" w:cs="宋体"/>
          <w:kern w:val="2"/>
          <w:sz w:val="21"/>
          <w:lang w:eastAsia="zh-CN"/>
        </w:rPr>
        <w:t>14.2若采购项目出现延期情况：</w:t>
      </w:r>
    </w:p>
    <w:p w14:paraId="528EBCB2">
      <w:pPr>
        <w:widowControl w:val="0"/>
        <w:ind w:firstLine="422" w:firstLineChars="200"/>
        <w:jc w:val="both"/>
        <w:rPr>
          <w:rFonts w:ascii="宋体" w:hAnsi="宋体" w:eastAsia="宋体" w:cs="宋体"/>
          <w:b/>
          <w:kern w:val="2"/>
          <w:sz w:val="21"/>
          <w:lang w:eastAsia="zh-CN"/>
        </w:rPr>
      </w:pPr>
      <w:r>
        <w:rPr>
          <w:rFonts w:hint="eastAsia" w:ascii="宋体" w:hAnsi="宋体" w:eastAsia="宋体" w:cs="宋体"/>
          <w:b/>
          <w:kern w:val="2"/>
          <w:sz w:val="21"/>
          <w:lang w:eastAsia="zh-CN"/>
        </w:rPr>
        <w:t>如果供下载的招标文件有更新，投标人必须重新下载招标文件、重新制作响应文件、重新加密响应文件、重新上传响应文件。</w:t>
      </w:r>
    </w:p>
    <w:p w14:paraId="6EA928E4">
      <w:pPr>
        <w:widowControl w:val="0"/>
        <w:jc w:val="both"/>
        <w:rPr>
          <w:rFonts w:ascii="宋体" w:hAnsi="宋体" w:eastAsia="宋体" w:cs="宋体"/>
          <w:kern w:val="2"/>
          <w:sz w:val="21"/>
          <w:lang w:eastAsia="zh-CN"/>
        </w:rPr>
      </w:pPr>
      <w:r>
        <w:rPr>
          <w:rFonts w:hint="eastAsia" w:ascii="宋体" w:hAnsi="宋体" w:eastAsia="宋体" w:cs="宋体"/>
          <w:kern w:val="2"/>
          <w:sz w:val="21"/>
          <w:lang w:eastAsia="zh-CN"/>
        </w:rPr>
        <w:t>15．上传响应文件及响应截止日期</w:t>
      </w:r>
    </w:p>
    <w:p w14:paraId="690A5B13">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15.1实行s间前用电子密钥登录“深圳市自行采购系统（https://trade.szggzy.com/ggzy/center/#/login）”上传响应文件。如上传过程中遇到问题，可拨打采购公告中的技术支持电话。如多次上传均告失败，请在响应截止时间之前携带加密后的电子响应文件送达至</w:t>
      </w:r>
      <w:r>
        <w:rPr>
          <w:rFonts w:hint="eastAsia" w:ascii="宋体" w:hAnsi="宋体" w:eastAsia="宋体" w:cs="宋体"/>
          <w:b/>
          <w:bCs/>
          <w:kern w:val="2"/>
          <w:sz w:val="21"/>
          <w:lang w:eastAsia="zh-CN"/>
        </w:rPr>
        <w:t>深圳公共资源交易中心（深圳交易集团有限公司罗湖分公司）服务大厅（地址：深圳市罗湖区黄贝街道凤凰社区深南东路1076号罗湖区党群服务中心4层）协助上传，但上传过程中响应截止时间到达仍无法上传成功的，由投标人自行负责</w:t>
      </w:r>
      <w:r>
        <w:rPr>
          <w:rFonts w:hint="eastAsia" w:ascii="宋体" w:hAnsi="宋体" w:eastAsia="宋体" w:cs="宋体"/>
          <w:kern w:val="2"/>
          <w:sz w:val="21"/>
          <w:lang w:eastAsia="zh-CN"/>
        </w:rPr>
        <w:t>。</w:t>
      </w:r>
    </w:p>
    <w:p w14:paraId="1D8DA7A6">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15.2招标代理机构可以按本通用条款第8条规定，通过修改招标文件自行决定酌情延长响应截止期。在此情况下，招标代理机构、招标人和投标人受响应截止期制约的所有权利和义务均应延长至新的截止期。</w:t>
      </w:r>
    </w:p>
    <w:p w14:paraId="057E095D">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15.3响应截止时间以后不得上传响应文件。</w:t>
      </w:r>
    </w:p>
    <w:bookmarkEnd w:id="140"/>
    <w:p w14:paraId="17201AAB">
      <w:pPr>
        <w:widowControl w:val="0"/>
        <w:jc w:val="both"/>
        <w:rPr>
          <w:rFonts w:ascii="宋体" w:hAnsi="宋体" w:eastAsia="宋体" w:cs="宋体"/>
          <w:kern w:val="2"/>
          <w:sz w:val="21"/>
          <w:lang w:eastAsia="zh-CN"/>
        </w:rPr>
      </w:pPr>
      <w:r>
        <w:rPr>
          <w:rFonts w:hint="eastAsia" w:ascii="宋体" w:hAnsi="宋体" w:eastAsia="宋体" w:cs="宋体"/>
          <w:kern w:val="2"/>
          <w:sz w:val="21"/>
          <w:lang w:eastAsia="zh-CN"/>
        </w:rPr>
        <w:t>16. 样品、现场演示、方案讲解</w:t>
      </w:r>
    </w:p>
    <w:p w14:paraId="5195B6D2">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16.1 样品、现场演示、方案讲解等事项在招标文件专用条款中进行规定。</w:t>
      </w:r>
    </w:p>
    <w:p w14:paraId="53DD3078">
      <w:pPr>
        <w:widowControl w:val="0"/>
        <w:jc w:val="both"/>
        <w:rPr>
          <w:rFonts w:ascii="宋体" w:hAnsi="宋体" w:eastAsia="宋体" w:cs="宋体"/>
          <w:kern w:val="2"/>
          <w:sz w:val="21"/>
          <w:lang w:eastAsia="zh-CN"/>
        </w:rPr>
      </w:pPr>
      <w:bookmarkStart w:id="141" w:name="_Hlk72428346"/>
      <w:r>
        <w:rPr>
          <w:rFonts w:hint="eastAsia" w:ascii="宋体" w:hAnsi="宋体" w:eastAsia="宋体" w:cs="宋体"/>
          <w:kern w:val="2"/>
          <w:sz w:val="21"/>
          <w:lang w:eastAsia="zh-CN"/>
        </w:rPr>
        <w:t>17．响应文件的修改和撤销</w:t>
      </w:r>
    </w:p>
    <w:p w14:paraId="50C11DE6">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17.1响应方在提交响应文件后可对其响应文件进行修改并重新上传响应文件或在网上进行撤销响应的操作。</w:t>
      </w:r>
    </w:p>
    <w:p w14:paraId="7FE91673">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17.2响应截止时间以后不得修改响应文件。</w:t>
      </w:r>
    </w:p>
    <w:p w14:paraId="6859C20C">
      <w:pPr>
        <w:widowControl w:val="0"/>
        <w:ind w:firstLine="411" w:firstLineChars="196"/>
        <w:jc w:val="both"/>
        <w:rPr>
          <w:rFonts w:ascii="宋体" w:hAnsi="宋体" w:eastAsia="宋体" w:cs="宋体"/>
          <w:kern w:val="2"/>
          <w:sz w:val="21"/>
          <w:lang w:eastAsia="zh-CN"/>
        </w:rPr>
      </w:pPr>
      <w:r>
        <w:rPr>
          <w:rFonts w:hint="eastAsia" w:ascii="宋体" w:hAnsi="宋体" w:eastAsia="宋体" w:cs="宋体"/>
          <w:kern w:val="2"/>
          <w:sz w:val="21"/>
          <w:lang w:eastAsia="zh-CN"/>
        </w:rPr>
        <w:t>17.3从响应截止期至投标人在响应文件中确定的响应有效期之间的这段时间内，投标人不得撤回其响应。</w:t>
      </w:r>
    </w:p>
    <w:p w14:paraId="0F891A64">
      <w:pPr>
        <w:widowControl w:val="0"/>
        <w:ind w:firstLine="411" w:firstLineChars="196"/>
        <w:jc w:val="both"/>
        <w:rPr>
          <w:rFonts w:eastAsia="宋体"/>
          <w:kern w:val="2"/>
          <w:sz w:val="21"/>
          <w:lang w:eastAsia="zh-CN"/>
        </w:rPr>
      </w:pPr>
      <w:r>
        <w:rPr>
          <w:rFonts w:hint="eastAsia" w:ascii="宋体" w:hAnsi="宋体" w:eastAsia="宋体" w:cs="宋体"/>
          <w:kern w:val="2"/>
          <w:sz w:val="21"/>
          <w:lang w:eastAsia="zh-CN"/>
        </w:rPr>
        <w:t>17.4招标代理机构不退还响应文件，另有规定的除外。</w:t>
      </w:r>
      <w:bookmarkEnd w:id="141"/>
    </w:p>
    <w:p w14:paraId="311F1BAE">
      <w:pPr>
        <w:keepNext/>
        <w:keepLines/>
        <w:widowControl w:val="0"/>
        <w:adjustRightInd w:val="0"/>
        <w:spacing w:before="260" w:after="260"/>
        <w:jc w:val="center"/>
        <w:outlineLvl w:val="1"/>
        <w:rPr>
          <w:rFonts w:ascii="宋体" w:hAnsi="宋体" w:eastAsia="宋体" w:cs="宋体"/>
          <w:b/>
          <w:bCs/>
          <w:szCs w:val="20"/>
          <w:lang w:eastAsia="zh-CN"/>
        </w:rPr>
      </w:pPr>
      <w:r>
        <w:rPr>
          <w:rFonts w:hint="eastAsia" w:ascii="宋体" w:hAnsi="宋体" w:eastAsia="宋体" w:cs="宋体"/>
          <w:b/>
          <w:bCs/>
          <w:szCs w:val="20"/>
          <w:lang w:eastAsia="zh-CN"/>
        </w:rPr>
        <w:t>第五章 开标</w:t>
      </w:r>
      <w:bookmarkEnd w:id="133"/>
      <w:bookmarkEnd w:id="134"/>
      <w:bookmarkEnd w:id="135"/>
      <w:bookmarkEnd w:id="136"/>
      <w:bookmarkEnd w:id="137"/>
      <w:bookmarkEnd w:id="138"/>
      <w:bookmarkEnd w:id="139"/>
    </w:p>
    <w:p w14:paraId="0985D859">
      <w:pPr>
        <w:widowControl w:val="0"/>
        <w:spacing w:line="360" w:lineRule="auto"/>
        <w:jc w:val="both"/>
        <w:rPr>
          <w:rFonts w:ascii="黑体" w:hAnsi="宋体" w:eastAsia="黑体"/>
          <w:kern w:val="2"/>
          <w:lang w:eastAsia="zh-CN"/>
        </w:rPr>
      </w:pPr>
      <w:bookmarkStart w:id="142" w:name="_Toc73518145"/>
      <w:bookmarkStart w:id="143" w:name="_Toc100052392"/>
      <w:bookmarkStart w:id="144" w:name="_Toc60631650"/>
      <w:bookmarkStart w:id="145" w:name="_Toc60560655"/>
      <w:bookmarkStart w:id="146" w:name="_Toc73521663"/>
      <w:bookmarkStart w:id="147" w:name="_Toc73521575"/>
      <w:bookmarkStart w:id="148" w:name="_Toc73517667"/>
      <w:r>
        <w:rPr>
          <w:rFonts w:hint="eastAsia" w:ascii="黑体" w:hAnsi="宋体" w:eastAsia="黑体"/>
          <w:kern w:val="2"/>
          <w:lang w:eastAsia="zh-CN"/>
        </w:rPr>
        <w:t>18．开标</w:t>
      </w:r>
      <w:bookmarkEnd w:id="142"/>
      <w:bookmarkEnd w:id="143"/>
      <w:bookmarkEnd w:id="144"/>
      <w:bookmarkEnd w:id="145"/>
      <w:bookmarkEnd w:id="146"/>
      <w:bookmarkEnd w:id="147"/>
      <w:bookmarkEnd w:id="148"/>
    </w:p>
    <w:p w14:paraId="6AD7551D">
      <w:pPr>
        <w:widowControl w:val="0"/>
        <w:ind w:firstLine="359" w:firstLineChars="171"/>
        <w:jc w:val="both"/>
        <w:rPr>
          <w:rFonts w:ascii="宋体" w:hAnsi="宋体" w:eastAsia="宋体" w:cs="宋体"/>
          <w:kern w:val="2"/>
          <w:sz w:val="21"/>
          <w:lang w:eastAsia="zh-CN"/>
        </w:rPr>
      </w:pPr>
      <w:bookmarkStart w:id="149" w:name="bt评标"/>
      <w:bookmarkEnd w:id="149"/>
      <w:bookmarkStart w:id="150" w:name="bt评标会议"/>
      <w:bookmarkEnd w:id="150"/>
      <w:bookmarkStart w:id="151" w:name="_Toc100052394"/>
      <w:bookmarkStart w:id="152" w:name="_Toc73521577"/>
      <w:bookmarkStart w:id="153" w:name="_Toc73518147"/>
      <w:bookmarkStart w:id="154" w:name="_Toc73517669"/>
      <w:bookmarkStart w:id="155" w:name="_Toc73521665"/>
      <w:r>
        <w:rPr>
          <w:rFonts w:hint="eastAsia" w:ascii="宋体" w:hAnsi="宋体" w:eastAsia="宋体" w:cs="宋体"/>
          <w:kern w:val="2"/>
          <w:sz w:val="21"/>
          <w:lang w:eastAsia="zh-CN"/>
        </w:rPr>
        <w:t>18.1投标人须在开标当日的开标时间至解密截止时间内进行解密，逾期未解密的作无效处理。解密方法：登录“深圳市自行采购系统（https://trade.szggzy.com/ggzy/center/#/login）”，使用本单位制作电子响应文件同一个电子密钥进行在线解密、查询开标情况。</w:t>
      </w:r>
    </w:p>
    <w:p w14:paraId="1E92956F">
      <w:pPr>
        <w:widowControl w:val="0"/>
        <w:ind w:firstLine="315" w:firstLineChars="150"/>
        <w:jc w:val="both"/>
        <w:rPr>
          <w:rFonts w:ascii="宋体" w:hAnsi="宋体" w:eastAsia="宋体" w:cs="宋体"/>
          <w:kern w:val="2"/>
          <w:sz w:val="21"/>
          <w:lang w:eastAsia="zh-CN"/>
        </w:rPr>
      </w:pPr>
      <w:r>
        <w:rPr>
          <w:rFonts w:hint="eastAsia" w:ascii="宋体" w:hAnsi="宋体" w:eastAsia="宋体" w:cs="宋体"/>
          <w:kern w:val="2"/>
          <w:sz w:val="21"/>
          <w:lang w:eastAsia="zh-CN"/>
        </w:rPr>
        <w:t>18.2招标代理机构将在满足开标条件（①解密时间结束，解密后的响应供应商数量满足开标要求或②解密时间结束前所有响应供应商均完成响应文件解密）后，对响应文件进行开标。</w:t>
      </w:r>
    </w:p>
    <w:p w14:paraId="5048BCA2">
      <w:pPr>
        <w:widowControl w:val="0"/>
        <w:jc w:val="both"/>
        <w:rPr>
          <w:rFonts w:ascii="黑体" w:hAnsi="宋体" w:eastAsia="黑体"/>
          <w:kern w:val="2"/>
          <w:lang w:eastAsia="zh-CN"/>
        </w:rPr>
      </w:pPr>
    </w:p>
    <w:p w14:paraId="16882FBA">
      <w:pPr>
        <w:keepNext/>
        <w:keepLines/>
        <w:widowControl w:val="0"/>
        <w:adjustRightInd w:val="0"/>
        <w:spacing w:before="260" w:after="260"/>
        <w:jc w:val="center"/>
        <w:outlineLvl w:val="1"/>
        <w:rPr>
          <w:rFonts w:ascii="宋体" w:hAnsi="宋体" w:eastAsia="宋体" w:cs="宋体"/>
          <w:b/>
          <w:bCs/>
          <w:szCs w:val="20"/>
          <w:lang w:eastAsia="zh-CN"/>
        </w:rPr>
      </w:pPr>
      <w:r>
        <w:rPr>
          <w:rFonts w:hint="eastAsia" w:ascii="宋体" w:hAnsi="宋体" w:eastAsia="宋体" w:cs="宋体"/>
          <w:b/>
          <w:bCs/>
          <w:szCs w:val="20"/>
          <w:lang w:eastAsia="zh-CN"/>
        </w:rPr>
        <w:t>第六章 评审要求</w:t>
      </w:r>
    </w:p>
    <w:p w14:paraId="44CFD13A">
      <w:pPr>
        <w:widowControl w:val="0"/>
        <w:jc w:val="both"/>
        <w:rPr>
          <w:rFonts w:ascii="黑体" w:hAnsi="宋体" w:eastAsia="黑体"/>
          <w:kern w:val="2"/>
          <w:lang w:eastAsia="zh-CN"/>
        </w:rPr>
      </w:pPr>
      <w:r>
        <w:rPr>
          <w:rFonts w:hint="eastAsia" w:ascii="黑体" w:hAnsi="宋体" w:eastAsia="黑体"/>
          <w:kern w:val="2"/>
          <w:lang w:eastAsia="zh-CN"/>
        </w:rPr>
        <w:t>19．评标会议</w:t>
      </w:r>
    </w:p>
    <w:p w14:paraId="5E0CAEE0">
      <w:pPr>
        <w:widowControl w:val="0"/>
        <w:ind w:firstLine="411" w:firstLineChars="196"/>
        <w:jc w:val="both"/>
        <w:rPr>
          <w:rFonts w:ascii="宋体" w:hAnsi="宋体" w:eastAsia="宋体"/>
          <w:kern w:val="2"/>
          <w:sz w:val="21"/>
          <w:lang w:eastAsia="zh-CN"/>
        </w:rPr>
      </w:pPr>
      <w:r>
        <w:rPr>
          <w:rFonts w:hint="eastAsia" w:ascii="宋体" w:hAnsi="宋体" w:eastAsia="宋体"/>
          <w:kern w:val="2"/>
          <w:sz w:val="21"/>
          <w:lang w:eastAsia="zh-CN"/>
        </w:rPr>
        <w:t>19.1评标定标应当遵循公平、公正、科学、择优的原则。</w:t>
      </w:r>
    </w:p>
    <w:p w14:paraId="414BA09B">
      <w:pPr>
        <w:widowControl w:val="0"/>
        <w:ind w:firstLine="411" w:firstLineChars="196"/>
        <w:jc w:val="both"/>
        <w:rPr>
          <w:rFonts w:ascii="宋体" w:hAnsi="宋体" w:eastAsia="宋体"/>
          <w:kern w:val="2"/>
          <w:sz w:val="21"/>
          <w:lang w:eastAsia="zh-CN"/>
        </w:rPr>
      </w:pPr>
      <w:r>
        <w:rPr>
          <w:rFonts w:hint="eastAsia" w:ascii="宋体" w:hAnsi="宋体" w:eastAsia="宋体"/>
          <w:kern w:val="2"/>
          <w:sz w:val="21"/>
          <w:lang w:eastAsia="zh-CN"/>
        </w:rPr>
        <w:t>19.2评标活动依法进行，任何单位和个人不得非法干预评标过程和结果。</w:t>
      </w:r>
    </w:p>
    <w:p w14:paraId="60B05A13">
      <w:pPr>
        <w:widowControl w:val="0"/>
        <w:ind w:firstLine="411" w:firstLineChars="196"/>
        <w:jc w:val="both"/>
        <w:rPr>
          <w:rFonts w:ascii="宋体" w:hAnsi="宋体" w:eastAsia="宋体"/>
          <w:kern w:val="2"/>
          <w:sz w:val="21"/>
          <w:lang w:eastAsia="zh-CN"/>
        </w:rPr>
      </w:pPr>
      <w:r>
        <w:rPr>
          <w:rFonts w:hint="eastAsia" w:ascii="宋体" w:hAnsi="宋体" w:eastAsia="宋体"/>
          <w:kern w:val="2"/>
          <w:sz w:val="21"/>
          <w:lang w:eastAsia="zh-CN"/>
        </w:rPr>
        <w:t>19.3评标过程中不允许违背评标程序或采用招标文件未载明的评标方法或评标因素进行评标。</w:t>
      </w:r>
    </w:p>
    <w:p w14:paraId="4DB4DCDC">
      <w:pPr>
        <w:widowControl w:val="0"/>
        <w:jc w:val="both"/>
        <w:rPr>
          <w:rFonts w:ascii="宋体" w:hAnsi="宋体" w:eastAsia="宋体"/>
          <w:kern w:val="2"/>
          <w:sz w:val="21"/>
          <w:lang w:eastAsia="zh-CN"/>
        </w:rPr>
      </w:pPr>
      <w:r>
        <w:rPr>
          <w:rFonts w:hint="eastAsia" w:ascii="黑体" w:hAnsi="宋体" w:eastAsia="黑体"/>
          <w:kern w:val="2"/>
          <w:lang w:eastAsia="zh-CN"/>
        </w:rPr>
        <w:t>20．独立评标及评标程序</w:t>
      </w:r>
    </w:p>
    <w:p w14:paraId="42D8B45B">
      <w:pPr>
        <w:widowControl w:val="0"/>
        <w:ind w:firstLine="411" w:firstLineChars="196"/>
        <w:jc w:val="both"/>
        <w:rPr>
          <w:rFonts w:ascii="宋体" w:hAnsi="宋体" w:eastAsia="宋体"/>
          <w:kern w:val="2"/>
          <w:sz w:val="21"/>
          <w:lang w:eastAsia="zh-CN"/>
        </w:rPr>
      </w:pPr>
      <w:r>
        <w:rPr>
          <w:rFonts w:hint="eastAsia" w:ascii="宋体" w:hAnsi="宋体" w:eastAsia="宋体"/>
          <w:kern w:val="2"/>
          <w:sz w:val="21"/>
          <w:lang w:eastAsia="zh-CN"/>
        </w:rPr>
        <w:t>20.1评标委员会成员的评标活动应当独立进行，并应遵循响应文件初审、澄清有关问题、比较与评价、确定中标供应商、编写评标报告的工作程序。</w:t>
      </w:r>
      <w:bookmarkEnd w:id="151"/>
      <w:bookmarkEnd w:id="152"/>
      <w:bookmarkEnd w:id="153"/>
      <w:bookmarkEnd w:id="154"/>
      <w:bookmarkEnd w:id="155"/>
      <w:bookmarkStart w:id="156" w:name="bt错误的修正"/>
      <w:bookmarkEnd w:id="156"/>
      <w:bookmarkStart w:id="157" w:name="bt评标过程的保密"/>
      <w:bookmarkEnd w:id="157"/>
    </w:p>
    <w:p w14:paraId="77390B72">
      <w:pPr>
        <w:widowControl w:val="0"/>
        <w:spacing w:line="360" w:lineRule="auto"/>
        <w:jc w:val="both"/>
        <w:rPr>
          <w:rFonts w:ascii="黑体" w:hAnsi="宋体" w:eastAsia="黑体"/>
          <w:kern w:val="2"/>
          <w:lang w:eastAsia="zh-CN"/>
        </w:rPr>
      </w:pPr>
      <w:bookmarkStart w:id="158" w:name="_Toc100052398"/>
      <w:bookmarkStart w:id="159" w:name="_Toc73517671"/>
      <w:bookmarkStart w:id="160" w:name="_Toc73521579"/>
      <w:bookmarkStart w:id="161" w:name="_Toc73518149"/>
      <w:bookmarkStart w:id="162" w:name="_Toc73521667"/>
      <w:r>
        <w:rPr>
          <w:rFonts w:hint="eastAsia" w:ascii="黑体" w:hAnsi="宋体" w:eastAsia="黑体"/>
          <w:kern w:val="2"/>
          <w:lang w:eastAsia="zh-CN"/>
        </w:rPr>
        <w:t>21．响应文件初审</w:t>
      </w:r>
      <w:bookmarkEnd w:id="158"/>
    </w:p>
    <w:bookmarkEnd w:id="159"/>
    <w:bookmarkEnd w:id="160"/>
    <w:bookmarkEnd w:id="161"/>
    <w:bookmarkEnd w:id="162"/>
    <w:p w14:paraId="47514C80">
      <w:pPr>
        <w:widowControl w:val="0"/>
        <w:ind w:firstLine="411" w:firstLineChars="196"/>
        <w:jc w:val="both"/>
        <w:rPr>
          <w:rFonts w:ascii="宋体" w:hAnsi="宋体" w:eastAsia="宋体"/>
          <w:kern w:val="2"/>
          <w:sz w:val="21"/>
          <w:lang w:eastAsia="zh-CN"/>
        </w:rPr>
      </w:pPr>
      <w:bookmarkStart w:id="163" w:name="_Toc100052399"/>
      <w:r>
        <w:rPr>
          <w:rFonts w:hint="eastAsia" w:ascii="宋体" w:hAnsi="宋体" w:eastAsia="宋体"/>
          <w:kern w:val="2"/>
          <w:sz w:val="21"/>
          <w:lang w:eastAsia="zh-CN"/>
        </w:rPr>
        <w:t>21.1响应文件初审包括资格性审查和符合性审查。资格性审查：依据法律法规和招标文件的规定，对响应文件中的资格证明等进行审查，以确定响应供应商是否具备响应资格。符合性审查：依据招标文件的规定，从响应文件的有效性、完整性和对招标文件的响应程度进行审查，以确定是否对招标文件的实质性要求作出响应。</w:t>
      </w:r>
    </w:p>
    <w:p w14:paraId="29F2C5AE">
      <w:pPr>
        <w:widowControl w:val="0"/>
        <w:ind w:firstLine="411" w:firstLineChars="196"/>
        <w:jc w:val="both"/>
        <w:rPr>
          <w:rFonts w:ascii="宋体" w:hAnsi="宋体" w:eastAsia="宋体"/>
          <w:kern w:val="2"/>
          <w:sz w:val="21"/>
          <w:lang w:eastAsia="zh-CN"/>
        </w:rPr>
      </w:pPr>
      <w:r>
        <w:rPr>
          <w:rFonts w:hint="eastAsia" w:ascii="宋体" w:hAnsi="宋体" w:eastAsia="宋体"/>
          <w:kern w:val="2"/>
          <w:sz w:val="21"/>
          <w:lang w:eastAsia="zh-CN"/>
        </w:rPr>
        <w:t>21.2响应文件初审内容请详见“关键信息”中的《资格性审查表》和《符合性审查表》部分。响应供应商若有一条审查不通过则按响应无效处理。</w:t>
      </w:r>
    </w:p>
    <w:p w14:paraId="21480839">
      <w:pPr>
        <w:widowControl w:val="0"/>
        <w:ind w:firstLine="420" w:firstLineChars="200"/>
        <w:jc w:val="both"/>
        <w:rPr>
          <w:rFonts w:ascii="宋体" w:hAnsi="宋体" w:eastAsia="宋体"/>
          <w:color w:val="FF0000"/>
          <w:kern w:val="2"/>
          <w:sz w:val="21"/>
          <w:lang w:eastAsia="zh-CN"/>
        </w:rPr>
      </w:pPr>
      <w:r>
        <w:rPr>
          <w:rFonts w:hint="eastAsia" w:ascii="宋体" w:hAnsi="宋体" w:eastAsia="宋体"/>
          <w:color w:val="FF0000"/>
          <w:kern w:val="2"/>
          <w:sz w:val="21"/>
          <w:lang w:eastAsia="zh-CN"/>
        </w:rPr>
        <w:t>21.3 政府采购异常低价审查的程序及要求：</w:t>
      </w:r>
    </w:p>
    <w:p w14:paraId="1A709BB1">
      <w:pPr>
        <w:widowControl w:val="0"/>
        <w:ind w:firstLine="420" w:firstLineChars="200"/>
        <w:jc w:val="both"/>
        <w:rPr>
          <w:rFonts w:ascii="宋体" w:hAnsi="宋体" w:eastAsia="宋体"/>
          <w:color w:val="FF0000"/>
          <w:kern w:val="2"/>
          <w:sz w:val="21"/>
          <w:lang w:eastAsia="zh-CN"/>
        </w:rPr>
      </w:pPr>
      <w:r>
        <w:rPr>
          <w:rFonts w:hint="eastAsia" w:ascii="宋体" w:hAnsi="宋体" w:eastAsia="宋体"/>
          <w:color w:val="FF0000"/>
          <w:kern w:val="2"/>
          <w:sz w:val="21"/>
          <w:lang w:eastAsia="zh-CN"/>
        </w:rPr>
        <w:t>21.3.1政府采购评审中出现《异常低价审查表》中四种情形之一的，谈判小组应当启动异常低价响应（响应）审查程序。</w:t>
      </w:r>
    </w:p>
    <w:p w14:paraId="7149DD3B">
      <w:pPr>
        <w:widowControl w:val="0"/>
        <w:ind w:firstLine="420" w:firstLineChars="200"/>
        <w:jc w:val="both"/>
        <w:rPr>
          <w:rFonts w:ascii="宋体" w:hAnsi="宋体" w:eastAsia="宋体"/>
          <w:color w:val="FF0000"/>
          <w:kern w:val="2"/>
          <w:sz w:val="21"/>
          <w:lang w:eastAsia="zh-CN"/>
        </w:rPr>
      </w:pPr>
      <w:r>
        <w:rPr>
          <w:rFonts w:hint="eastAsia" w:ascii="宋体" w:hAnsi="宋体" w:eastAsia="宋体"/>
          <w:color w:val="FF0000"/>
          <w:kern w:val="2"/>
          <w:sz w:val="21"/>
          <w:lang w:eastAsia="zh-CN"/>
        </w:rPr>
        <w:t>相关法律法规对供应商报价有规定的，从其规定。</w:t>
      </w:r>
    </w:p>
    <w:p w14:paraId="48024484">
      <w:pPr>
        <w:widowControl w:val="0"/>
        <w:ind w:firstLine="420" w:firstLineChars="200"/>
        <w:jc w:val="both"/>
        <w:rPr>
          <w:rFonts w:ascii="宋体" w:hAnsi="宋体" w:eastAsia="宋体"/>
          <w:color w:val="FF0000"/>
          <w:kern w:val="2"/>
          <w:sz w:val="21"/>
          <w:lang w:eastAsia="zh-CN"/>
        </w:rPr>
      </w:pPr>
      <w:r>
        <w:rPr>
          <w:rFonts w:hint="eastAsia" w:ascii="宋体" w:hAnsi="宋体" w:eastAsia="宋体"/>
          <w:color w:val="FF0000"/>
          <w:kern w:val="2"/>
          <w:sz w:val="21"/>
          <w:lang w:eastAsia="zh-CN"/>
        </w:rPr>
        <w:t>21.3.2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57D00B19">
      <w:pPr>
        <w:widowControl w:val="0"/>
        <w:ind w:firstLine="420" w:firstLineChars="200"/>
        <w:jc w:val="both"/>
        <w:rPr>
          <w:rFonts w:ascii="宋体" w:hAnsi="宋体" w:eastAsia="宋体"/>
          <w:color w:val="FF0000"/>
          <w:kern w:val="2"/>
          <w:sz w:val="21"/>
          <w:lang w:eastAsia="zh-CN"/>
        </w:rPr>
      </w:pPr>
      <w:r>
        <w:rPr>
          <w:rFonts w:hint="eastAsia" w:ascii="宋体" w:hAnsi="宋体" w:eastAsia="宋体"/>
          <w:color w:val="FF0000"/>
          <w:kern w:val="2"/>
          <w:sz w:val="21"/>
          <w:lang w:eastAsia="zh-CN"/>
        </w:rPr>
        <w:t>21.3.3异常低价响应（响应）审查的启动原因、审查意见和审查结果应当在评审报告中记录，并随供应商提供的相关书面说明及证明材料，以及谈判小组有关互联网浏览、查询历史一并归档。</w:t>
      </w:r>
    </w:p>
    <w:p w14:paraId="0A42B8D5">
      <w:pPr>
        <w:widowControl w:val="0"/>
        <w:ind w:firstLine="411" w:firstLineChars="196"/>
        <w:jc w:val="both"/>
        <w:rPr>
          <w:rFonts w:ascii="宋体" w:hAnsi="宋体" w:eastAsia="宋体"/>
          <w:kern w:val="2"/>
          <w:sz w:val="21"/>
          <w:lang w:eastAsia="zh-CN"/>
        </w:rPr>
      </w:pPr>
      <w:r>
        <w:rPr>
          <w:rFonts w:hint="eastAsia" w:ascii="宋体" w:hAnsi="宋体" w:eastAsia="宋体"/>
          <w:kern w:val="2"/>
          <w:sz w:val="21"/>
          <w:lang w:eastAsia="zh-CN"/>
        </w:rPr>
        <w:t>21.4对不属于《资格性审查表》和《符合性审查表》所列的其他情形，除法律法规另有规定外，不得作为响应无效的理由。</w:t>
      </w:r>
    </w:p>
    <w:p w14:paraId="2AB55758">
      <w:pPr>
        <w:widowControl w:val="0"/>
        <w:spacing w:line="360" w:lineRule="auto"/>
        <w:jc w:val="both"/>
        <w:rPr>
          <w:rFonts w:ascii="黑体" w:hAnsi="宋体" w:eastAsia="黑体"/>
          <w:kern w:val="2"/>
          <w:lang w:eastAsia="zh-CN"/>
        </w:rPr>
      </w:pPr>
      <w:r>
        <w:rPr>
          <w:rFonts w:hint="eastAsia" w:ascii="黑体" w:hAnsi="宋体" w:eastAsia="黑体"/>
          <w:kern w:val="2"/>
          <w:lang w:eastAsia="zh-CN"/>
        </w:rPr>
        <w:t>22．澄清有关问题</w:t>
      </w:r>
      <w:bookmarkEnd w:id="163"/>
    </w:p>
    <w:p w14:paraId="22D37CFE">
      <w:pPr>
        <w:widowControl w:val="0"/>
        <w:ind w:firstLine="411" w:firstLineChars="196"/>
        <w:jc w:val="both"/>
        <w:rPr>
          <w:rFonts w:ascii="宋体" w:hAnsi="宋体" w:eastAsia="宋体"/>
          <w:kern w:val="2"/>
          <w:sz w:val="21"/>
          <w:lang w:eastAsia="zh-CN"/>
        </w:rPr>
      </w:pPr>
      <w:bookmarkStart w:id="164" w:name="bt废标"/>
      <w:bookmarkEnd w:id="164"/>
      <w:bookmarkStart w:id="165" w:name="bt投标文件的澄清"/>
      <w:bookmarkEnd w:id="165"/>
      <w:bookmarkStart w:id="166" w:name="bt投标文件的评估和比较"/>
      <w:bookmarkEnd w:id="166"/>
      <w:bookmarkStart w:id="167" w:name="_Hlk71407321"/>
      <w:bookmarkStart w:id="168" w:name="_Toc73518151"/>
      <w:bookmarkStart w:id="169" w:name="_Toc100052400"/>
      <w:bookmarkStart w:id="170" w:name="_Toc73521581"/>
      <w:bookmarkStart w:id="171" w:name="_Toc73517673"/>
      <w:bookmarkStart w:id="172" w:name="_Toc73521669"/>
      <w:bookmarkStart w:id="173" w:name="_Toc73521583"/>
      <w:bookmarkStart w:id="174" w:name="_Toc73517675"/>
      <w:bookmarkStart w:id="175" w:name="_Toc73521671"/>
      <w:bookmarkStart w:id="176" w:name="_Toc73518153"/>
      <w:r>
        <w:rPr>
          <w:rFonts w:hint="eastAsia" w:ascii="宋体" w:hAnsi="宋体" w:eastAsia="宋体"/>
          <w:kern w:val="2"/>
          <w:sz w:val="21"/>
          <w:lang w:eastAsia="zh-CN"/>
        </w:rPr>
        <w:t>22</w:t>
      </w:r>
      <w:r>
        <w:rPr>
          <w:rFonts w:ascii="宋体" w:hAnsi="宋体" w:eastAsia="宋体"/>
          <w:kern w:val="2"/>
          <w:sz w:val="21"/>
          <w:lang w:eastAsia="zh-CN"/>
        </w:rPr>
        <w:t>.1</w:t>
      </w:r>
      <w:r>
        <w:rPr>
          <w:rFonts w:hint="eastAsia" w:ascii="宋体" w:hAnsi="宋体" w:eastAsia="宋体"/>
          <w:kern w:val="2"/>
          <w:sz w:val="21"/>
          <w:lang w:eastAsia="zh-CN"/>
        </w:rPr>
        <w:t>对招标文件中描述有歧义或前后不一致的地方（不含</w:t>
      </w:r>
      <w:r>
        <w:rPr>
          <w:rFonts w:eastAsia="宋体"/>
          <w:kern w:val="2"/>
          <w:sz w:val="21"/>
          <w:szCs w:val="21"/>
          <w:lang w:eastAsia="zh-CN"/>
        </w:rPr>
        <w:t>招标文件存在歧义、重大缺陷导致评</w:t>
      </w:r>
      <w:r>
        <w:rPr>
          <w:rFonts w:hint="eastAsia" w:eastAsia="宋体"/>
          <w:kern w:val="2"/>
          <w:sz w:val="21"/>
          <w:szCs w:val="21"/>
          <w:lang w:eastAsia="zh-CN"/>
        </w:rPr>
        <w:t>审</w:t>
      </w:r>
      <w:r>
        <w:rPr>
          <w:rFonts w:eastAsia="宋体"/>
          <w:kern w:val="2"/>
          <w:sz w:val="21"/>
          <w:szCs w:val="21"/>
          <w:lang w:eastAsia="zh-CN"/>
        </w:rPr>
        <w:t>工作无法进行</w:t>
      </w:r>
      <w:r>
        <w:rPr>
          <w:rFonts w:hint="eastAsia" w:eastAsia="宋体"/>
          <w:kern w:val="2"/>
          <w:sz w:val="21"/>
          <w:szCs w:val="21"/>
          <w:lang w:eastAsia="zh-CN"/>
        </w:rPr>
        <w:t>的情况）</w:t>
      </w:r>
      <w:r>
        <w:rPr>
          <w:rFonts w:hint="eastAsia" w:ascii="宋体" w:hAnsi="宋体" w:eastAsia="宋体"/>
          <w:kern w:val="2"/>
          <w:sz w:val="21"/>
          <w:lang w:eastAsia="zh-CN"/>
        </w:rPr>
        <w:t>，谈判小组有权进行评判，但对同一条款的评判应适用于每个投标人。</w:t>
      </w:r>
      <w:bookmarkEnd w:id="167"/>
    </w:p>
    <w:p w14:paraId="02BD145F">
      <w:pPr>
        <w:widowControl w:val="0"/>
        <w:ind w:firstLine="411" w:firstLineChars="196"/>
        <w:jc w:val="both"/>
        <w:rPr>
          <w:rFonts w:ascii="宋体" w:hAnsi="宋体" w:eastAsia="宋体"/>
          <w:kern w:val="2"/>
          <w:sz w:val="21"/>
          <w:lang w:eastAsia="zh-CN"/>
        </w:rPr>
      </w:pPr>
      <w:r>
        <w:rPr>
          <w:rFonts w:hint="eastAsia" w:ascii="宋体" w:hAnsi="宋体" w:eastAsia="宋体"/>
          <w:kern w:val="2"/>
          <w:sz w:val="21"/>
          <w:lang w:eastAsia="zh-CN"/>
        </w:rPr>
        <w:t>22</w:t>
      </w:r>
      <w:r>
        <w:rPr>
          <w:rFonts w:ascii="宋体" w:hAnsi="宋体" w:eastAsia="宋体"/>
          <w:kern w:val="2"/>
          <w:sz w:val="21"/>
          <w:lang w:eastAsia="zh-CN"/>
        </w:rPr>
        <w:t>.</w:t>
      </w:r>
      <w:r>
        <w:rPr>
          <w:rFonts w:hint="eastAsia" w:ascii="宋体" w:hAnsi="宋体" w:eastAsia="宋体"/>
          <w:kern w:val="2"/>
          <w:sz w:val="21"/>
          <w:lang w:eastAsia="zh-CN"/>
        </w:rPr>
        <w:t>2</w:t>
      </w:r>
      <w:r>
        <w:rPr>
          <w:rFonts w:hint="eastAsia" w:eastAsia="宋体"/>
          <w:kern w:val="2"/>
          <w:sz w:val="21"/>
          <w:szCs w:val="21"/>
          <w:lang w:eastAsia="zh-CN"/>
        </w:rPr>
        <w:t>谈判小组</w:t>
      </w:r>
      <w:r>
        <w:rPr>
          <w:rFonts w:eastAsia="宋体"/>
          <w:kern w:val="2"/>
          <w:sz w:val="21"/>
          <w:szCs w:val="21"/>
          <w:lang w:eastAsia="zh-CN"/>
        </w:rPr>
        <w:t>发现招标文件存在歧义、重大缺陷导致评</w:t>
      </w:r>
      <w:r>
        <w:rPr>
          <w:rFonts w:hint="eastAsia" w:eastAsia="宋体"/>
          <w:kern w:val="2"/>
          <w:sz w:val="21"/>
          <w:szCs w:val="21"/>
          <w:lang w:eastAsia="zh-CN"/>
        </w:rPr>
        <w:t>审</w:t>
      </w:r>
      <w:r>
        <w:rPr>
          <w:rFonts w:eastAsia="宋体"/>
          <w:kern w:val="2"/>
          <w:sz w:val="21"/>
          <w:szCs w:val="21"/>
          <w:lang w:eastAsia="zh-CN"/>
        </w:rPr>
        <w:t>工作无法进行，或者招标文件内容违反国家有关强制性规定的，应当停止评</w:t>
      </w:r>
      <w:r>
        <w:rPr>
          <w:rFonts w:hint="eastAsia" w:eastAsia="宋体"/>
          <w:kern w:val="2"/>
          <w:sz w:val="21"/>
          <w:szCs w:val="21"/>
          <w:lang w:eastAsia="zh-CN"/>
        </w:rPr>
        <w:t>审</w:t>
      </w:r>
      <w:r>
        <w:rPr>
          <w:rFonts w:eastAsia="宋体"/>
          <w:kern w:val="2"/>
          <w:sz w:val="21"/>
          <w:szCs w:val="21"/>
          <w:lang w:eastAsia="zh-CN"/>
        </w:rPr>
        <w:t>工作，与</w:t>
      </w:r>
      <w:r>
        <w:rPr>
          <w:rFonts w:hint="eastAsia" w:ascii="宋体" w:hAnsi="宋体" w:eastAsia="宋体"/>
          <w:kern w:val="2"/>
          <w:sz w:val="21"/>
          <w:szCs w:val="21"/>
          <w:lang w:eastAsia="zh-CN"/>
        </w:rPr>
        <w:t>深圳公共资源交易中心（深圳交易集团有限公司罗湖分公司）</w:t>
      </w:r>
      <w:r>
        <w:rPr>
          <w:rFonts w:eastAsia="宋体"/>
          <w:kern w:val="2"/>
          <w:sz w:val="21"/>
          <w:szCs w:val="21"/>
          <w:lang w:eastAsia="zh-CN"/>
        </w:rPr>
        <w:t>沟通并作书面记录。</w:t>
      </w:r>
      <w:r>
        <w:rPr>
          <w:rFonts w:hint="eastAsia" w:eastAsia="宋体"/>
          <w:kern w:val="2"/>
          <w:sz w:val="21"/>
          <w:szCs w:val="21"/>
          <w:lang w:eastAsia="zh-CN"/>
        </w:rPr>
        <w:t>经</w:t>
      </w:r>
      <w:r>
        <w:rPr>
          <w:rFonts w:eastAsia="宋体"/>
          <w:kern w:val="2"/>
          <w:sz w:val="21"/>
          <w:szCs w:val="21"/>
          <w:lang w:eastAsia="zh-CN"/>
        </w:rPr>
        <w:t>确认后，</w:t>
      </w:r>
      <w:r>
        <w:rPr>
          <w:rFonts w:hint="eastAsia" w:eastAsia="宋体"/>
          <w:kern w:val="2"/>
          <w:sz w:val="21"/>
          <w:szCs w:val="21"/>
          <w:lang w:eastAsia="zh-CN"/>
        </w:rPr>
        <w:t>项目</w:t>
      </w:r>
      <w:r>
        <w:rPr>
          <w:rFonts w:eastAsia="宋体"/>
          <w:kern w:val="2"/>
          <w:sz w:val="21"/>
          <w:szCs w:val="21"/>
          <w:lang w:eastAsia="zh-CN"/>
        </w:rPr>
        <w:t>应当修改招标文件，重新组织采购活动。</w:t>
      </w:r>
    </w:p>
    <w:p w14:paraId="2C8CD690">
      <w:pPr>
        <w:widowControl w:val="0"/>
        <w:ind w:firstLine="411" w:firstLineChars="196"/>
        <w:jc w:val="both"/>
        <w:rPr>
          <w:rFonts w:ascii="宋体" w:hAnsi="宋体" w:eastAsia="宋体"/>
          <w:color w:val="FF0000"/>
          <w:kern w:val="2"/>
          <w:sz w:val="21"/>
          <w:lang w:eastAsia="zh-CN"/>
        </w:rPr>
      </w:pPr>
      <w:r>
        <w:rPr>
          <w:rFonts w:hint="eastAsia" w:ascii="宋体" w:hAnsi="宋体" w:eastAsia="宋体"/>
          <w:kern w:val="2"/>
          <w:sz w:val="21"/>
          <w:lang w:eastAsia="zh-CN"/>
        </w:rPr>
        <w:t>22</w:t>
      </w:r>
      <w:r>
        <w:rPr>
          <w:rFonts w:ascii="宋体" w:hAnsi="宋体" w:eastAsia="宋体"/>
          <w:kern w:val="2"/>
          <w:sz w:val="21"/>
          <w:lang w:eastAsia="zh-CN"/>
        </w:rPr>
        <w:t>.</w:t>
      </w:r>
      <w:r>
        <w:rPr>
          <w:rFonts w:hint="eastAsia" w:ascii="宋体" w:hAnsi="宋体" w:eastAsia="宋体"/>
          <w:kern w:val="2"/>
          <w:sz w:val="21"/>
          <w:lang w:eastAsia="zh-CN"/>
        </w:rPr>
        <w:t>3</w:t>
      </w:r>
      <w:r>
        <w:rPr>
          <w:rFonts w:hint="eastAsia" w:ascii="宋体" w:hAnsi="宋体" w:eastAsia="宋体"/>
          <w:kern w:val="2"/>
          <w:sz w:val="21"/>
          <w:szCs w:val="21"/>
          <w:lang w:eastAsia="zh-CN"/>
        </w:rPr>
        <w:t>对于响应文件中含义不明确、同类问题表述不一致或者有明显文字和计算错误的内容，评标委员会应当以书面形式要求响应供应商作出必要的澄清、说明或者补正。</w:t>
      </w:r>
    </w:p>
    <w:p w14:paraId="0276E05B">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响应供应商的澄清、说明或者补正应当采用书面形式，并加盖公章，或者由法定代表人或其授权的代表签字。响应供应商的澄清、说明或者补正不得超出响应文件的范围或者改变响应文件的实质性内容。</w:t>
      </w:r>
    </w:p>
    <w:p w14:paraId="5ED23208">
      <w:pPr>
        <w:widowControl w:val="0"/>
        <w:spacing w:after="120"/>
        <w:ind w:firstLine="420" w:firstLineChars="200"/>
        <w:jc w:val="both"/>
        <w:rPr>
          <w:rFonts w:eastAsia="宋体"/>
          <w:kern w:val="2"/>
          <w:sz w:val="21"/>
          <w:lang w:eastAsia="zh-CN"/>
        </w:rPr>
      </w:pPr>
      <w:r>
        <w:rPr>
          <w:rFonts w:hint="eastAsia" w:eastAsia="宋体"/>
          <w:kern w:val="2"/>
          <w:sz w:val="21"/>
          <w:lang w:eastAsia="zh-CN"/>
        </w:rPr>
        <w:t>根据本通用条款第23条，凡属于谈判小组在评审中发现的算术错误进行核实的修改不在此列。</w:t>
      </w:r>
    </w:p>
    <w:p w14:paraId="08D1A126">
      <w:pPr>
        <w:widowControl w:val="0"/>
        <w:spacing w:line="360" w:lineRule="auto"/>
        <w:jc w:val="both"/>
        <w:rPr>
          <w:rFonts w:ascii="黑体" w:hAnsi="宋体" w:eastAsia="黑体"/>
          <w:kern w:val="2"/>
          <w:lang w:eastAsia="zh-CN"/>
        </w:rPr>
      </w:pPr>
      <w:r>
        <w:rPr>
          <w:rFonts w:hint="eastAsia" w:ascii="黑体" w:hAnsi="宋体" w:eastAsia="黑体"/>
          <w:kern w:val="2"/>
          <w:lang w:eastAsia="zh-CN"/>
        </w:rPr>
        <w:t>23．错误的修正</w:t>
      </w:r>
      <w:bookmarkEnd w:id="168"/>
      <w:bookmarkEnd w:id="169"/>
      <w:bookmarkEnd w:id="170"/>
      <w:bookmarkEnd w:id="171"/>
      <w:bookmarkEnd w:id="172"/>
    </w:p>
    <w:p w14:paraId="60F9537A">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响应文件报价出现前后不一致的，除招标文件另有规定外，按照下列规定修正：</w:t>
      </w:r>
    </w:p>
    <w:p w14:paraId="5D17BE2D">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23.1响应文件中开标一览表内容与响应文件中相应内容不一致的，以开标一览表为准；</w:t>
      </w:r>
    </w:p>
    <w:p w14:paraId="0A8AA0EB">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23.2大写金额和小写金额不一致的，以大写金额为准；</w:t>
      </w:r>
    </w:p>
    <w:p w14:paraId="21EA5370">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23.3单价金额小数点或者百分比有明显错位，以开标一览表的总价为准，并修改单价；</w:t>
      </w:r>
    </w:p>
    <w:p w14:paraId="468B2EDB">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23.4总价金额与按单价汇总金额不一致的，以单价金额计算结果为准。</w:t>
      </w:r>
    </w:p>
    <w:p w14:paraId="24A19F0E">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23.5同时出现两种以上不一致的，按照前款规定的顺序修正。修正后的报价按照第17条规定，经响应供应商确认后产生约束力，投标人不确认的，其响应无效。</w:t>
      </w:r>
      <w:bookmarkEnd w:id="173"/>
      <w:bookmarkEnd w:id="174"/>
      <w:bookmarkEnd w:id="175"/>
      <w:bookmarkEnd w:id="176"/>
      <w:bookmarkStart w:id="177" w:name="_Toc100052402"/>
    </w:p>
    <w:p w14:paraId="33376B6B">
      <w:pPr>
        <w:widowControl w:val="0"/>
        <w:spacing w:line="360" w:lineRule="auto"/>
        <w:jc w:val="both"/>
        <w:rPr>
          <w:rFonts w:ascii="黑体" w:hAnsi="宋体" w:eastAsia="黑体"/>
          <w:kern w:val="2"/>
          <w:lang w:eastAsia="zh-CN"/>
        </w:rPr>
      </w:pPr>
      <w:r>
        <w:rPr>
          <w:rFonts w:hint="eastAsia" w:ascii="黑体" w:hAnsi="宋体" w:eastAsia="黑体"/>
          <w:kern w:val="2"/>
          <w:lang w:eastAsia="zh-CN"/>
        </w:rPr>
        <w:t>24．响应文件的比较与评价</w:t>
      </w:r>
    </w:p>
    <w:p w14:paraId="2BD810F4">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谈判小组将参照《深圳经济特区政府采购条例》《深圳经济特区政府采购条例实施细则》及政府采购其他法律法规，仅对通过响应文件初审的响应文件进行综合比较与评价。</w:t>
      </w:r>
    </w:p>
    <w:p w14:paraId="63600A50">
      <w:pPr>
        <w:widowControl w:val="0"/>
        <w:ind w:firstLine="411" w:firstLineChars="196"/>
        <w:jc w:val="both"/>
        <w:rPr>
          <w:rFonts w:eastAsia="宋体"/>
          <w:kern w:val="2"/>
          <w:sz w:val="21"/>
          <w:lang w:eastAsia="zh-CN"/>
        </w:rPr>
      </w:pPr>
      <w:r>
        <w:rPr>
          <w:rFonts w:hint="eastAsia" w:ascii="宋体" w:hAnsi="宋体" w:eastAsia="宋体"/>
          <w:kern w:val="2"/>
          <w:sz w:val="21"/>
          <w:szCs w:val="21"/>
          <w:lang w:eastAsia="zh-CN"/>
        </w:rPr>
        <w:t>谈判小组成员对需要共同认定的事项存在争议的，应当按照少数服从多数的原则作出结论。持不同意见的谈判小组成员应当书面作出说明，否则视为无异议。</w:t>
      </w:r>
    </w:p>
    <w:p w14:paraId="464E4D4C">
      <w:pPr>
        <w:widowControl w:val="0"/>
        <w:spacing w:line="360" w:lineRule="auto"/>
        <w:jc w:val="both"/>
        <w:rPr>
          <w:rFonts w:ascii="黑体" w:hAnsi="宋体" w:eastAsia="黑体"/>
          <w:kern w:val="2"/>
          <w:lang w:eastAsia="zh-CN"/>
        </w:rPr>
      </w:pPr>
      <w:r>
        <w:rPr>
          <w:rFonts w:hint="eastAsia" w:ascii="黑体" w:hAnsi="宋体" w:eastAsia="黑体"/>
          <w:kern w:val="2"/>
          <w:lang w:eastAsia="zh-CN"/>
        </w:rPr>
        <w:t>25．评标方法</w:t>
      </w:r>
      <w:bookmarkEnd w:id="177"/>
      <w:bookmarkStart w:id="178" w:name="_Toc73521585"/>
      <w:bookmarkStart w:id="179" w:name="_Toc60631660"/>
      <w:bookmarkStart w:id="180" w:name="_Toc73521673"/>
      <w:bookmarkStart w:id="181" w:name="_Toc73518155"/>
      <w:bookmarkStart w:id="182" w:name="_Toc73517677"/>
      <w:bookmarkStart w:id="183" w:name="_Toc60560665"/>
      <w:bookmarkStart w:id="184" w:name="_Toc100052403"/>
    </w:p>
    <w:p w14:paraId="0301F84C">
      <w:pPr>
        <w:widowControl w:val="0"/>
        <w:spacing w:line="360" w:lineRule="auto"/>
        <w:ind w:firstLine="420" w:firstLineChars="200"/>
        <w:jc w:val="both"/>
        <w:rPr>
          <w:rFonts w:ascii="宋体" w:hAnsi="宋体" w:eastAsia="宋体"/>
          <w:kern w:val="2"/>
          <w:sz w:val="21"/>
          <w:szCs w:val="21"/>
          <w:lang w:eastAsia="zh-CN"/>
        </w:rPr>
      </w:pPr>
      <w:r>
        <w:rPr>
          <w:rFonts w:hint="eastAsia" w:ascii="宋体" w:hAnsi="宋体" w:eastAsia="宋体"/>
          <w:kern w:val="2"/>
          <w:sz w:val="21"/>
          <w:szCs w:val="21"/>
          <w:lang w:eastAsia="zh-CN"/>
        </w:rPr>
        <w:t>本项目采用评标方法详见招标文件中的《评标信息》部分。</w:t>
      </w:r>
    </w:p>
    <w:p w14:paraId="39CA2126">
      <w:pPr>
        <w:widowControl w:val="0"/>
        <w:spacing w:line="360" w:lineRule="auto"/>
        <w:jc w:val="both"/>
        <w:rPr>
          <w:rFonts w:ascii="黑体" w:hAnsi="宋体" w:eastAsia="黑体"/>
          <w:kern w:val="2"/>
          <w:lang w:eastAsia="zh-CN"/>
        </w:rPr>
      </w:pPr>
      <w:r>
        <w:rPr>
          <w:rFonts w:hint="eastAsia" w:ascii="黑体" w:hAnsi="宋体" w:eastAsia="黑体"/>
          <w:kern w:val="2"/>
          <w:lang w:eastAsia="zh-CN"/>
        </w:rPr>
        <w:t>26．定标</w:t>
      </w:r>
      <w:bookmarkEnd w:id="178"/>
      <w:bookmarkEnd w:id="179"/>
      <w:bookmarkEnd w:id="180"/>
      <w:bookmarkEnd w:id="181"/>
      <w:bookmarkEnd w:id="182"/>
      <w:bookmarkEnd w:id="183"/>
      <w:bookmarkEnd w:id="184"/>
    </w:p>
    <w:p w14:paraId="66D727B7">
      <w:pPr>
        <w:widowControl w:val="0"/>
        <w:ind w:firstLine="411" w:firstLineChars="196"/>
        <w:jc w:val="both"/>
        <w:rPr>
          <w:rFonts w:ascii="宋体" w:hAnsi="宋体" w:eastAsia="宋体"/>
          <w:kern w:val="2"/>
          <w:sz w:val="21"/>
          <w:szCs w:val="21"/>
          <w:lang w:eastAsia="zh-CN"/>
        </w:rPr>
      </w:pPr>
      <w:bookmarkStart w:id="185" w:name="_Toc100052404"/>
      <w:r>
        <w:rPr>
          <w:rFonts w:hint="eastAsia" w:ascii="宋体" w:hAnsi="宋体" w:eastAsia="宋体"/>
          <w:kern w:val="2"/>
          <w:sz w:val="21"/>
          <w:szCs w:val="21"/>
          <w:lang w:eastAsia="zh-CN"/>
        </w:rPr>
        <w:t>本项目采用定标方法详见招标文件中的《定标方法》部分。</w:t>
      </w:r>
    </w:p>
    <w:p w14:paraId="2220B93F">
      <w:pPr>
        <w:widowControl w:val="0"/>
        <w:spacing w:line="360" w:lineRule="auto"/>
        <w:jc w:val="both"/>
        <w:rPr>
          <w:rFonts w:ascii="黑体" w:hAnsi="宋体" w:eastAsia="黑体"/>
          <w:kern w:val="2"/>
          <w:lang w:eastAsia="zh-CN"/>
        </w:rPr>
      </w:pPr>
      <w:r>
        <w:rPr>
          <w:rFonts w:hint="eastAsia" w:ascii="黑体" w:hAnsi="宋体" w:eastAsia="黑体"/>
          <w:kern w:val="2"/>
          <w:lang w:eastAsia="zh-CN"/>
        </w:rPr>
        <w:t>27．评标报告</w:t>
      </w:r>
      <w:bookmarkEnd w:id="185"/>
    </w:p>
    <w:p w14:paraId="3530DC30">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评审报告是谈判小组根据全体评标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谈判小组应当对此作出书面说明并记录存档。</w:t>
      </w:r>
    </w:p>
    <w:p w14:paraId="26D454B1">
      <w:pPr>
        <w:widowControl w:val="0"/>
        <w:spacing w:line="360" w:lineRule="auto"/>
        <w:jc w:val="both"/>
        <w:rPr>
          <w:rFonts w:ascii="黑体" w:hAnsi="宋体" w:eastAsia="黑体"/>
          <w:kern w:val="2"/>
          <w:lang w:eastAsia="zh-CN"/>
        </w:rPr>
      </w:pPr>
      <w:bookmarkStart w:id="186" w:name="_Toc73521588"/>
      <w:bookmarkStart w:id="187" w:name="_Toc73517681"/>
      <w:bookmarkStart w:id="188" w:name="_Toc100052405"/>
      <w:bookmarkStart w:id="189" w:name="_Toc73518159"/>
      <w:bookmarkStart w:id="190" w:name="_Toc73521676"/>
      <w:r>
        <w:rPr>
          <w:rFonts w:hint="eastAsia" w:ascii="黑体" w:hAnsi="宋体" w:eastAsia="黑体"/>
          <w:kern w:val="2"/>
          <w:lang w:eastAsia="zh-CN"/>
        </w:rPr>
        <w:t>28．</w:t>
      </w:r>
      <w:bookmarkEnd w:id="186"/>
      <w:bookmarkEnd w:id="187"/>
      <w:bookmarkEnd w:id="188"/>
      <w:bookmarkEnd w:id="189"/>
      <w:bookmarkEnd w:id="190"/>
      <w:r>
        <w:rPr>
          <w:rFonts w:hint="eastAsia" w:ascii="黑体" w:hAnsi="宋体" w:eastAsia="黑体"/>
          <w:kern w:val="2"/>
          <w:lang w:eastAsia="zh-CN"/>
        </w:rPr>
        <w:t>中标（成交）公告</w:t>
      </w:r>
    </w:p>
    <w:p w14:paraId="72D9FF68">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28.1</w:t>
      </w:r>
      <w:bookmarkStart w:id="191" w:name="OLE_LINK5"/>
      <w:r>
        <w:rPr>
          <w:rFonts w:hint="eastAsia" w:ascii="宋体" w:hAnsi="宋体" w:eastAsia="宋体"/>
          <w:kern w:val="2"/>
          <w:sz w:val="21"/>
          <w:szCs w:val="21"/>
          <w:lang w:eastAsia="zh-CN"/>
        </w:rPr>
        <w:t>为体现“公开、公平、公正”的原则，评标结束后，深圳公共资源交易中心（深圳交易集团有限公司罗湖分公司）将在</w:t>
      </w:r>
      <w:r>
        <w:rPr>
          <w:rFonts w:hint="eastAsia" w:ascii="宋体" w:hAnsi="宋体" w:eastAsia="宋体"/>
          <w:color w:val="FF0000"/>
          <w:kern w:val="2"/>
          <w:sz w:val="21"/>
          <w:szCs w:val="21"/>
          <w:lang w:eastAsia="zh-CN"/>
        </w:rPr>
        <w:t>深圳交易集团罗湖分公司官网（https://lh.szexgrp.com/jyfw/zfcg-view.html?id=zfcg）</w:t>
      </w:r>
      <w:r>
        <w:rPr>
          <w:rFonts w:hint="eastAsia" w:ascii="宋体" w:hAnsi="宋体" w:eastAsia="宋体"/>
          <w:kern w:val="2"/>
          <w:sz w:val="21"/>
          <w:szCs w:val="21"/>
          <w:lang w:eastAsia="zh-CN"/>
        </w:rPr>
        <w:t>上发布中标（成交）结果公告。</w:t>
      </w:r>
      <w:bookmarkEnd w:id="191"/>
    </w:p>
    <w:p w14:paraId="7CAB667D">
      <w:pPr>
        <w:widowControl w:val="0"/>
        <w:spacing w:line="360" w:lineRule="auto"/>
        <w:jc w:val="both"/>
        <w:rPr>
          <w:rFonts w:ascii="黑体" w:hAnsi="宋体" w:eastAsia="黑体"/>
          <w:kern w:val="2"/>
          <w:lang w:eastAsia="zh-CN"/>
        </w:rPr>
      </w:pPr>
      <w:bookmarkStart w:id="192" w:name="_Toc100052406"/>
      <w:r>
        <w:rPr>
          <w:rFonts w:hint="eastAsia" w:ascii="黑体" w:hAnsi="宋体" w:eastAsia="黑体"/>
          <w:kern w:val="2"/>
          <w:lang w:eastAsia="zh-CN"/>
        </w:rPr>
        <w:t>29．中标（成交）通知书</w:t>
      </w:r>
      <w:bookmarkEnd w:id="192"/>
    </w:p>
    <w:p w14:paraId="33E065EC">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29</w:t>
      </w:r>
      <w:r>
        <w:rPr>
          <w:rFonts w:ascii="宋体" w:hAnsi="宋体" w:eastAsia="宋体"/>
          <w:kern w:val="2"/>
          <w:sz w:val="21"/>
          <w:szCs w:val="21"/>
          <w:lang w:eastAsia="zh-CN"/>
        </w:rPr>
        <w:t>.</w:t>
      </w:r>
      <w:r>
        <w:rPr>
          <w:rFonts w:hint="eastAsia" w:ascii="宋体" w:hAnsi="宋体" w:eastAsia="宋体"/>
          <w:kern w:val="2"/>
          <w:sz w:val="21"/>
          <w:szCs w:val="21"/>
          <w:lang w:eastAsia="zh-CN"/>
        </w:rPr>
        <w:t>1</w:t>
      </w:r>
      <w:bookmarkStart w:id="193" w:name="OLE_LINK40"/>
      <w:r>
        <w:rPr>
          <w:rFonts w:hint="eastAsia" w:ascii="宋体" w:hAnsi="宋体" w:eastAsia="宋体" w:cs="宋体"/>
          <w:color w:val="000000"/>
          <w:sz w:val="21"/>
          <w:szCs w:val="21"/>
          <w:lang w:eastAsia="zh-CN"/>
        </w:rPr>
        <w:t>中标（成交）公告发布并公示不少于1个工作日，</w:t>
      </w:r>
      <w:bookmarkEnd w:id="193"/>
      <w:r>
        <w:rPr>
          <w:rFonts w:hint="eastAsia" w:ascii="宋体" w:hAnsi="宋体" w:eastAsia="宋体" w:cs="宋体"/>
          <w:color w:val="000000"/>
          <w:sz w:val="21"/>
          <w:szCs w:val="21"/>
          <w:lang w:eastAsia="zh-CN"/>
        </w:rPr>
        <w:t>公示期满无异议或者异议不成立的，中标人向深圳公共资源交易中心（深圳交易集团有限公司罗湖分公司）缴纳代理服务费后</w:t>
      </w:r>
      <w:r>
        <w:rPr>
          <w:rFonts w:hint="eastAsia" w:ascii="宋体" w:hAnsi="宋体" w:eastAsia="宋体" w:cs="宋体"/>
          <w:sz w:val="21"/>
          <w:szCs w:val="21"/>
          <w:lang w:eastAsia="zh-CN"/>
        </w:rPr>
        <w:t>，</w:t>
      </w:r>
      <w:r>
        <w:rPr>
          <w:rFonts w:hint="eastAsia" w:ascii="宋体" w:hAnsi="宋体" w:eastAsia="宋体" w:cs="宋体"/>
          <w:kern w:val="2"/>
          <w:sz w:val="21"/>
          <w:szCs w:val="21"/>
          <w:lang w:eastAsia="zh-CN"/>
        </w:rPr>
        <w:t>方可领取《中标（成交）通知书》</w:t>
      </w:r>
      <w:r>
        <w:rPr>
          <w:rFonts w:hint="eastAsia" w:ascii="宋体" w:hAnsi="宋体" w:eastAsia="宋体" w:cs="宋体"/>
          <w:sz w:val="21"/>
          <w:szCs w:val="21"/>
          <w:lang w:eastAsia="zh-CN"/>
        </w:rPr>
        <w:t>。</w:t>
      </w:r>
    </w:p>
    <w:p w14:paraId="086264C6">
      <w:pPr>
        <w:widowControl w:val="0"/>
        <w:ind w:firstLine="411" w:firstLineChars="196"/>
        <w:jc w:val="both"/>
        <w:rPr>
          <w:rFonts w:ascii="宋体" w:hAnsi="宋体" w:eastAsia="宋体"/>
          <w:color w:val="FF0000"/>
          <w:kern w:val="2"/>
          <w:sz w:val="21"/>
          <w:szCs w:val="21"/>
          <w:lang w:eastAsia="zh-CN"/>
        </w:rPr>
      </w:pPr>
      <w:r>
        <w:rPr>
          <w:rFonts w:hint="eastAsia" w:ascii="宋体" w:hAnsi="宋体" w:eastAsia="宋体"/>
          <w:color w:val="FF0000"/>
          <w:kern w:val="2"/>
          <w:sz w:val="21"/>
          <w:szCs w:val="21"/>
          <w:lang w:eastAsia="zh-CN"/>
        </w:rPr>
        <w:t>29.2因质疑投诉或其它原因导致项目结果变更或采购终止的，深圳公共资源交易中心（深圳交易集团有限公司罗湖分公司）有权收回中标（成交）通知书。</w:t>
      </w:r>
    </w:p>
    <w:p w14:paraId="3FA6720E">
      <w:pPr>
        <w:widowControl w:val="0"/>
        <w:spacing w:line="360" w:lineRule="auto"/>
        <w:jc w:val="both"/>
        <w:rPr>
          <w:rFonts w:ascii="黑体" w:hAnsi="宋体" w:eastAsia="黑体"/>
          <w:kern w:val="2"/>
          <w:lang w:eastAsia="zh-CN"/>
        </w:rPr>
      </w:pPr>
      <w:r>
        <w:rPr>
          <w:rFonts w:hint="eastAsia" w:ascii="黑体" w:hAnsi="宋体" w:eastAsia="黑体"/>
          <w:kern w:val="2"/>
          <w:lang w:eastAsia="zh-CN"/>
        </w:rPr>
        <w:t>30.合同的签订</w:t>
      </w:r>
    </w:p>
    <w:p w14:paraId="421B8148">
      <w:pPr>
        <w:widowControl w:val="0"/>
        <w:ind w:firstLine="411" w:firstLineChars="196"/>
        <w:jc w:val="both"/>
        <w:rPr>
          <w:rFonts w:ascii="宋体" w:hAnsi="宋体" w:eastAsia="宋体"/>
          <w:kern w:val="2"/>
          <w:sz w:val="21"/>
          <w:szCs w:val="21"/>
          <w:lang w:eastAsia="zh-CN"/>
        </w:rPr>
      </w:pPr>
      <w:r>
        <w:rPr>
          <w:rFonts w:hint="eastAsia" w:ascii="宋体" w:hAnsi="宋体" w:eastAsia="宋体"/>
          <w:kern w:val="2"/>
          <w:sz w:val="21"/>
          <w:szCs w:val="21"/>
          <w:lang w:eastAsia="zh-CN"/>
        </w:rPr>
        <w:t>30.1中标人将于中标通知书发出之日起十个工作日内，按照采购文件（招标文件和响应文件等）内容与采购人签订采购合同；合同的实质性内容应当符合招标文件的规定；</w:t>
      </w:r>
    </w:p>
    <w:p w14:paraId="1B880CC8">
      <w:pPr>
        <w:widowControl w:val="0"/>
        <w:jc w:val="center"/>
        <w:rPr>
          <w:rFonts w:eastAsia="宋体"/>
          <w:kern w:val="2"/>
          <w:sz w:val="21"/>
          <w:lang w:eastAsia="zh-CN"/>
        </w:rPr>
      </w:pPr>
      <w:bookmarkStart w:id="194" w:name="bt合同的授予"/>
      <w:bookmarkEnd w:id="194"/>
    </w:p>
    <w:p w14:paraId="1452EE91">
      <w:pPr>
        <w:widowControl w:val="0"/>
        <w:jc w:val="center"/>
        <w:rPr>
          <w:rFonts w:eastAsia="宋体"/>
          <w:kern w:val="2"/>
          <w:sz w:val="21"/>
          <w:lang w:val="en" w:eastAsia="en"/>
        </w:rPr>
      </w:pPr>
      <w:r>
        <w:rPr>
          <w:rFonts w:eastAsia="宋体"/>
          <w:kern w:val="2"/>
          <w:sz w:val="21"/>
          <w:lang w:eastAsia="zh-CN"/>
        </w:rPr>
        <w:t>---- END ----</w:t>
      </w:r>
    </w:p>
    <w:sectPr>
      <w:footerReference r:id="rId3" w:type="default"/>
      <w:pgSz w:w="12240" w:h="15840"/>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6691019"/>
    </w:sdtPr>
    <w:sdtContent>
      <w:sdt>
        <w:sdtPr>
          <w:id w:val="-1"/>
        </w:sdtPr>
        <w:sdtContent>
          <w:p w14:paraId="120E4C1F">
            <w:pPr>
              <w:pStyle w:val="1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sdtContent>
      </w:sdt>
    </w:sdtContent>
  </w:sdt>
  <w:p w14:paraId="2F15D38D">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58C2E"/>
    <w:multiLevelType w:val="singleLevel"/>
    <w:tmpl w:val="B9358C2E"/>
    <w:lvl w:ilvl="0" w:tentative="0">
      <w:start w:val="2"/>
      <w:numFmt w:val="decimal"/>
      <w:suff w:val="nothing"/>
      <w:lvlText w:val="%1、"/>
      <w:lvlJc w:val="left"/>
    </w:lvl>
  </w:abstractNum>
  <w:abstractNum w:abstractNumId="1">
    <w:nsid w:val="2CCFBEDA"/>
    <w:multiLevelType w:val="singleLevel"/>
    <w:tmpl w:val="2CCFBEDA"/>
    <w:lvl w:ilvl="0" w:tentative="0">
      <w:start w:val="2"/>
      <w:numFmt w:val="decimal"/>
      <w:suff w:val="nothing"/>
      <w:lvlText w:val="%1、"/>
      <w:lvlJc w:val="left"/>
    </w:lvl>
  </w:abstractNum>
  <w:abstractNum w:abstractNumId="2">
    <w:nsid w:val="4F16C3B7"/>
    <w:multiLevelType w:val="singleLevel"/>
    <w:tmpl w:val="4F16C3B7"/>
    <w:lvl w:ilvl="0" w:tentative="0">
      <w:start w:val="9"/>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B1072"/>
    <w:rsid w:val="003E6C88"/>
    <w:rsid w:val="00415780"/>
    <w:rsid w:val="0070259D"/>
    <w:rsid w:val="00722B73"/>
    <w:rsid w:val="0087037D"/>
    <w:rsid w:val="00A51C44"/>
    <w:rsid w:val="00A60846"/>
    <w:rsid w:val="00A77B3E"/>
    <w:rsid w:val="00C50104"/>
    <w:rsid w:val="00CA2A55"/>
    <w:rsid w:val="04A62A1C"/>
    <w:rsid w:val="083168C6"/>
    <w:rsid w:val="096D58B6"/>
    <w:rsid w:val="097F55EA"/>
    <w:rsid w:val="09A514F4"/>
    <w:rsid w:val="0A7D5FCD"/>
    <w:rsid w:val="0D7B0357"/>
    <w:rsid w:val="115E01DA"/>
    <w:rsid w:val="118C610E"/>
    <w:rsid w:val="16D276A1"/>
    <w:rsid w:val="18842C1C"/>
    <w:rsid w:val="194B43FA"/>
    <w:rsid w:val="1E7E6480"/>
    <w:rsid w:val="1F9545D6"/>
    <w:rsid w:val="21A954A2"/>
    <w:rsid w:val="22A854FA"/>
    <w:rsid w:val="22CE3412"/>
    <w:rsid w:val="2ACA2711"/>
    <w:rsid w:val="2C1C51EE"/>
    <w:rsid w:val="2E1E42FC"/>
    <w:rsid w:val="2F4D56BE"/>
    <w:rsid w:val="33072028"/>
    <w:rsid w:val="33DA14EB"/>
    <w:rsid w:val="34C64FEC"/>
    <w:rsid w:val="367774C5"/>
    <w:rsid w:val="38FB169E"/>
    <w:rsid w:val="3B232F5E"/>
    <w:rsid w:val="3F057D64"/>
    <w:rsid w:val="3FB62E0C"/>
    <w:rsid w:val="404D19C2"/>
    <w:rsid w:val="412D35A2"/>
    <w:rsid w:val="41976A8B"/>
    <w:rsid w:val="47CF2575"/>
    <w:rsid w:val="4A500B92"/>
    <w:rsid w:val="589E4834"/>
    <w:rsid w:val="5ACE5056"/>
    <w:rsid w:val="5CB32755"/>
    <w:rsid w:val="5EE44E48"/>
    <w:rsid w:val="5F506981"/>
    <w:rsid w:val="64BB664B"/>
    <w:rsid w:val="66044022"/>
    <w:rsid w:val="67333B53"/>
    <w:rsid w:val="684921C0"/>
    <w:rsid w:val="685C1EF3"/>
    <w:rsid w:val="68E6423A"/>
    <w:rsid w:val="6BFFD811"/>
    <w:rsid w:val="6CED41EA"/>
    <w:rsid w:val="738549F4"/>
    <w:rsid w:val="771A5453"/>
    <w:rsid w:val="7B537C08"/>
    <w:rsid w:val="7BC77B74"/>
    <w:rsid w:val="7E3A287F"/>
    <w:rsid w:val="F9749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3"/>
    <w:next w:val="1"/>
    <w:link w:val="27"/>
    <w:qFormat/>
    <w:uiPriority w:val="0"/>
    <w:pPr>
      <w:spacing w:before="340" w:after="330" w:line="360" w:lineRule="auto"/>
      <w:jc w:val="center"/>
      <w:outlineLvl w:val="0"/>
    </w:pPr>
    <w:rPr>
      <w:rFonts w:eastAsia="黑体"/>
      <w:bCs/>
      <w:kern w:val="44"/>
      <w:szCs w:val="44"/>
    </w:rPr>
  </w:style>
  <w:style w:type="paragraph" w:styleId="5">
    <w:name w:val="heading 2"/>
    <w:basedOn w:val="1"/>
    <w:next w:val="1"/>
    <w:link w:val="28"/>
    <w:qFormat/>
    <w:uiPriority w:val="0"/>
    <w:pPr>
      <w:adjustRightInd w:val="0"/>
      <w:jc w:val="center"/>
      <w:outlineLvl w:val="1"/>
    </w:pPr>
    <w:rPr>
      <w:bCs/>
      <w:szCs w:val="20"/>
    </w:rPr>
  </w:style>
  <w:style w:type="paragraph" w:styleId="3">
    <w:name w:val="heading 3"/>
    <w:basedOn w:val="4"/>
    <w:next w:val="1"/>
    <w:link w:val="26"/>
    <w:qFormat/>
    <w:uiPriority w:val="0"/>
    <w:pPr>
      <w:spacing w:before="260" w:after="260" w:line="240" w:lineRule="auto"/>
      <w:outlineLvl w:val="2"/>
    </w:pPr>
    <w:rPr>
      <w:rFonts w:ascii="宋体" w:hAnsi="宋体" w:eastAsia="宋体" w:cs="宋体"/>
      <w:bCs w:val="0"/>
      <w:szCs w:val="32"/>
    </w:rPr>
  </w:style>
  <w:style w:type="paragraph" w:styleId="4">
    <w:name w:val="heading 4"/>
    <w:basedOn w:val="1"/>
    <w:next w:val="1"/>
    <w:link w:val="25"/>
    <w:qFormat/>
    <w:uiPriority w:val="0"/>
    <w:pPr>
      <w:keepNext/>
      <w:keepLines/>
      <w:widowControl w:val="0"/>
      <w:spacing w:before="280" w:after="290" w:line="374" w:lineRule="auto"/>
      <w:jc w:val="both"/>
      <w:outlineLvl w:val="3"/>
    </w:pPr>
    <w:rPr>
      <w:rFonts w:ascii="Arial" w:hAnsi="Arial" w:eastAsia="黑体"/>
      <w:b/>
      <w:bCs/>
      <w:kern w:val="2"/>
      <w:sz w:val="28"/>
      <w:szCs w:val="28"/>
      <w:lang w:eastAsia="zh-CN"/>
    </w:rPr>
  </w:style>
  <w:style w:type="character" w:default="1" w:styleId="16">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6">
    <w:name w:val="Normal Indent"/>
    <w:basedOn w:val="1"/>
    <w:link w:val="29"/>
    <w:qFormat/>
    <w:uiPriority w:val="0"/>
    <w:pPr>
      <w:widowControl w:val="0"/>
      <w:ind w:firstLine="420"/>
      <w:jc w:val="both"/>
    </w:pPr>
    <w:rPr>
      <w:rFonts w:asciiTheme="minorHAnsi" w:hAnsiTheme="minorHAnsi" w:eastAsiaTheme="minorEastAsia" w:cstheme="minorBidi"/>
      <w:kern w:val="2"/>
      <w:sz w:val="21"/>
      <w:szCs w:val="22"/>
      <w:lang w:eastAsia="zh-CN"/>
    </w:rPr>
  </w:style>
  <w:style w:type="paragraph" w:styleId="7">
    <w:name w:val="annotation text"/>
    <w:basedOn w:val="1"/>
    <w:qFormat/>
    <w:uiPriority w:val="0"/>
  </w:style>
  <w:style w:type="paragraph" w:styleId="8">
    <w:name w:val="Body Text"/>
    <w:basedOn w:val="1"/>
    <w:next w:val="1"/>
    <w:link w:val="24"/>
    <w:qFormat/>
    <w:uiPriority w:val="0"/>
    <w:pPr>
      <w:widowControl w:val="0"/>
      <w:spacing w:line="360" w:lineRule="auto"/>
      <w:jc w:val="both"/>
    </w:pPr>
    <w:rPr>
      <w:rFonts w:eastAsia="宋体"/>
      <w:b/>
      <w:bCs/>
      <w:kern w:val="2"/>
      <w:lang w:eastAsia="zh-CN"/>
    </w:rPr>
  </w:style>
  <w:style w:type="paragraph" w:styleId="9">
    <w:name w:val="Body Text Indent"/>
    <w:basedOn w:val="1"/>
    <w:link w:val="22"/>
    <w:qFormat/>
    <w:uiPriority w:val="0"/>
    <w:pPr>
      <w:widowControl w:val="0"/>
      <w:spacing w:line="360" w:lineRule="auto"/>
      <w:ind w:firstLine="420" w:firstLineChars="200"/>
      <w:jc w:val="both"/>
    </w:pPr>
    <w:rPr>
      <w:rFonts w:eastAsia="宋体"/>
      <w:kern w:val="2"/>
      <w:sz w:val="21"/>
      <w:lang w:eastAsia="zh-CN"/>
    </w:rPr>
  </w:style>
  <w:style w:type="paragraph" w:styleId="10">
    <w:name w:val="footer"/>
    <w:basedOn w:val="1"/>
    <w:link w:val="20"/>
    <w:qFormat/>
    <w:uiPriority w:val="99"/>
    <w:pPr>
      <w:widowControl w:val="0"/>
      <w:tabs>
        <w:tab w:val="center" w:pos="4153"/>
        <w:tab w:val="right" w:pos="8306"/>
      </w:tabs>
      <w:snapToGrid w:val="0"/>
    </w:pPr>
    <w:rPr>
      <w:rFonts w:eastAsia="宋体"/>
      <w:kern w:val="2"/>
      <w:sz w:val="18"/>
      <w:szCs w:val="18"/>
      <w:lang w:eastAsia="zh-CN"/>
    </w:rPr>
  </w:style>
  <w:style w:type="paragraph" w:styleId="11">
    <w:name w:val="Body Text 2"/>
    <w:basedOn w:val="1"/>
    <w:link w:val="23"/>
    <w:qFormat/>
    <w:uiPriority w:val="0"/>
    <w:pPr>
      <w:widowControl w:val="0"/>
      <w:spacing w:line="360" w:lineRule="auto"/>
      <w:jc w:val="both"/>
    </w:pPr>
    <w:rPr>
      <w:rFonts w:eastAsia="宋体"/>
      <w:kern w:val="2"/>
      <w:lang w:eastAsia="zh-CN"/>
    </w:rPr>
  </w:style>
  <w:style w:type="paragraph" w:styleId="12">
    <w:name w:val="Normal (Web)"/>
    <w:basedOn w:val="1"/>
    <w:qFormat/>
    <w:uiPriority w:val="0"/>
    <w:pPr>
      <w:widowControl w:val="0"/>
      <w:jc w:val="both"/>
    </w:pPr>
    <w:rPr>
      <w:rFonts w:eastAsia="宋体"/>
      <w:kern w:val="2"/>
      <w:lang w:eastAsia="zh-CN"/>
    </w:rPr>
  </w:style>
  <w:style w:type="paragraph" w:styleId="13">
    <w:name w:val="Body Text First Indent 2"/>
    <w:basedOn w:val="9"/>
    <w:qFormat/>
    <w:uiPriority w:val="0"/>
    <w:pPr>
      <w:spacing w:after="120" w:line="240" w:lineRule="auto"/>
      <w:ind w:left="420" w:leftChars="200"/>
    </w:pPr>
  </w:style>
  <w:style w:type="table" w:styleId="15">
    <w:name w:val="Table Grid"/>
    <w:basedOn w:val="14"/>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qFormat/>
    <w:uiPriority w:val="0"/>
    <w:rPr>
      <w:color w:val="0000FF"/>
      <w:u w:val="single"/>
    </w:rPr>
  </w:style>
  <w:style w:type="character" w:styleId="18">
    <w:name w:val="annotation reference"/>
    <w:basedOn w:val="16"/>
    <w:qFormat/>
    <w:uiPriority w:val="99"/>
    <w:rPr>
      <w:sz w:val="21"/>
      <w:szCs w:val="21"/>
    </w:rPr>
  </w:style>
  <w:style w:type="paragraph" w:styleId="19">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20">
    <w:name w:val="页脚 字符"/>
    <w:basedOn w:val="16"/>
    <w:link w:val="10"/>
    <w:qFormat/>
    <w:uiPriority w:val="99"/>
    <w:rPr>
      <w:rFonts w:eastAsia="宋体"/>
      <w:sz w:val="18"/>
      <w:szCs w:val="18"/>
    </w:rPr>
  </w:style>
  <w:style w:type="table" w:customStyle="1" w:styleId="21">
    <w:name w:val="网格型3"/>
    <w:basedOn w:val="14"/>
    <w:qFormat/>
    <w:uiPriority w:val="0"/>
    <w:pPr>
      <w:widowControl w:val="0"/>
      <w:jc w:val="both"/>
    </w:pPr>
    <w:rPr>
      <w:rFonts w:ascii="Calibri" w:hAnsi="Calibri"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正文文本缩进 字符"/>
    <w:basedOn w:val="16"/>
    <w:link w:val="9"/>
    <w:qFormat/>
    <w:uiPriority w:val="0"/>
    <w:rPr>
      <w:rFonts w:eastAsia="宋体"/>
      <w:szCs w:val="24"/>
    </w:rPr>
  </w:style>
  <w:style w:type="character" w:customStyle="1" w:styleId="23">
    <w:name w:val="正文文本 2 字符"/>
    <w:basedOn w:val="16"/>
    <w:link w:val="11"/>
    <w:qFormat/>
    <w:uiPriority w:val="0"/>
    <w:rPr>
      <w:rFonts w:eastAsia="宋体"/>
      <w:sz w:val="24"/>
      <w:szCs w:val="24"/>
    </w:rPr>
  </w:style>
  <w:style w:type="character" w:customStyle="1" w:styleId="24">
    <w:name w:val="正文文本 字符"/>
    <w:basedOn w:val="16"/>
    <w:link w:val="8"/>
    <w:qFormat/>
    <w:uiPriority w:val="0"/>
    <w:rPr>
      <w:rFonts w:eastAsia="宋体"/>
      <w:b/>
      <w:bCs/>
      <w:sz w:val="24"/>
      <w:szCs w:val="24"/>
    </w:rPr>
  </w:style>
  <w:style w:type="character" w:customStyle="1" w:styleId="25">
    <w:name w:val="标题 4 字符"/>
    <w:basedOn w:val="16"/>
    <w:link w:val="4"/>
    <w:qFormat/>
    <w:uiPriority w:val="0"/>
    <w:rPr>
      <w:rFonts w:ascii="Arial" w:hAnsi="Arial" w:eastAsia="黑体"/>
      <w:b/>
      <w:bCs/>
      <w:sz w:val="28"/>
      <w:szCs w:val="28"/>
    </w:rPr>
  </w:style>
  <w:style w:type="character" w:customStyle="1" w:styleId="26">
    <w:name w:val="标题 3 字符"/>
    <w:basedOn w:val="16"/>
    <w:link w:val="3"/>
    <w:qFormat/>
    <w:uiPriority w:val="0"/>
    <w:rPr>
      <w:rFonts w:ascii="宋体" w:hAnsi="宋体" w:eastAsia="宋体" w:cs="宋体"/>
      <w:b/>
      <w:sz w:val="28"/>
      <w:szCs w:val="32"/>
    </w:rPr>
  </w:style>
  <w:style w:type="character" w:customStyle="1" w:styleId="27">
    <w:name w:val="标题 1 字符"/>
    <w:basedOn w:val="16"/>
    <w:link w:val="2"/>
    <w:qFormat/>
    <w:uiPriority w:val="0"/>
    <w:rPr>
      <w:rFonts w:ascii="宋体" w:hAnsi="宋体" w:eastAsia="黑体" w:cs="宋体"/>
      <w:b/>
      <w:bCs/>
      <w:kern w:val="44"/>
      <w:sz w:val="28"/>
      <w:szCs w:val="44"/>
    </w:rPr>
  </w:style>
  <w:style w:type="character" w:customStyle="1" w:styleId="28">
    <w:name w:val="标题 2 字符"/>
    <w:basedOn w:val="16"/>
    <w:link w:val="5"/>
    <w:qFormat/>
    <w:uiPriority w:val="0"/>
    <w:rPr>
      <w:rFonts w:ascii="宋体" w:hAnsi="宋体" w:eastAsia="宋体" w:cs="宋体"/>
      <w:b/>
      <w:bCs/>
      <w:sz w:val="24"/>
    </w:rPr>
  </w:style>
  <w:style w:type="character" w:customStyle="1" w:styleId="29">
    <w:name w:val="正文缩进 字符"/>
    <w:link w:val="6"/>
    <w:qFormat/>
    <w:locked/>
    <w:uiPriority w:val="0"/>
    <w:rPr>
      <w:rFonts w:eastAsia="宋体"/>
    </w:rPr>
  </w:style>
  <w:style w:type="table" w:customStyle="1" w:styleId="30">
    <w:name w:val="网格型2"/>
    <w:basedOn w:val="14"/>
    <w:qFormat/>
    <w:uiPriority w:val="0"/>
    <w:pPr>
      <w:widowControl w:val="0"/>
      <w:jc w:val="both"/>
    </w:pPr>
    <w:rPr>
      <w:rFonts w:ascii="Calibri" w:hAnsi="Calibri"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
    <w:name w:val="网格型11"/>
    <w:basedOn w:val="14"/>
    <w:qFormat/>
    <w:uiPriority w:val="0"/>
    <w:pPr>
      <w:widowControl w:val="0"/>
      <w:jc w:val="both"/>
    </w:pPr>
    <w:rPr>
      <w:rFonts w:ascii="Calibri" w:hAnsi="Calibri"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typo_table"/>
    <w:basedOn w:val="14"/>
    <w:qFormat/>
    <w:uiPriority w:val="0"/>
  </w:style>
  <w:style w:type="paragraph" w:customStyle="1" w:styleId="33">
    <w:name w:val="typo_h1"/>
    <w:basedOn w:val="1"/>
    <w:qFormat/>
    <w:uiPriority w:val="0"/>
    <w:pPr>
      <w:spacing w:line="648" w:lineRule="atLeast"/>
    </w:pPr>
    <w:rPr>
      <w:rFonts w:ascii="微软雅黑" w:hAnsi="微软雅黑" w:eastAsia="微软雅黑" w:cs="微软雅黑"/>
      <w:color w:val="333333"/>
      <w:sz w:val="48"/>
      <w:szCs w:val="48"/>
    </w:rPr>
  </w:style>
  <w:style w:type="character" w:customStyle="1" w:styleId="34">
    <w:name w:val="base"/>
    <w:basedOn w:val="16"/>
    <w:qFormat/>
    <w:uiPriority w:val="0"/>
    <w:rPr>
      <w:rFonts w:ascii="仿宋" w:hAnsi="仿宋" w:eastAsia="仿宋" w:cs="仿宋"/>
      <w:b/>
      <w:bCs/>
      <w:sz w:val="28"/>
      <w:szCs w:val="28"/>
    </w:rPr>
  </w:style>
  <w:style w:type="paragraph" w:customStyle="1" w:styleId="35">
    <w:name w:val="typo_p"/>
    <w:basedOn w:val="1"/>
    <w:qFormat/>
    <w:uiPriority w:val="0"/>
    <w:pPr>
      <w:spacing w:line="432" w:lineRule="atLeast"/>
    </w:pPr>
    <w:rPr>
      <w:rFonts w:ascii="微软雅黑" w:hAnsi="微软雅黑" w:eastAsia="微软雅黑" w:cs="微软雅黑"/>
      <w:color w:val="333333"/>
    </w:rPr>
  </w:style>
  <w:style w:type="character" w:customStyle="1" w:styleId="36">
    <w:name w:val="span"/>
    <w:basedOn w:val="16"/>
    <w:qFormat/>
    <w:uiPriority w:val="0"/>
    <w:rPr>
      <w:rFonts w:ascii="仿宋" w:hAnsi="仿宋" w:eastAsia="仿宋" w:cs="仿宋"/>
    </w:rPr>
  </w:style>
  <w:style w:type="character" w:customStyle="1" w:styleId="37">
    <w:name w:val="underline"/>
    <w:basedOn w:val="16"/>
    <w:qFormat/>
    <w:uiPriority w:val="0"/>
  </w:style>
  <w:style w:type="paragraph" w:customStyle="1" w:styleId="38">
    <w:name w:val="div"/>
    <w:basedOn w:val="1"/>
    <w:qFormat/>
    <w:uiPriority w:val="0"/>
    <w:pPr>
      <w:keepLines/>
      <w:spacing w:line="432" w:lineRule="atLeast"/>
    </w:pPr>
    <w:rPr>
      <w:rFonts w:ascii="微软雅黑" w:hAnsi="微软雅黑" w:eastAsia="微软雅黑" w:cs="微软雅黑"/>
      <w:color w:val="333333"/>
    </w:rPr>
  </w:style>
  <w:style w:type="character" w:customStyle="1" w:styleId="39">
    <w:name w:val="step-methods_step-item_label"/>
    <w:basedOn w:val="16"/>
    <w:qFormat/>
    <w:uiPriority w:val="0"/>
  </w:style>
  <w:style w:type="table" w:customStyle="1" w:styleId="40">
    <w:name w:val="typo_table_0"/>
    <w:basedOn w:val="14"/>
    <w:qFormat/>
    <w:uiPriority w:val="0"/>
  </w:style>
  <w:style w:type="character" w:customStyle="1" w:styleId="41">
    <w:name w:val="要点1"/>
    <w:basedOn w:val="16"/>
    <w:qFormat/>
    <w:uiPriority w:val="0"/>
    <w:rPr>
      <w:b/>
      <w:bCs/>
      <w:color w:val="000000"/>
    </w:rPr>
  </w:style>
  <w:style w:type="character" w:customStyle="1" w:styleId="42">
    <w:name w:val="count"/>
    <w:basedOn w:val="1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6157</Words>
  <Characters>6400</Characters>
  <Lines>206</Lines>
  <Paragraphs>58</Paragraphs>
  <TotalTime>148</TotalTime>
  <ScaleCrop>false</ScaleCrop>
  <LinksUpToDate>false</LinksUpToDate>
  <CharactersWithSpaces>6417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2026-10-12T22:35:00Z</dcterms:created>
  <dc:creator>Administrator</dc:creator>
  <cp:lastModifiedBy>冯海涛</cp:lastModifiedBy>
  <dcterms:modified xsi:type="dcterms:W3CDTF">2026-10-15T09:34:21Z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eyJoZGlkIjoiMDlmZTZkZWZhYWEzYWM3YTJhNGUxYTIyYWQ5MTQwNzIiLCJ1c2VySWQiOiIxNTQ2MDUyMjQwIn0=</vt:lpwstr>
  </property>
  <property fmtid="{D5CDD505-2E9C-101B-9397-08002B2CF9AE}" pid="3" name="KSOProductBuildVer">
    <vt:lpwstr>2052-12.1.0.28505</vt:lpwstr>
  </property>
  <property fmtid="{D5CDD505-2E9C-101B-9397-08002B2CF9AE}" pid="4" name="ICV">
    <vt:lpwstr>A27C6E43EE88429688EE8F4128F3E3FE_13</vt:lpwstr>
  </property>
</Properties>
</file>