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附  录3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商旅文体健多元融合载体项目评分表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Calibri" w:hAnsi="等线" w:eastAsia="宋体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</w:p>
    <w:tbl>
      <w:tblPr>
        <w:tblStyle w:val="3"/>
        <w:tblW w:w="13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1997"/>
        <w:gridCol w:w="1206"/>
        <w:gridCol w:w="1657"/>
        <w:gridCol w:w="3020"/>
        <w:gridCol w:w="1275"/>
        <w:gridCol w:w="2454"/>
        <w:gridCol w:w="1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9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58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评分标准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分值（分）</w:t>
            </w:r>
          </w:p>
        </w:tc>
        <w:tc>
          <w:tcPr>
            <w:tcW w:w="24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佐证材料参考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项目规模与投入</w:t>
            </w:r>
          </w:p>
        </w:tc>
        <w:tc>
          <w:tcPr>
            <w:tcW w:w="199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商业面积</w:t>
            </w:r>
          </w:p>
        </w:tc>
        <w:tc>
          <w:tcPr>
            <w:tcW w:w="58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总面积≥100,000㎡</w:t>
            </w:r>
          </w:p>
        </w:tc>
        <w:tc>
          <w:tcPr>
            <w:tcW w:w="127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45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租赁合同或房产证（需载明面积）等材料</w:t>
            </w:r>
          </w:p>
        </w:tc>
        <w:tc>
          <w:tcPr>
            <w:tcW w:w="100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8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50,000㎡≤总面积&lt;100,000㎡​</w:t>
            </w:r>
          </w:p>
        </w:tc>
        <w:tc>
          <w:tcPr>
            <w:tcW w:w="127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4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8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20,000㎡≤总面积&lt;50,000㎡​</w:t>
            </w:r>
          </w:p>
        </w:tc>
        <w:tc>
          <w:tcPr>
            <w:tcW w:w="127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4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8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总面积&lt;20,000㎡​</w:t>
            </w:r>
          </w:p>
        </w:tc>
        <w:tc>
          <w:tcPr>
            <w:tcW w:w="127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4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商业管理团队就业带动（2025年9月30日以来）</w:t>
            </w:r>
          </w:p>
        </w:tc>
        <w:tc>
          <w:tcPr>
            <w:tcW w:w="58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新增就业人数≥50个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45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社保缴纳记录等材料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8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30个≤新增就业人数&lt;50个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4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8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新增就业人数&lt;30个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4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非传统零售功能情况（文化、旅游、体育、健康等）</w:t>
            </w:r>
          </w:p>
        </w:tc>
        <w:tc>
          <w:tcPr>
            <w:tcW w:w="12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细分业态</w:t>
            </w:r>
          </w:p>
        </w:tc>
        <w:tc>
          <w:tcPr>
            <w:tcW w:w="16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业态面积占总体的百分比</w:t>
            </w:r>
          </w:p>
        </w:tc>
        <w:tc>
          <w:tcPr>
            <w:tcW w:w="3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偏离度判定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分值（分）</w:t>
            </w:r>
          </w:p>
        </w:tc>
        <w:tc>
          <w:tcPr>
            <w:tcW w:w="24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佐证材料参考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0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文化类</w:t>
            </w:r>
          </w:p>
        </w:tc>
        <w:tc>
          <w:tcPr>
            <w:tcW w:w="165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5%</w:t>
            </w:r>
          </w:p>
        </w:tc>
        <w:tc>
          <w:tcPr>
            <w:tcW w:w="3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＜±1%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45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项目业态租赁合同等材料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0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5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±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%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±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%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24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0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5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＞±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%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24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0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旅游类</w:t>
            </w:r>
          </w:p>
        </w:tc>
        <w:tc>
          <w:tcPr>
            <w:tcW w:w="165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5%</w:t>
            </w:r>
          </w:p>
        </w:tc>
        <w:tc>
          <w:tcPr>
            <w:tcW w:w="3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＜±1%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4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0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5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±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%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±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%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24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0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5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＞±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%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24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0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体育类</w:t>
            </w:r>
          </w:p>
        </w:tc>
        <w:tc>
          <w:tcPr>
            <w:tcW w:w="165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5%</w:t>
            </w:r>
          </w:p>
        </w:tc>
        <w:tc>
          <w:tcPr>
            <w:tcW w:w="3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＜±1%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4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0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5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±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%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±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%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24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0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5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＞±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%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24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0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健康类</w:t>
            </w:r>
          </w:p>
        </w:tc>
        <w:tc>
          <w:tcPr>
            <w:tcW w:w="165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5%</w:t>
            </w:r>
          </w:p>
        </w:tc>
        <w:tc>
          <w:tcPr>
            <w:tcW w:w="3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＜±1%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4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0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65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3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±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%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±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%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24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0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65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3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＞±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%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24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预期效益与运营能力</w:t>
            </w:r>
          </w:p>
        </w:tc>
        <w:tc>
          <w:tcPr>
            <w:tcW w:w="199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月均租金坪效（元/㎡/月）</w:t>
            </w:r>
          </w:p>
        </w:tc>
        <w:tc>
          <w:tcPr>
            <w:tcW w:w="58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月均租金坪效</w:t>
            </w:r>
            <w:r>
              <w:rPr>
                <w:rStyle w:val="5"/>
                <w:rFonts w:hAnsi="仿宋_GB2312"/>
                <w:color w:val="000000"/>
                <w:sz w:val="24"/>
                <w:szCs w:val="24"/>
                <w:highlight w:val="none"/>
                <w:lang w:val="en-US" w:eastAsia="zh-CN" w:bidi="ar"/>
              </w:rPr>
              <w:t>＞</w:t>
            </w:r>
            <w:r>
              <w:rPr>
                <w:rStyle w:val="5"/>
                <w:rFonts w:hint="eastAsia" w:hAnsi="仿宋_GB2312"/>
                <w:color w:val="000000"/>
                <w:sz w:val="24"/>
                <w:szCs w:val="24"/>
                <w:highlight w:val="none"/>
                <w:lang w:val="en-US" w:eastAsia="zh-CN" w:bidi="ar"/>
              </w:rPr>
              <w:t>700</w:t>
            </w:r>
            <w:r>
              <w:rPr>
                <w:rStyle w:val="5"/>
                <w:rFonts w:hAnsi="仿宋_GB2312"/>
                <w:color w:val="000000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Style w:val="6"/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 w:bidi="ar"/>
              </w:rPr>
              <w:t>/</w:t>
            </w:r>
            <w:r>
              <w:rPr>
                <w:rStyle w:val="7"/>
                <w:rFonts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 w:bidi="ar"/>
              </w:rPr>
              <w:t>㎡</w:t>
            </w:r>
            <w:r>
              <w:rPr>
                <w:rStyle w:val="6"/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 w:bidi="ar"/>
              </w:rPr>
              <w:t>/</w:t>
            </w:r>
            <w:r>
              <w:rPr>
                <w:rStyle w:val="5"/>
                <w:rFonts w:hAnsi="仿宋_GB2312"/>
                <w:color w:val="000000"/>
                <w:sz w:val="24"/>
                <w:szCs w:val="24"/>
                <w:highlight w:val="none"/>
                <w:lang w:val="en-US" w:eastAsia="zh-CN" w:bidi="ar"/>
              </w:rPr>
              <w:t>月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45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租金及面积相关材料（如租赁合同、租金流水等）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8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600≤月均租金坪效＜700元/㎡/月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4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8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500≤月均租金坪效&lt;600元/㎡/月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4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8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400≤月均租金坪效&lt;500元/㎡/月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4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8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200≤月均租金坪效&lt;400元/㎡/月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4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8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月均租金坪效&lt;200元/㎡/月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4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运营活动计划</w:t>
            </w:r>
          </w:p>
        </w:tc>
        <w:tc>
          <w:tcPr>
            <w:tcW w:w="58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有详尽、系统的年度活动计划，且活动类型多样、频次高（如每月有主题）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4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详细的年度“商旅文体健”主题融合活动计划表，包含活动主题、时间、内容、预期规模等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多元化场景融合能力</w:t>
            </w:r>
          </w:p>
        </w:tc>
        <w:tc>
          <w:tcPr>
            <w:tcW w:w="199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旅游（可多项得分）</w:t>
            </w:r>
          </w:p>
        </w:tc>
        <w:tc>
          <w:tcPr>
            <w:tcW w:w="58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旅游服务设施种类（如导览、寄存、票务、多语种服务等）≥3类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45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空间规划图、现场图片等材料</w:t>
            </w:r>
          </w:p>
        </w:tc>
        <w:tc>
          <w:tcPr>
            <w:tcW w:w="100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8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设置离境退税点或离境退税商铺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4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8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设有旅游商品/手信销售区区域或商店/文创旅游商店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4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文化（可多项得分）</w:t>
            </w:r>
          </w:p>
        </w:tc>
        <w:tc>
          <w:tcPr>
            <w:tcW w:w="58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引入国际顶级文化IP（如迪士尼、环球等）或引入国家级文化IP/非遗项目≥3项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4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IP授权协议或合作协议等材料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8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举办文化活动年均≥15场，或预计年度覆盖的观众、参与者或学员人次≥3000人次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4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文化活动排期表、场地使用记录、现场图片、新闻稿等材料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8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与市级及以上（含国际）博物/美术馆、艺术家、文化机构等有正式合作，并举办过联名活动或设立常设展区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4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合作协议、新闻稿等材料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体育（可多项得分）</w:t>
            </w:r>
          </w:p>
        </w:tc>
        <w:tc>
          <w:tcPr>
            <w:tcW w:w="58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8"/>
                <w:rFonts w:hint="eastAsia" w:hAnsi="仿宋_GB2312"/>
                <w:color w:val="000000"/>
                <w:sz w:val="24"/>
                <w:szCs w:val="24"/>
                <w:highlight w:val="none"/>
                <w:lang w:val="en-US" w:eastAsia="zh-CN" w:bidi="ar"/>
              </w:rPr>
              <w:t>拥有专业级运动场馆或赛事运营能力（如球场、马术中心、室内滑雪场、攀岩馆等）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4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场地功能图、现场图片，及赛事承办合同/政府批文等材料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8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自主举办或承办体育赛事、联赛、趣味挑战赛年均≥15场，或预计可容纳活动人数、参与者或学员人次≥3000人次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4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现场图片、体育活动排期表、项目说明书、承诺函等材料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健康服务</w:t>
            </w:r>
          </w:p>
        </w:tc>
        <w:tc>
          <w:tcPr>
            <w:tcW w:w="58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健康服务业态覆盖“医疗服务（如医美、齿科、体检）+养生保健（如中医、SPA）+健康餐饮”等3类及以上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4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资质文件、合作协议、场地图片、现场图片、商户清单等材料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创新与引领能力</w:t>
            </w: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融合模式创新性</w:t>
            </w:r>
          </w:p>
        </w:tc>
        <w:tc>
          <w:tcPr>
            <w:tcW w:w="58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具有区域首创性或显著标杆意义</w:t>
            </w:r>
            <w:r>
              <w:rPr>
                <w:rStyle w:val="9"/>
                <w:rFonts w:hAnsi="仿宋_GB2312"/>
                <w:color w:val="000000"/>
                <w:sz w:val="24"/>
                <w:szCs w:val="24"/>
                <w:highlight w:val="none"/>
                <w:lang w:val="en-US" w:eastAsia="zh-CN" w:bidi="ar"/>
              </w:rPr>
              <w:t>的融合模式（如“工业遗存+旅游”、“文化艺术+商业综合体”、“体育健康+商业综合体”等）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4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首创性项目需附有官方媒体新闻稿截图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绿色低碳实践</w:t>
            </w:r>
          </w:p>
        </w:tc>
        <w:tc>
          <w:tcPr>
            <w:tcW w:w="58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在节能改造、绿色建筑、废弃物管理等方面有突出实践，获得国家级或省级绿色商场、节能标杆等认证。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4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相关认证材料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注：1、</w:t>
      </w: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文化类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：文化策展、书店、画廊、剧场、影院、艺术展厅、非遗工坊、文创集合、艺术培训、数字娱乐体验</w:t>
      </w: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2、</w:t>
      </w: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旅游类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：旅行社及体验中心、主题酒店、文创旅游商品店</w:t>
      </w: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3、</w:t>
      </w: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体育类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：健身房、瑜伽馆、滑雪冲浪模拟、滑冰场、室内棒球馆、攀岩馆、户外装备、体育用品、击剑馆、骑行装备店、体感游戏、VR运动</w:t>
      </w: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；</w:t>
      </w:r>
    </w:p>
    <w:p>
      <w:pPr>
        <w:ind w:firstLine="480" w:firstLineChars="200"/>
      </w:pP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4、健康</w:t>
      </w: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类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：养生保健机构、健康管理中心、口腔医疗服务机构、医疗美容机构、身心疗愈中心、专业药房。</w:t>
      </w:r>
    </w:p>
    <w:sectPr>
      <w:pgSz w:w="16838" w:h="11906" w:orient="landscape"/>
      <w:pgMar w:top="1474" w:right="1814" w:bottom="1474" w:left="181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F640FD"/>
    <w:rsid w:val="27F640FD"/>
    <w:rsid w:val="540D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basedOn w:val="1"/>
    <w:qFormat/>
    <w:uiPriority w:val="0"/>
    <w:pPr>
      <w:spacing w:before="0" w:beforeAutospacing="0" w:after="0"/>
      <w:ind w:firstLine="200" w:firstLineChars="200"/>
    </w:pPr>
    <w:rPr>
      <w:rFonts w:ascii="宋体" w:hAnsi="宋体" w:eastAsia="仿宋_GB2312" w:cs="Times New Roman"/>
      <w:sz w:val="32"/>
      <w:szCs w:val="32"/>
    </w:rPr>
  </w:style>
  <w:style w:type="character" w:customStyle="1" w:styleId="5">
    <w:name w:val="font71"/>
    <w:qFormat/>
    <w:uiPriority w:val="0"/>
    <w:rPr>
      <w:rFonts w:hint="eastAsia" w:ascii="仿宋_GB2312" w:eastAsia="仿宋_GB2312" w:cs="仿宋_GB2312"/>
      <w:color w:val="333333"/>
      <w:sz w:val="28"/>
      <w:szCs w:val="28"/>
      <w:u w:val="none"/>
    </w:rPr>
  </w:style>
  <w:style w:type="character" w:customStyle="1" w:styleId="6">
    <w:name w:val="font81"/>
    <w:qFormat/>
    <w:uiPriority w:val="0"/>
    <w:rPr>
      <w:rFonts w:hint="default" w:ascii="Times New Roman" w:hAnsi="Times New Roman" w:cs="Times New Roman"/>
      <w:color w:val="333333"/>
      <w:sz w:val="28"/>
      <w:szCs w:val="28"/>
      <w:u w:val="none"/>
    </w:rPr>
  </w:style>
  <w:style w:type="character" w:customStyle="1" w:styleId="7">
    <w:name w:val="font91"/>
    <w:qFormat/>
    <w:uiPriority w:val="0"/>
    <w:rPr>
      <w:rFonts w:hint="eastAsia" w:ascii="宋体" w:hAnsi="宋体" w:eastAsia="宋体" w:cs="宋体"/>
      <w:color w:val="333333"/>
      <w:sz w:val="28"/>
      <w:szCs w:val="28"/>
      <w:u w:val="none"/>
    </w:rPr>
  </w:style>
  <w:style w:type="character" w:customStyle="1" w:styleId="8">
    <w:name w:val="font11"/>
    <w:qFormat/>
    <w:uiPriority w:val="0"/>
    <w:rPr>
      <w:rFonts w:hint="default" w:ascii="仿宋_GB2312" w:eastAsia="仿宋_GB2312" w:cs="仿宋_GB2312"/>
      <w:color w:val="000000"/>
      <w:sz w:val="32"/>
      <w:szCs w:val="32"/>
      <w:u w:val="none"/>
    </w:rPr>
  </w:style>
  <w:style w:type="character" w:customStyle="1" w:styleId="9">
    <w:name w:val="font101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2026-04-30T06:41:00Z</dcterms:created>
  <dc:creator>收文会务（陈楠）</dc:creator>
  <cp:lastModifiedBy>收文会务（陈楠）</cp:lastModifiedBy>
  <dcterms:modified xsi:type="dcterms:W3CDTF">2026-04-30T06:42:06Z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