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黑体"/>
          <w:b/>
          <w:bCs/>
          <w:color w:val="FF0000"/>
          <w:kern w:val="44"/>
          <w:sz w:val="44"/>
          <w:szCs w:val="44"/>
        </w:rPr>
      </w:pPr>
    </w:p>
    <w:p>
      <w:pPr>
        <w:jc w:val="center"/>
        <w:rPr>
          <w:rFonts w:hint="eastAsia" w:ascii="宋体" w:hAnsi="宋体" w:eastAsia="黑体"/>
          <w:b/>
          <w:bCs/>
          <w:color w:val="FF0000"/>
          <w:kern w:val="44"/>
          <w:sz w:val="44"/>
          <w:szCs w:val="44"/>
        </w:rPr>
      </w:pPr>
    </w:p>
    <w:p>
      <w:pPr>
        <w:jc w:val="center"/>
        <w:rPr>
          <w:rFonts w:hint="eastAsia" w:ascii="宋体" w:hAnsi="宋体" w:eastAsia="黑体"/>
          <w:b/>
          <w:bCs/>
          <w:color w:val="FF0000"/>
          <w:kern w:val="44"/>
          <w:sz w:val="44"/>
          <w:szCs w:val="44"/>
        </w:rPr>
      </w:pPr>
      <w:bookmarkStart w:id="0" w:name="OLE_LINK17"/>
    </w:p>
    <w:p>
      <w:pPr>
        <w:jc w:val="center"/>
        <w:rPr>
          <w:rFonts w:hint="eastAsia" w:ascii="宋体" w:hAnsi="宋体" w:eastAsia="黑体"/>
          <w:b/>
          <w:bCs/>
          <w:color w:val="FF0000"/>
          <w:kern w:val="44"/>
          <w:sz w:val="32"/>
          <w:szCs w:val="32"/>
        </w:rPr>
      </w:pPr>
      <w:r>
        <w:rPr>
          <w:rFonts w:hint="eastAsia" w:ascii="宋体" w:hAnsi="宋体" w:eastAsia="黑体"/>
          <w:b/>
          <w:bCs/>
          <w:color w:val="FF0000"/>
          <w:kern w:val="44"/>
          <w:sz w:val="32"/>
          <w:szCs w:val="32"/>
        </w:rPr>
        <w:t>特别警示条款</w:t>
      </w:r>
    </w:p>
    <w:p>
      <w:pPr>
        <w:spacing w:after="240" w:afterLines="100" w:line="400" w:lineRule="exact"/>
        <w:ind w:firstLine="422" w:firstLineChars="200"/>
        <w:rPr>
          <w:rFonts w:hint="eastAsia" w:ascii="宋体" w:hAnsi="宋体" w:cs="宋体"/>
          <w:b/>
          <w:bCs/>
          <w:color w:val="FF0000"/>
          <w:szCs w:val="21"/>
        </w:rPr>
      </w:pPr>
      <w:r>
        <w:rPr>
          <w:rFonts w:hint="eastAsia" w:ascii="宋体" w:hAnsi="宋体" w:cs="宋体"/>
          <w:b/>
          <w:bCs/>
          <w:color w:val="FF0000"/>
          <w:szCs w:val="21"/>
        </w:rPr>
        <w:t>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8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811" w:type="dxa"/>
            <w:vAlign w:val="center"/>
          </w:tcPr>
          <w:p>
            <w:pPr>
              <w:spacing w:line="400" w:lineRule="exact"/>
              <w:jc w:val="center"/>
              <w:rPr>
                <w:rFonts w:hint="eastAsia" w:ascii="宋体" w:hAnsi="宋体" w:cs="宋体"/>
                <w:color w:val="FF0000"/>
                <w:szCs w:val="21"/>
              </w:rPr>
            </w:pPr>
            <w:r>
              <w:rPr>
                <w:rFonts w:hint="eastAsia" w:ascii="宋体" w:hAnsi="宋体" w:cs="宋体"/>
                <w:color w:val="FF0000"/>
                <w:szCs w:val="21"/>
              </w:rPr>
              <w:t>序号</w:t>
            </w:r>
          </w:p>
        </w:tc>
        <w:tc>
          <w:tcPr>
            <w:tcW w:w="7711" w:type="dxa"/>
            <w:vAlign w:val="center"/>
          </w:tcPr>
          <w:p>
            <w:pPr>
              <w:spacing w:line="400" w:lineRule="exact"/>
              <w:jc w:val="center"/>
              <w:rPr>
                <w:rFonts w:hint="eastAsia" w:ascii="宋体" w:hAnsi="宋体" w:cs="宋体"/>
                <w:color w:val="FF0000"/>
                <w:szCs w:val="21"/>
              </w:rPr>
            </w:pPr>
            <w:r>
              <w:rPr>
                <w:rFonts w:hint="eastAsia" w:ascii="宋体" w:hAnsi="宋体" w:cs="宋体"/>
                <w:b/>
                <w:bCs/>
                <w:color w:val="FF0000"/>
                <w:szCs w:val="21"/>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1" w:type="dxa"/>
            <w:vAlign w:val="center"/>
          </w:tcPr>
          <w:p>
            <w:pPr>
              <w:spacing w:line="400" w:lineRule="exact"/>
              <w:jc w:val="center"/>
              <w:rPr>
                <w:rFonts w:hint="eastAsia" w:ascii="宋体" w:hAnsi="宋体" w:cs="宋体"/>
                <w:color w:val="FF0000"/>
                <w:szCs w:val="21"/>
              </w:rPr>
            </w:pPr>
            <w:r>
              <w:rPr>
                <w:rFonts w:hint="eastAsia" w:ascii="宋体" w:hAnsi="宋体" w:cs="宋体"/>
                <w:color w:val="FF0000"/>
                <w:szCs w:val="21"/>
              </w:rPr>
              <w:t>1</w:t>
            </w:r>
          </w:p>
        </w:tc>
        <w:tc>
          <w:tcPr>
            <w:tcW w:w="7711" w:type="dxa"/>
            <w:vAlign w:val="center"/>
          </w:tcPr>
          <w:p>
            <w:pPr>
              <w:spacing w:line="400" w:lineRule="exact"/>
              <w:jc w:val="left"/>
              <w:rPr>
                <w:rFonts w:hint="eastAsia" w:ascii="宋体" w:hAnsi="宋体" w:cs="宋体"/>
                <w:color w:val="FF0000"/>
                <w:szCs w:val="21"/>
              </w:rPr>
            </w:pPr>
            <w:r>
              <w:rPr>
                <w:rFonts w:hint="eastAsia" w:ascii="宋体" w:hAnsi="宋体" w:cs="宋体"/>
                <w:color w:val="FF0000"/>
                <w:szCs w:val="21"/>
              </w:rPr>
              <w:t>与其他投标供应商的法定代表人、主要经营负责人、投标授权代表人、项目负责人、主要技术人员为同一人、属同一单位或者在同一单位缴纳社会保险。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11" w:type="dxa"/>
            <w:vAlign w:val="center"/>
          </w:tcPr>
          <w:p>
            <w:pPr>
              <w:spacing w:line="400" w:lineRule="exact"/>
              <w:jc w:val="center"/>
              <w:rPr>
                <w:rFonts w:hint="eastAsia" w:ascii="宋体" w:hAnsi="宋体" w:cs="宋体"/>
                <w:color w:val="FF0000"/>
                <w:szCs w:val="21"/>
              </w:rPr>
            </w:pPr>
            <w:r>
              <w:rPr>
                <w:rFonts w:hint="eastAsia" w:ascii="宋体" w:hAnsi="宋体" w:cs="宋体"/>
                <w:color w:val="FF0000"/>
                <w:szCs w:val="21"/>
              </w:rPr>
              <w:t>2</w:t>
            </w:r>
          </w:p>
        </w:tc>
        <w:tc>
          <w:tcPr>
            <w:tcW w:w="7711" w:type="dxa"/>
            <w:vAlign w:val="center"/>
          </w:tcPr>
          <w:p>
            <w:pPr>
              <w:spacing w:line="400" w:lineRule="exact"/>
              <w:jc w:val="left"/>
              <w:rPr>
                <w:rFonts w:hint="eastAsia" w:ascii="宋体" w:hAnsi="宋体" w:cs="宋体"/>
                <w:color w:val="FF0000"/>
                <w:szCs w:val="21"/>
              </w:rPr>
            </w:pPr>
            <w:r>
              <w:rPr>
                <w:rFonts w:hint="eastAsia" w:ascii="宋体" w:hAnsi="宋体" w:cs="宋体"/>
                <w:color w:val="FF0000"/>
                <w:szCs w:val="21"/>
              </w:rPr>
              <w:t>参与本项目采购活动时，与其他投标供应商存在单位负责人为同一人或直接控股、管理关系。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1" w:type="dxa"/>
            <w:vAlign w:val="center"/>
          </w:tcPr>
          <w:p>
            <w:pPr>
              <w:spacing w:line="400" w:lineRule="exact"/>
              <w:jc w:val="center"/>
              <w:rPr>
                <w:rFonts w:hint="eastAsia" w:ascii="宋体" w:hAnsi="宋体" w:cs="宋体"/>
                <w:color w:val="FF0000"/>
                <w:szCs w:val="21"/>
              </w:rPr>
            </w:pPr>
            <w:r>
              <w:rPr>
                <w:rFonts w:hint="eastAsia" w:ascii="宋体" w:hAnsi="宋体" w:cs="宋体"/>
                <w:color w:val="FF0000"/>
                <w:szCs w:val="21"/>
              </w:rPr>
              <w:t>3</w:t>
            </w:r>
          </w:p>
        </w:tc>
        <w:tc>
          <w:tcPr>
            <w:tcW w:w="7711" w:type="dxa"/>
            <w:vAlign w:val="center"/>
          </w:tcPr>
          <w:p>
            <w:pPr>
              <w:spacing w:line="400" w:lineRule="exact"/>
              <w:jc w:val="left"/>
              <w:rPr>
                <w:rFonts w:hint="eastAsia" w:ascii="宋体" w:hAnsi="宋体" w:cs="宋体"/>
                <w:color w:val="FF0000"/>
                <w:szCs w:val="21"/>
              </w:rPr>
            </w:pPr>
            <w:r>
              <w:rPr>
                <w:rFonts w:hint="eastAsia" w:ascii="宋体" w:hAnsi="宋体" w:cs="宋体"/>
                <w:color w:val="FF0000"/>
                <w:szCs w:val="21"/>
              </w:rPr>
              <w:t>与其他投标供应商的投标文件或部分投标文件相互混装或存在非正常一致。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5" w:hRule="atLeast"/>
        </w:trPr>
        <w:tc>
          <w:tcPr>
            <w:tcW w:w="811" w:type="dxa"/>
            <w:vAlign w:val="center"/>
          </w:tcPr>
          <w:p>
            <w:pPr>
              <w:spacing w:line="400" w:lineRule="exact"/>
              <w:jc w:val="center"/>
              <w:rPr>
                <w:rFonts w:hint="eastAsia" w:ascii="宋体" w:hAnsi="宋体" w:cs="宋体"/>
                <w:color w:val="FF0000"/>
                <w:szCs w:val="21"/>
              </w:rPr>
            </w:pPr>
            <w:r>
              <w:rPr>
                <w:rFonts w:hint="eastAsia" w:ascii="宋体" w:hAnsi="宋体" w:cs="宋体"/>
                <w:color w:val="FF0000"/>
                <w:szCs w:val="21"/>
              </w:rPr>
              <w:t>4</w:t>
            </w:r>
          </w:p>
        </w:tc>
        <w:tc>
          <w:tcPr>
            <w:tcW w:w="7711" w:type="dxa"/>
            <w:vAlign w:val="center"/>
          </w:tcPr>
          <w:p>
            <w:pPr>
              <w:spacing w:line="400" w:lineRule="exact"/>
              <w:jc w:val="left"/>
              <w:rPr>
                <w:rFonts w:hint="eastAsia" w:ascii="宋体" w:hAnsi="宋体" w:cs="宋体"/>
                <w:color w:val="FF0000"/>
                <w:szCs w:val="21"/>
              </w:rPr>
            </w:pPr>
            <w:r>
              <w:rPr>
                <w:rFonts w:hint="eastAsia" w:ascii="宋体" w:hAnsi="宋体" w:cs="宋体"/>
                <w:color w:val="FF0000"/>
                <w:szCs w:val="21"/>
              </w:rPr>
              <w:t>与其他投标供应商的投标文件由同一单位或者同一人编制，或者使用同一设备编制（“文件制作机器码”“文件创建标识码”一致）。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811" w:type="dxa"/>
            <w:vAlign w:val="center"/>
          </w:tcPr>
          <w:p>
            <w:pPr>
              <w:spacing w:line="400" w:lineRule="exact"/>
              <w:jc w:val="center"/>
              <w:rPr>
                <w:rFonts w:hint="eastAsia" w:ascii="宋体" w:hAnsi="宋体" w:cs="宋体"/>
                <w:color w:val="FF0000"/>
                <w:szCs w:val="21"/>
              </w:rPr>
            </w:pPr>
            <w:r>
              <w:rPr>
                <w:rFonts w:hint="eastAsia" w:ascii="宋体" w:hAnsi="宋体" w:cs="宋体"/>
                <w:color w:val="FF0000"/>
                <w:szCs w:val="21"/>
              </w:rPr>
              <w:t>5</w:t>
            </w:r>
          </w:p>
        </w:tc>
        <w:tc>
          <w:tcPr>
            <w:tcW w:w="7711" w:type="dxa"/>
            <w:vAlign w:val="center"/>
          </w:tcPr>
          <w:p>
            <w:pPr>
              <w:spacing w:line="400" w:lineRule="exact"/>
              <w:jc w:val="left"/>
              <w:rPr>
                <w:rFonts w:hint="eastAsia" w:ascii="宋体" w:hAnsi="宋体" w:cs="宋体"/>
                <w:color w:val="FF0000"/>
                <w:szCs w:val="21"/>
              </w:rPr>
            </w:pPr>
            <w:r>
              <w:rPr>
                <w:rFonts w:hint="eastAsia" w:ascii="宋体" w:hAnsi="宋体" w:cs="宋体"/>
                <w:color w:val="FF0000"/>
                <w:szCs w:val="21"/>
              </w:rPr>
              <w:t>提供未经出具机构核实的虚假的检验检测报告、业绩材料、社保缴纳证明、学历学位证书、职称认证证书等材料。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1" w:type="dxa"/>
            <w:vAlign w:val="center"/>
          </w:tcPr>
          <w:p>
            <w:pPr>
              <w:spacing w:line="400" w:lineRule="exact"/>
              <w:jc w:val="center"/>
              <w:rPr>
                <w:rFonts w:hint="eastAsia" w:ascii="宋体" w:hAnsi="宋体" w:cs="宋体"/>
                <w:color w:val="FF0000"/>
                <w:szCs w:val="21"/>
              </w:rPr>
            </w:pPr>
            <w:r>
              <w:rPr>
                <w:rFonts w:hint="eastAsia" w:ascii="宋体" w:hAnsi="宋体" w:cs="宋体"/>
                <w:color w:val="FF0000"/>
                <w:szCs w:val="21"/>
              </w:rPr>
              <w:t>6</w:t>
            </w:r>
          </w:p>
        </w:tc>
        <w:tc>
          <w:tcPr>
            <w:tcW w:w="7711" w:type="dxa"/>
            <w:vAlign w:val="center"/>
          </w:tcPr>
          <w:p>
            <w:pPr>
              <w:spacing w:line="400" w:lineRule="exact"/>
              <w:jc w:val="left"/>
              <w:rPr>
                <w:rFonts w:hint="eastAsia" w:ascii="宋体" w:hAnsi="宋体" w:cs="宋体"/>
                <w:color w:val="FF0000"/>
                <w:szCs w:val="21"/>
              </w:rPr>
            </w:pPr>
            <w:r>
              <w:rPr>
                <w:rFonts w:hint="eastAsia" w:ascii="宋体" w:hAnsi="宋体" w:cs="宋体"/>
                <w:color w:val="FF0000"/>
                <w:szCs w:val="21"/>
              </w:rPr>
              <w:t>擅自将投标密钥或电子营业执照出借他人使用或未妥善保管。</w:t>
            </w:r>
          </w:p>
        </w:tc>
      </w:tr>
    </w:tbl>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pBdr>
          <w:top w:val="none" w:color="auto" w:sz="0" w:space="1"/>
          <w:left w:val="none" w:color="auto" w:sz="0" w:space="4"/>
          <w:bottom w:val="none" w:color="auto" w:sz="0" w:space="1"/>
          <w:right w:val="none" w:color="auto" w:sz="0" w:space="4"/>
        </w:pBdr>
        <w:ind w:firstLine="400" w:firstLineChars="200"/>
        <w:rPr>
          <w:b/>
          <w:color w:val="FF0000"/>
        </w:rPr>
      </w:pPr>
      <w:r>
        <w:rPr>
          <w:rFonts w:hint="eastAsia"/>
          <w:bCs/>
          <w:color w:val="FF0000"/>
          <w:sz w:val="20"/>
          <w:szCs w:val="20"/>
        </w:rPr>
        <w:t>四、</w:t>
      </w:r>
      <w:r>
        <w:rPr>
          <w:rFonts w:hint="eastAsia"/>
          <w:b/>
          <w:color w:val="FF0000"/>
        </w:rPr>
        <w:t>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pBdr>
          <w:top w:val="none" w:color="auto" w:sz="0" w:space="1"/>
          <w:left w:val="none" w:color="auto" w:sz="0" w:space="4"/>
          <w:bottom w:val="none" w:color="auto" w:sz="0" w:space="1"/>
          <w:right w:val="none" w:color="auto" w:sz="0" w:space="4"/>
        </w:pBdr>
        <w:ind w:firstLine="400" w:firstLineChars="200"/>
        <w:rPr>
          <w:bCs/>
          <w:color w:val="FF0000"/>
          <w:sz w:val="20"/>
          <w:szCs w:val="20"/>
        </w:rPr>
      </w:pPr>
    </w:p>
    <w:p>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五、请投标供应商阅读《政府采购违法行为风险知悉确认书》（内容详见“第二册第一章投标文件格式”），并经各投标供应商负责人签字并加盖单位公章后，扫描上传至投标文件一并提交。</w:t>
      </w:r>
    </w:p>
    <w:p>
      <w:pPr>
        <w:rPr>
          <w:rFonts w:ascii="Calibri" w:hAnsi="Calibri"/>
          <w:szCs w:val="22"/>
        </w:rPr>
      </w:pPr>
    </w:p>
    <w:p>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注：“特别警示条款”和《政府采购违法行为风险知悉确认书》用于对供应商违法行为的提醒，不作为供应商资格性审查及符合性审查条件。</w:t>
      </w:r>
    </w:p>
    <w:p>
      <w:pPr>
        <w:widowControl/>
        <w:jc w:val="left"/>
        <w:rPr>
          <w:rFonts w:hint="eastAsia" w:ascii="黑体" w:hAnsi="黑体" w:eastAsia="黑体"/>
          <w:sz w:val="40"/>
          <w:szCs w:val="40"/>
        </w:rPr>
      </w:pPr>
      <w:r>
        <w:rPr>
          <w:rFonts w:ascii="黑体" w:hAnsi="黑体" w:eastAsia="黑体"/>
          <w:sz w:val="40"/>
          <w:szCs w:val="40"/>
        </w:rPr>
        <w:br w:type="page"/>
      </w:r>
    </w:p>
    <w:bookmarkEnd w:id="0"/>
    <w:p>
      <w:pPr>
        <w:pStyle w:val="29"/>
        <w:jc w:val="center"/>
        <w:outlineLvl w:val="1"/>
        <w:rPr>
          <w:rFonts w:hint="eastAsia" w:ascii="黑体" w:hAnsi="黑体" w:eastAsia="黑体"/>
          <w:sz w:val="40"/>
          <w:szCs w:val="40"/>
        </w:rPr>
      </w:pPr>
      <w:r>
        <w:rPr>
          <w:rFonts w:hint="eastAsia" w:ascii="黑体" w:hAnsi="黑体" w:eastAsia="黑体"/>
          <w:sz w:val="40"/>
          <w:szCs w:val="40"/>
        </w:rPr>
        <w:t>招标文件信息</w:t>
      </w:r>
    </w:p>
    <w:tbl>
      <w:tblPr>
        <w:tblStyle w:val="33"/>
        <w:tblW w:w="7938" w:type="dxa"/>
        <w:jc w:val="center"/>
        <w:tblCellSpacing w:w="0" w:type="dxa"/>
        <w:tblInd w:w="0" w:type="dxa"/>
        <w:tblLayout w:type="fixed"/>
        <w:tblCellMar>
          <w:top w:w="45" w:type="dxa"/>
          <w:left w:w="45" w:type="dxa"/>
          <w:bottom w:w="45" w:type="dxa"/>
          <w:right w:w="45" w:type="dxa"/>
        </w:tblCellMar>
      </w:tblPr>
      <w:tblGrid>
        <w:gridCol w:w="2722"/>
        <w:gridCol w:w="5216"/>
      </w:tblGrid>
      <w:tr>
        <w:tblPrEx>
          <w:tblLayout w:type="fixed"/>
          <w:tblCellMar>
            <w:top w:w="45" w:type="dxa"/>
            <w:left w:w="45" w:type="dxa"/>
            <w:bottom w:w="45" w:type="dxa"/>
            <w:right w:w="45" w:type="dxa"/>
          </w:tblCellMar>
        </w:tblPrEx>
        <w:trPr>
          <w:trHeight w:val="856" w:hRule="atLeast"/>
          <w:tblCellSpacing w:w="0" w:type="dxa"/>
          <w:jc w:val="center"/>
        </w:trPr>
        <w:tc>
          <w:tcPr>
            <w:tcW w:w="2722" w:type="dxa"/>
            <w:vAlign w:val="center"/>
          </w:tcPr>
          <w:p>
            <w:pPr>
              <w:jc w:val="right"/>
              <w:rPr>
                <w:rFonts w:hint="eastAsia" w:ascii="宋体" w:hAnsi="宋体" w:cs="宋体"/>
                <w:sz w:val="30"/>
                <w:szCs w:val="30"/>
              </w:rPr>
            </w:pPr>
            <w:r>
              <w:rPr>
                <w:sz w:val="30"/>
                <w:szCs w:val="30"/>
              </w:rPr>
              <w:t>项目编号：</w:t>
            </w:r>
          </w:p>
        </w:tc>
        <w:tc>
          <w:tcPr>
            <w:tcW w:w="5216" w:type="dxa"/>
            <w:vAlign w:val="center"/>
          </w:tcPr>
          <w:p>
            <w:pPr>
              <w:rPr>
                <w:rFonts w:hint="eastAsia" w:ascii="宋体" w:hAnsi="宋体" w:cs="宋体"/>
                <w:sz w:val="30"/>
                <w:szCs w:val="30"/>
              </w:rPr>
            </w:pPr>
          </w:p>
        </w:tc>
      </w:tr>
      <w:tr>
        <w:tblPrEx>
          <w:tblLayout w:type="fixed"/>
          <w:tblCellMar>
            <w:top w:w="45" w:type="dxa"/>
            <w:left w:w="45" w:type="dxa"/>
            <w:bottom w:w="45" w:type="dxa"/>
            <w:right w:w="45" w:type="dxa"/>
          </w:tblCellMar>
        </w:tblPrEx>
        <w:trPr>
          <w:trHeight w:val="737" w:hRule="atLeast"/>
          <w:tblCellSpacing w:w="0" w:type="dxa"/>
          <w:jc w:val="center"/>
        </w:trPr>
        <w:tc>
          <w:tcPr>
            <w:tcW w:w="2722" w:type="dxa"/>
            <w:vAlign w:val="center"/>
          </w:tcPr>
          <w:p>
            <w:pPr>
              <w:jc w:val="right"/>
              <w:rPr>
                <w:rFonts w:hint="eastAsia" w:ascii="宋体" w:hAnsi="宋体" w:cs="宋体"/>
                <w:sz w:val="30"/>
                <w:szCs w:val="30"/>
              </w:rPr>
            </w:pPr>
            <w:r>
              <w:rPr>
                <w:sz w:val="30"/>
                <w:szCs w:val="30"/>
              </w:rPr>
              <w:t>项目名称：</w:t>
            </w:r>
          </w:p>
        </w:tc>
        <w:tc>
          <w:tcPr>
            <w:tcW w:w="5216" w:type="dxa"/>
            <w:vAlign w:val="center"/>
          </w:tcPr>
          <w:p>
            <w:pPr>
              <w:rPr>
                <w:rFonts w:hint="default" w:ascii="宋体" w:hAnsi="宋体" w:cs="宋体"/>
                <w:sz w:val="30"/>
                <w:szCs w:val="30"/>
                <w:lang w:val="en-US"/>
              </w:rPr>
            </w:pPr>
            <w:r>
              <w:rPr>
                <w:rFonts w:hint="eastAsia" w:ascii="宋体" w:hAnsi="宋体" w:cs="宋体"/>
                <w:sz w:val="30"/>
                <w:szCs w:val="30"/>
                <w:lang w:eastAsia="zh-CN"/>
              </w:rPr>
              <w:t>2026年罗湖区清水河街道辖区开展在建工地安全巡查项目</w:t>
            </w:r>
          </w:p>
        </w:tc>
      </w:tr>
      <w:tr>
        <w:tblPrEx>
          <w:tblLayout w:type="fixed"/>
          <w:tblCellMar>
            <w:top w:w="45" w:type="dxa"/>
            <w:left w:w="45" w:type="dxa"/>
            <w:bottom w:w="45" w:type="dxa"/>
            <w:right w:w="45" w:type="dxa"/>
          </w:tblCellMar>
        </w:tblPrEx>
        <w:trPr>
          <w:trHeight w:val="737" w:hRule="atLeast"/>
          <w:tblCellSpacing w:w="0" w:type="dxa"/>
          <w:jc w:val="center"/>
        </w:trPr>
        <w:tc>
          <w:tcPr>
            <w:tcW w:w="2722" w:type="dxa"/>
            <w:vAlign w:val="center"/>
          </w:tcPr>
          <w:p>
            <w:pPr>
              <w:jc w:val="right"/>
              <w:rPr>
                <w:rFonts w:hint="eastAsia" w:ascii="宋体" w:hAnsi="宋体" w:cs="宋体"/>
                <w:sz w:val="30"/>
                <w:szCs w:val="30"/>
              </w:rPr>
            </w:pPr>
            <w:r>
              <w:rPr>
                <w:sz w:val="30"/>
                <w:szCs w:val="30"/>
              </w:rPr>
              <w:t>项目类型：</w:t>
            </w:r>
          </w:p>
        </w:tc>
        <w:tc>
          <w:tcPr>
            <w:tcW w:w="5216" w:type="dxa"/>
            <w:vAlign w:val="center"/>
          </w:tcPr>
          <w:p>
            <w:pPr>
              <w:rPr>
                <w:rFonts w:hint="eastAsia" w:ascii="宋体" w:hAnsi="宋体" w:cs="宋体"/>
                <w:sz w:val="30"/>
                <w:szCs w:val="30"/>
              </w:rPr>
            </w:pPr>
            <w:r>
              <w:rPr>
                <w:sz w:val="30"/>
                <w:szCs w:val="30"/>
              </w:rPr>
              <w:t>服务类</w:t>
            </w:r>
          </w:p>
        </w:tc>
      </w:tr>
      <w:tr>
        <w:tblPrEx>
          <w:tblLayout w:type="fixed"/>
          <w:tblCellMar>
            <w:top w:w="45" w:type="dxa"/>
            <w:left w:w="45" w:type="dxa"/>
            <w:bottom w:w="45" w:type="dxa"/>
            <w:right w:w="45" w:type="dxa"/>
          </w:tblCellMar>
        </w:tblPrEx>
        <w:trPr>
          <w:trHeight w:val="737" w:hRule="atLeast"/>
          <w:tblCellSpacing w:w="0" w:type="dxa"/>
          <w:jc w:val="center"/>
        </w:trPr>
        <w:tc>
          <w:tcPr>
            <w:tcW w:w="2722" w:type="dxa"/>
            <w:vAlign w:val="center"/>
          </w:tcPr>
          <w:p>
            <w:pPr>
              <w:jc w:val="right"/>
              <w:rPr>
                <w:rFonts w:hint="eastAsia" w:ascii="宋体" w:hAnsi="宋体" w:cs="宋体"/>
                <w:sz w:val="30"/>
                <w:szCs w:val="30"/>
              </w:rPr>
            </w:pPr>
            <w:r>
              <w:rPr>
                <w:sz w:val="30"/>
                <w:szCs w:val="30"/>
              </w:rPr>
              <w:t>采购</w:t>
            </w:r>
            <w:r>
              <w:rPr>
                <w:rFonts w:hint="eastAsia"/>
                <w:sz w:val="30"/>
                <w:szCs w:val="30"/>
              </w:rPr>
              <w:t>类型</w:t>
            </w:r>
            <w:r>
              <w:rPr>
                <w:sz w:val="30"/>
                <w:szCs w:val="30"/>
              </w:rPr>
              <w:t>：</w:t>
            </w:r>
          </w:p>
        </w:tc>
        <w:tc>
          <w:tcPr>
            <w:tcW w:w="5216" w:type="dxa"/>
            <w:vAlign w:val="center"/>
          </w:tcPr>
          <w:p>
            <w:pPr>
              <w:rPr>
                <w:rFonts w:hint="eastAsia" w:ascii="宋体" w:hAnsi="宋体" w:cs="宋体"/>
                <w:sz w:val="30"/>
                <w:szCs w:val="30"/>
              </w:rPr>
            </w:pPr>
            <w:r>
              <w:rPr>
                <w:rFonts w:hint="eastAsia" w:ascii="宋体" w:hAnsi="宋体" w:cs="宋体"/>
                <w:sz w:val="30"/>
                <w:szCs w:val="30"/>
              </w:rPr>
              <w:t>自行采购</w:t>
            </w:r>
          </w:p>
        </w:tc>
      </w:tr>
      <w:tr>
        <w:tblPrEx>
          <w:tblLayout w:type="fixed"/>
          <w:tblCellMar>
            <w:top w:w="45" w:type="dxa"/>
            <w:left w:w="45" w:type="dxa"/>
            <w:bottom w:w="45" w:type="dxa"/>
            <w:right w:w="45" w:type="dxa"/>
          </w:tblCellMar>
        </w:tblPrEx>
        <w:trPr>
          <w:trHeight w:val="737" w:hRule="atLeast"/>
          <w:tblCellSpacing w:w="0" w:type="dxa"/>
          <w:jc w:val="center"/>
        </w:trPr>
        <w:tc>
          <w:tcPr>
            <w:tcW w:w="2722" w:type="dxa"/>
            <w:vAlign w:val="center"/>
          </w:tcPr>
          <w:p>
            <w:pPr>
              <w:jc w:val="right"/>
              <w:rPr>
                <w:sz w:val="30"/>
                <w:szCs w:val="30"/>
              </w:rPr>
            </w:pPr>
            <w:bookmarkStart w:id="1" w:name="OLE_LINK32"/>
            <w:r>
              <w:rPr>
                <w:rFonts w:hint="eastAsia"/>
                <w:sz w:val="30"/>
                <w:szCs w:val="30"/>
              </w:rPr>
              <w:t>采购方式：</w:t>
            </w:r>
            <w:bookmarkEnd w:id="1"/>
          </w:p>
        </w:tc>
        <w:tc>
          <w:tcPr>
            <w:tcW w:w="5216" w:type="dxa"/>
            <w:vAlign w:val="center"/>
          </w:tcPr>
          <w:p>
            <w:pPr>
              <w:rPr>
                <w:rFonts w:hint="eastAsia" w:ascii="宋体" w:hAnsi="宋体" w:cs="宋体"/>
                <w:sz w:val="30"/>
                <w:szCs w:val="30"/>
              </w:rPr>
            </w:pPr>
            <w:r>
              <w:rPr>
                <w:rFonts w:hint="eastAsia" w:ascii="宋体" w:hAnsi="宋体" w:cs="宋体"/>
                <w:sz w:val="30"/>
                <w:szCs w:val="30"/>
              </w:rPr>
              <w:t>公开征集</w:t>
            </w:r>
          </w:p>
        </w:tc>
      </w:tr>
      <w:tr>
        <w:tblPrEx>
          <w:tblLayout w:type="fixed"/>
          <w:tblCellMar>
            <w:top w:w="45" w:type="dxa"/>
            <w:left w:w="45" w:type="dxa"/>
            <w:bottom w:w="45" w:type="dxa"/>
            <w:right w:w="45" w:type="dxa"/>
          </w:tblCellMar>
        </w:tblPrEx>
        <w:trPr>
          <w:trHeight w:val="971" w:hRule="atLeast"/>
          <w:tblCellSpacing w:w="0" w:type="dxa"/>
          <w:jc w:val="center"/>
        </w:trPr>
        <w:tc>
          <w:tcPr>
            <w:tcW w:w="2722" w:type="dxa"/>
            <w:vAlign w:val="center"/>
          </w:tcPr>
          <w:p>
            <w:pPr>
              <w:jc w:val="right"/>
              <w:rPr>
                <w:rFonts w:hint="eastAsia" w:ascii="宋体" w:hAnsi="宋体" w:cs="宋体"/>
                <w:sz w:val="30"/>
                <w:szCs w:val="30"/>
              </w:rPr>
            </w:pPr>
            <w:r>
              <w:rPr>
                <w:sz w:val="30"/>
                <w:szCs w:val="30"/>
              </w:rPr>
              <w:t>货币类型：</w:t>
            </w:r>
          </w:p>
        </w:tc>
        <w:tc>
          <w:tcPr>
            <w:tcW w:w="5216" w:type="dxa"/>
            <w:vAlign w:val="center"/>
          </w:tcPr>
          <w:p>
            <w:pPr>
              <w:rPr>
                <w:rFonts w:hint="eastAsia" w:ascii="宋体" w:hAnsi="宋体" w:cs="宋体"/>
                <w:sz w:val="30"/>
                <w:szCs w:val="30"/>
              </w:rPr>
            </w:pPr>
            <w:r>
              <w:rPr>
                <w:sz w:val="30"/>
                <w:szCs w:val="30"/>
              </w:rPr>
              <w:t>人民币</w:t>
            </w:r>
          </w:p>
        </w:tc>
      </w:tr>
      <w:tr>
        <w:tblPrEx>
          <w:tblLayout w:type="fixed"/>
          <w:tblCellMar>
            <w:top w:w="45" w:type="dxa"/>
            <w:left w:w="45" w:type="dxa"/>
            <w:bottom w:w="45" w:type="dxa"/>
            <w:right w:w="45" w:type="dxa"/>
          </w:tblCellMar>
        </w:tblPrEx>
        <w:trPr>
          <w:trHeight w:val="737" w:hRule="atLeast"/>
          <w:tblCellSpacing w:w="0" w:type="dxa"/>
          <w:jc w:val="center"/>
        </w:trPr>
        <w:tc>
          <w:tcPr>
            <w:tcW w:w="2722" w:type="dxa"/>
            <w:vAlign w:val="center"/>
          </w:tcPr>
          <w:p>
            <w:pPr>
              <w:jc w:val="right"/>
              <w:rPr>
                <w:rFonts w:hint="eastAsia" w:ascii="宋体" w:hAnsi="宋体" w:cs="宋体"/>
                <w:sz w:val="30"/>
                <w:szCs w:val="30"/>
              </w:rPr>
            </w:pPr>
            <w:r>
              <w:rPr>
                <w:sz w:val="30"/>
                <w:szCs w:val="30"/>
              </w:rPr>
              <w:t>评标方法：</w:t>
            </w:r>
          </w:p>
        </w:tc>
        <w:tc>
          <w:tcPr>
            <w:tcW w:w="5216" w:type="dxa"/>
            <w:vAlign w:val="center"/>
          </w:tcPr>
          <w:p>
            <w:pPr>
              <w:rPr>
                <w:rFonts w:hint="eastAsia" w:ascii="宋体" w:hAnsi="宋体" w:cs="宋体"/>
                <w:sz w:val="30"/>
                <w:szCs w:val="30"/>
              </w:rPr>
            </w:pPr>
            <w:r>
              <w:rPr>
                <w:sz w:val="30"/>
                <w:szCs w:val="30"/>
              </w:rPr>
              <w:t>综合评分法</w:t>
            </w:r>
          </w:p>
        </w:tc>
      </w:tr>
    </w:tbl>
    <w:p>
      <w:pPr>
        <w:pStyle w:val="29"/>
        <w:jc w:val="center"/>
        <w:outlineLvl w:val="1"/>
        <w:rPr>
          <w:rFonts w:hint="eastAsia" w:ascii="黑体" w:hAnsi="黑体" w:eastAsia="黑体"/>
          <w:sz w:val="40"/>
          <w:szCs w:val="40"/>
        </w:rPr>
      </w:pPr>
      <w:r>
        <w:rPr>
          <w:rFonts w:hint="eastAsia" w:ascii="黑体" w:hAnsi="黑体" w:eastAsia="黑体"/>
          <w:sz w:val="40"/>
          <w:szCs w:val="40"/>
        </w:rPr>
        <w:t>资格性审查表</w:t>
      </w:r>
    </w:p>
    <w:tbl>
      <w:tblPr>
        <w:tblStyle w:val="33"/>
        <w:tblW w:w="907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r>
              <w:rPr>
                <w:rFonts w:hint="eastAsia"/>
              </w:rPr>
              <w:t>投标供应商不具备招标文件所列的资格要求，或未提交相应的资格证明资料（详见第一册第一章招标公告的投标供应商资格要求）。</w:t>
            </w:r>
          </w:p>
        </w:tc>
      </w:tr>
    </w:tbl>
    <w:p>
      <w:pPr>
        <w:pStyle w:val="29"/>
        <w:spacing w:before="280"/>
        <w:jc w:val="center"/>
        <w:outlineLvl w:val="1"/>
        <w:rPr>
          <w:rFonts w:hint="eastAsia" w:ascii="黑体" w:hAnsi="黑体" w:eastAsia="黑体"/>
          <w:sz w:val="40"/>
          <w:szCs w:val="40"/>
        </w:rPr>
      </w:pPr>
      <w:r>
        <w:rPr>
          <w:rFonts w:hint="eastAsia" w:ascii="黑体" w:hAnsi="黑体" w:eastAsia="黑体"/>
          <w:sz w:val="40"/>
          <w:szCs w:val="40"/>
        </w:rPr>
        <w:t>符合性审查表</w:t>
      </w:r>
    </w:p>
    <w:tbl>
      <w:tblPr>
        <w:tblStyle w:val="33"/>
        <w:tblW w:w="907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hint="eastAsia"/>
              </w:rPr>
              <w:t>不得将一个包的内容拆开投标；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hint="eastAsia"/>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hint="eastAsia"/>
              </w:rPr>
              <w:t>分项报价或投标总价不得高于相应预算金额（或设定的预算金额下的最高限价）；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hint="eastAsia"/>
              </w:rPr>
              <w:t>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hint="eastAsia"/>
              </w:rPr>
              <w:t>采购标的/服务清单/报价等任意一类有缺漏项或响应不全，或者对招标文件规定的项目需求内容或者需求数量进行修改</w:t>
            </w:r>
            <w:r>
              <w:rPr>
                <w:rFonts w:hint="eastAsia"/>
                <w:szCs w:val="21"/>
              </w:rPr>
              <w:t>，评审委员会判定投标响应不满足采购需求</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8</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hint="eastAsia"/>
              </w:rPr>
              <w:t>投标文件存在列放位置错误，导致属于信息公开情形的没有被公开；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9</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hint="eastAsia"/>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10</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hint="eastAsia"/>
              </w:rPr>
              <w:t>投标文件不得用不属于本公司的电子密钥或电子营业执照进行加密的；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hint="eastAsia" w:ascii="宋体" w:hAnsi="宋体" w:cs="宋体"/>
                <w:szCs w:val="21"/>
              </w:rPr>
            </w:pPr>
            <w:r>
              <w:rPr>
                <w:rFonts w:hint="eastAsia"/>
              </w:rPr>
              <w:t>11</w:t>
            </w:r>
          </w:p>
        </w:tc>
        <w:tc>
          <w:tcPr>
            <w:tcW w:w="8278" w:type="dxa"/>
            <w:tcBorders>
              <w:top w:val="single" w:color="000000" w:sz="8" w:space="0"/>
              <w:left w:val="single" w:color="000000" w:sz="8" w:space="0"/>
              <w:bottom w:val="single" w:color="000000" w:sz="8" w:space="0"/>
              <w:right w:val="single" w:color="000000" w:sz="8" w:space="0"/>
            </w:tcBorders>
          </w:tcPr>
          <w:p>
            <w:pPr>
              <w:widowControl/>
              <w:jc w:val="left"/>
              <w:textAlignment w:val="top"/>
            </w:pPr>
            <w:bookmarkStart w:id="2" w:name="OLE_LINK30"/>
            <w:r>
              <w:rPr>
                <w:rFonts w:hint="eastAsia"/>
              </w:rPr>
              <w:t>不得与其他</w:t>
            </w:r>
            <w:bookmarkEnd w:id="2"/>
            <w:r>
              <w:rPr>
                <w:rFonts w:hint="eastAsia"/>
              </w:rPr>
              <w:t>投标供应商投标文件“文件制作机器码”一致；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hint="eastAsia" w:ascii="宋体" w:hAnsi="宋体" w:cs="宋体"/>
                <w:szCs w:val="21"/>
              </w:rPr>
            </w:pPr>
            <w:r>
              <w:rPr>
                <w:rFonts w:hint="eastAsia"/>
              </w:rPr>
              <w:t>12</w:t>
            </w:r>
          </w:p>
        </w:tc>
        <w:tc>
          <w:tcPr>
            <w:tcW w:w="8278" w:type="dxa"/>
            <w:tcBorders>
              <w:top w:val="single" w:color="000000" w:sz="8" w:space="0"/>
              <w:left w:val="single" w:color="000000" w:sz="8" w:space="0"/>
              <w:bottom w:val="single" w:color="000000" w:sz="8" w:space="0"/>
              <w:right w:val="single" w:color="000000" w:sz="8" w:space="0"/>
            </w:tcBorders>
          </w:tcPr>
          <w:p>
            <w:pPr>
              <w:widowControl/>
              <w:jc w:val="left"/>
              <w:textAlignment w:val="top"/>
            </w:pPr>
            <w:r>
              <w:rPr>
                <w:rFonts w:hint="eastAsia"/>
              </w:rPr>
              <w:t>不得与其他投标供应商投标文件“文件创建标识码”一致；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1</w:t>
            </w:r>
            <w:r>
              <w:rPr>
                <w:rFonts w:hint="eastAsia"/>
                <w:szCs w:val="21"/>
              </w:rPr>
              <w:t>3</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hint="eastAsia"/>
              </w:rPr>
              <w:t>法律、法规、规章、规范性文件规定的其他情形。</w:t>
            </w:r>
          </w:p>
        </w:tc>
      </w:tr>
    </w:tbl>
    <w:p>
      <w:pPr>
        <w:pStyle w:val="29"/>
        <w:jc w:val="center"/>
        <w:outlineLvl w:val="1"/>
        <w:rPr>
          <w:rFonts w:hint="eastAsia" w:ascii="黑体" w:hAnsi="黑体" w:eastAsia="黑体"/>
          <w:sz w:val="40"/>
          <w:szCs w:val="40"/>
        </w:rPr>
      </w:pPr>
      <w:r>
        <w:rPr>
          <w:rFonts w:hint="eastAsia" w:ascii="黑体" w:hAnsi="黑体" w:eastAsia="黑体"/>
          <w:sz w:val="40"/>
          <w:szCs w:val="40"/>
        </w:rPr>
        <w:t>评标信息</w:t>
      </w:r>
    </w:p>
    <w:tbl>
      <w:tblPr>
        <w:tblStyle w:val="33"/>
        <w:tblW w:w="9176" w:type="dxa"/>
        <w:jc w:val="center"/>
        <w:tblCellSpacing w:w="0"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63"/>
        <w:gridCol w:w="618"/>
        <w:gridCol w:w="680"/>
        <w:gridCol w:w="2543"/>
        <w:gridCol w:w="724"/>
        <w:gridCol w:w="4308"/>
        <w:gridCol w:w="139"/>
        <w:gridCol w:w="101"/>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Ex>
        <w:trPr>
          <w:gridBefore w:val="1"/>
          <w:gridAfter w:val="2"/>
          <w:wBefore w:w="63" w:type="dxa"/>
          <w:wAfter w:w="240" w:type="dxa"/>
          <w:tblCellSpacing w:w="0" w:type="dxa"/>
          <w:jc w:val="center"/>
        </w:trPr>
        <w:tc>
          <w:tcPr>
            <w:tcW w:w="8873" w:type="dxa"/>
            <w:gridSpan w:val="5"/>
            <w:shd w:val="clear" w:color="auto" w:fill="auto"/>
            <w:vAlign w:val="center"/>
          </w:tcPr>
          <w:p>
            <w:pPr>
              <w:widowControl/>
              <w:jc w:val="left"/>
              <w:rPr>
                <w:b/>
                <w:bCs/>
                <w:sz w:val="24"/>
              </w:rPr>
            </w:pPr>
            <w:r>
              <w:rPr>
                <w:b/>
                <w:bCs/>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Ex>
        <w:trPr>
          <w:gridBefore w:val="1"/>
          <w:wBefore w:w="63" w:type="dxa"/>
          <w:tblCellSpacing w:w="0" w:type="dxa"/>
          <w:jc w:val="center"/>
        </w:trPr>
        <w:tc>
          <w:tcPr>
            <w:tcW w:w="9113" w:type="dxa"/>
            <w:gridSpan w:val="7"/>
            <w:shd w:val="clear" w:color="auto" w:fill="auto"/>
            <w:vAlign w:val="center"/>
          </w:tcPr>
          <w:p>
            <w:pPr>
              <w:spacing w:line="360" w:lineRule="auto"/>
              <w:rPr>
                <w:b/>
                <w:bCs/>
                <w:szCs w:val="21"/>
              </w:rPr>
            </w:pPr>
          </w:p>
          <w:p>
            <w:pPr>
              <w:ind w:firstLine="420"/>
              <w:rPr>
                <w:szCs w:val="21"/>
              </w:rPr>
            </w:pPr>
            <w:r>
              <w:rPr>
                <w:szCs w:val="21"/>
              </w:rPr>
              <w:t>综合评分法，是指投标文件满足招标文件全部实质性要求，且按照评审因素的量化指标评审得分最高的投标人为中标候选人的评标方法。</w:t>
            </w:r>
            <w:r>
              <w:rPr>
                <w:rFonts w:hint="eastAsia"/>
                <w:szCs w:val="21"/>
              </w:rPr>
              <w:t>（适用于中标候选人为1家的情形）</w:t>
            </w:r>
          </w:p>
          <w:p>
            <w:pPr>
              <w:ind w:firstLine="420"/>
              <w:rPr>
                <w:szCs w:val="21"/>
              </w:rPr>
            </w:pPr>
          </w:p>
          <w:p>
            <w:pPr>
              <w:ind w:firstLine="420"/>
              <w:rPr>
                <w:szCs w:val="21"/>
              </w:rPr>
            </w:pPr>
            <w:r>
              <w:rPr>
                <w:szCs w:val="21"/>
              </w:rPr>
              <w:t>价格分计算方法：</w:t>
            </w:r>
          </w:p>
          <w:p>
            <w:pPr>
              <w:widowControl/>
              <w:ind w:left="420"/>
              <w:jc w:val="left"/>
              <w:rPr>
                <w:szCs w:val="21"/>
              </w:rPr>
            </w:pPr>
            <w:r>
              <w:rPr>
                <w:szCs w:val="21"/>
              </w:rPr>
              <w:t xml:space="preserve">采用低价优先法计算，即满足招标文件要求且投标价格最低的投标报价为评标基准价，其价格分为满分。其他投标人的价格分统一按照下列公式计算： </w:t>
            </w:r>
          </w:p>
          <w:p>
            <w:pPr>
              <w:widowControl/>
              <w:ind w:left="420"/>
              <w:jc w:val="left"/>
              <w:rPr>
                <w:szCs w:val="21"/>
              </w:rPr>
            </w:pPr>
            <w:r>
              <w:rPr>
                <w:szCs w:val="21"/>
              </w:rPr>
              <w:t xml:space="preserve">投标报价得分=(评标基准价／投标报价)×100 </w:t>
            </w:r>
          </w:p>
          <w:p>
            <w:pPr>
              <w:widowControl/>
              <w:ind w:left="420"/>
              <w:jc w:val="left"/>
              <w:rPr>
                <w:szCs w:val="21"/>
              </w:rPr>
            </w:pPr>
            <w:r>
              <w:rPr>
                <w:szCs w:val="21"/>
              </w:rPr>
              <w:t xml:space="preserve">评标总得分＝F1×A1＋F2×A2＋……＋Fn×An </w:t>
            </w:r>
          </w:p>
          <w:p>
            <w:pPr>
              <w:widowControl/>
              <w:ind w:left="420"/>
              <w:jc w:val="left"/>
              <w:rPr>
                <w:szCs w:val="21"/>
              </w:rPr>
            </w:pPr>
            <w:r>
              <w:rPr>
                <w:szCs w:val="21"/>
              </w:rPr>
              <w:t xml:space="preserve">F1、F2……Fn分别为各项评审因素的得分； </w:t>
            </w:r>
          </w:p>
          <w:p>
            <w:pPr>
              <w:widowControl/>
              <w:ind w:left="420"/>
              <w:jc w:val="left"/>
              <w:rPr>
                <w:szCs w:val="21"/>
              </w:rPr>
            </w:pPr>
            <w:r>
              <w:rPr>
                <w:szCs w:val="21"/>
              </w:rPr>
              <w:t xml:space="preserve">A1、A2、……An 分别为各项评审因素所占的权重(A1＋A2＋……＋An＝1)。 </w:t>
            </w:r>
          </w:p>
          <w:p>
            <w:pPr>
              <w:widowControl/>
              <w:ind w:left="420"/>
              <w:jc w:val="left"/>
              <w:rPr>
                <w:szCs w:val="21"/>
              </w:rPr>
            </w:pPr>
            <w:r>
              <w:rPr>
                <w:szCs w:val="21"/>
              </w:rPr>
              <w:t>评标过程中，不得去掉报价中的最高报价和最低报价。</w:t>
            </w:r>
          </w:p>
          <w:p>
            <w:pPr>
              <w:widowControl/>
              <w:ind w:left="420"/>
              <w:jc w:val="left"/>
              <w:rPr>
                <w:szCs w:val="21"/>
              </w:rPr>
            </w:pPr>
            <w:r>
              <w:rPr>
                <w:rFonts w:hint="eastAsia"/>
                <w:szCs w:val="21"/>
              </w:rPr>
              <w:t>因落实政府采购政策进行价格调整的，以调整后的价格计算评标基准价和投标报价。</w:t>
            </w:r>
          </w:p>
          <w:p>
            <w:pPr>
              <w:widowControl/>
              <w:ind w:left="420"/>
              <w:jc w:val="left"/>
              <w:rPr>
                <w:b/>
                <w:szCs w:val="21"/>
              </w:rPr>
            </w:pPr>
            <w:r>
              <w:rPr>
                <w:b/>
                <w:szCs w:val="21"/>
              </w:rPr>
              <w:t>评标总得分</w:t>
            </w:r>
            <w:r>
              <w:rPr>
                <w:rFonts w:hint="eastAsia"/>
                <w:b/>
                <w:szCs w:val="21"/>
              </w:rPr>
              <w:t>（100分）</w:t>
            </w:r>
            <w:r>
              <w:rPr>
                <w:b/>
                <w:szCs w:val="21"/>
              </w:rPr>
              <w:t>＝价格分＋</w:t>
            </w:r>
            <w:r>
              <w:rPr>
                <w:rFonts w:hint="eastAsia"/>
                <w:b/>
                <w:szCs w:val="21"/>
              </w:rPr>
              <w:t>技术分</w:t>
            </w:r>
            <w:r>
              <w:rPr>
                <w:b/>
                <w:szCs w:val="21"/>
              </w:rPr>
              <w:t>＋</w:t>
            </w:r>
            <w:r>
              <w:rPr>
                <w:rFonts w:hint="eastAsia"/>
                <w:b/>
                <w:szCs w:val="21"/>
              </w:rPr>
              <w:t>综合</w:t>
            </w:r>
            <w:r>
              <w:rPr>
                <w:b/>
                <w:szCs w:val="21"/>
              </w:rPr>
              <w:t>实力分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gridAfter w:val="1"/>
          <w:wAfter w:w="101" w:type="dxa"/>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pPr>
              <w:wordWrap w:val="0"/>
              <w:jc w:val="center"/>
              <w:rPr>
                <w:rFonts w:ascii="宋体" w:hAnsi="宋体" w:cs="宋体"/>
                <w:b/>
                <w:bCs/>
                <w:sz w:val="24"/>
              </w:rPr>
            </w:pPr>
            <w:r>
              <w:rPr>
                <w:rFonts w:hint="eastAsia"/>
                <w:b/>
                <w:bCs/>
              </w:rPr>
              <w:t>序号</w:t>
            </w:r>
          </w:p>
        </w:tc>
        <w:tc>
          <w:tcPr>
            <w:tcW w:w="3947" w:type="dxa"/>
            <w:gridSpan w:val="3"/>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pPr>
              <w:wordWrap w:val="0"/>
              <w:jc w:val="center"/>
              <w:rPr>
                <w:rFonts w:ascii="宋体" w:hAnsi="宋体" w:cs="宋体"/>
                <w:b/>
                <w:bCs/>
                <w:sz w:val="24"/>
              </w:rPr>
            </w:pPr>
            <w:r>
              <w:rPr>
                <w:rFonts w:hint="eastAsia"/>
                <w:b/>
                <w:bCs/>
              </w:rPr>
              <w:t>评分项</w:t>
            </w:r>
          </w:p>
        </w:tc>
        <w:tc>
          <w:tcPr>
            <w:tcW w:w="4447" w:type="dxa"/>
            <w:gridSpan w:val="2"/>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pPr>
              <w:wordWrap w:val="0"/>
              <w:jc w:val="center"/>
              <w:rPr>
                <w:rFonts w:ascii="宋体" w:hAnsi="宋体" w:cs="宋体"/>
                <w:b/>
                <w:bCs/>
                <w:sz w:val="24"/>
              </w:rPr>
            </w:pPr>
            <w:r>
              <w:rPr>
                <w:rFonts w:hint="eastAsia"/>
                <w:b/>
                <w:bCs/>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gridAfter w:val="1"/>
          <w:wAfter w:w="101" w:type="dxa"/>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1</w:t>
            </w:r>
          </w:p>
        </w:tc>
        <w:tc>
          <w:tcPr>
            <w:tcW w:w="3947"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rFonts w:hint="eastAsia"/>
                <w:b/>
                <w:bCs/>
                <w:color w:val="0000FF"/>
              </w:rPr>
              <w:t>价格</w:t>
            </w:r>
          </w:p>
        </w:tc>
        <w:tc>
          <w:tcPr>
            <w:tcW w:w="4447" w:type="dxa"/>
            <w:gridSpan w:val="2"/>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rFonts w:hint="eastAsia"/>
                <w:b/>
                <w:bCs/>
                <w:color w:val="0000FF"/>
              </w:rPr>
              <w:t>1</w:t>
            </w:r>
            <w:r>
              <w:rPr>
                <w:b/>
                <w:bCs/>
                <w:color w:val="0000FF"/>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gridAfter w:val="1"/>
          <w:wAfter w:w="101"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2</w:t>
            </w:r>
          </w:p>
        </w:tc>
        <w:tc>
          <w:tcPr>
            <w:tcW w:w="3947" w:type="dxa"/>
            <w:gridSpan w:val="3"/>
            <w:tcBorders>
              <w:top w:val="single" w:color="000000" w:sz="8" w:space="0"/>
              <w:left w:val="single" w:color="000000" w:sz="8" w:space="0"/>
              <w:bottom w:val="single" w:color="000000" w:sz="8" w:space="0"/>
              <w:right w:val="single" w:color="000000" w:sz="8" w:space="0"/>
            </w:tcBorders>
          </w:tcPr>
          <w:p>
            <w:pPr>
              <w:wordWrap w:val="0"/>
              <w:jc w:val="center"/>
              <w:rPr>
                <w:b/>
                <w:bCs/>
                <w:color w:val="0000FF"/>
              </w:rPr>
            </w:pPr>
            <w:r>
              <w:rPr>
                <w:rFonts w:hint="eastAsia"/>
                <w:b/>
                <w:bCs/>
                <w:color w:val="0000FF"/>
              </w:rPr>
              <w:t>技术服务部分</w:t>
            </w:r>
          </w:p>
        </w:tc>
        <w:tc>
          <w:tcPr>
            <w:tcW w:w="4447" w:type="dxa"/>
            <w:gridSpan w:val="2"/>
            <w:tcBorders>
              <w:top w:val="single" w:color="000000" w:sz="8" w:space="0"/>
              <w:left w:val="single" w:color="000000" w:sz="8" w:space="0"/>
              <w:bottom w:val="single" w:color="000000" w:sz="8" w:space="0"/>
              <w:right w:val="single" w:color="000000" w:sz="8" w:space="0"/>
            </w:tcBorders>
          </w:tcPr>
          <w:p>
            <w:pPr>
              <w:widowControl/>
              <w:jc w:val="center"/>
              <w:rPr>
                <w:b/>
                <w:bCs/>
                <w:color w:val="0000FF"/>
              </w:rPr>
            </w:pPr>
            <w:r>
              <w:rPr>
                <w:rFonts w:hint="eastAsia"/>
                <w:b/>
                <w:bCs/>
                <w:color w:val="0000FF"/>
              </w:rPr>
              <w:t>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gridAfter w:val="1"/>
          <w:wAfter w:w="101"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pPr>
              <w:wordWrap w:val="0"/>
              <w:jc w:val="center"/>
              <w:rPr>
                <w:rFonts w:ascii="宋体" w:hAnsi="宋体" w:cs="宋体"/>
                <w:szCs w:val="21"/>
              </w:rPr>
            </w:pPr>
            <w:r>
              <w:rPr>
                <w:rFonts w:hint="eastAsia"/>
                <w:szCs w:val="21"/>
              </w:rPr>
              <w:t>序号</w:t>
            </w:r>
          </w:p>
        </w:tc>
        <w:tc>
          <w:tcPr>
            <w:tcW w:w="2543"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pPr>
              <w:wordWrap w:val="0"/>
              <w:jc w:val="center"/>
              <w:rPr>
                <w:rFonts w:ascii="宋体" w:hAnsi="宋体" w:cs="宋体"/>
                <w:szCs w:val="21"/>
              </w:rPr>
            </w:pPr>
            <w:r>
              <w:rPr>
                <w:rFonts w:hint="eastAsia"/>
                <w:szCs w:val="21"/>
              </w:rPr>
              <w:t>评分因素</w:t>
            </w:r>
          </w:p>
        </w:tc>
        <w:tc>
          <w:tcPr>
            <w:tcW w:w="724"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pPr>
              <w:wordWrap w:val="0"/>
              <w:jc w:val="center"/>
              <w:rPr>
                <w:rFonts w:ascii="宋体" w:hAnsi="宋体" w:cs="宋体"/>
                <w:szCs w:val="21"/>
              </w:rPr>
            </w:pPr>
            <w:r>
              <w:rPr>
                <w:rFonts w:hint="eastAsia"/>
                <w:szCs w:val="21"/>
              </w:rPr>
              <w:t>权重</w:t>
            </w:r>
          </w:p>
        </w:tc>
        <w:tc>
          <w:tcPr>
            <w:tcW w:w="4447" w:type="dxa"/>
            <w:gridSpan w:val="2"/>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pPr>
              <w:wordWrap w:val="0"/>
              <w:jc w:val="center"/>
              <w:rPr>
                <w:rFonts w:ascii="宋体" w:hAnsi="宋体" w:cs="宋体"/>
                <w:szCs w:val="21"/>
              </w:rPr>
            </w:pPr>
            <w:r>
              <w:rPr>
                <w:rFonts w:hint="eastAsia"/>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gridAfter w:val="1"/>
          <w:wAfter w:w="101"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szCs w:val="21"/>
              </w:rPr>
              <w:t>1</w:t>
            </w:r>
          </w:p>
        </w:tc>
        <w:tc>
          <w:tcPr>
            <w:tcW w:w="2543" w:type="dxa"/>
            <w:tcBorders>
              <w:top w:val="single" w:color="000000" w:sz="8" w:space="0"/>
              <w:left w:val="single" w:color="000000" w:sz="8" w:space="0"/>
              <w:bottom w:val="single" w:color="000000" w:sz="8" w:space="0"/>
              <w:right w:val="single" w:color="000000" w:sz="8" w:space="0"/>
            </w:tcBorders>
            <w:vAlign w:val="center"/>
          </w:tcPr>
          <w:p>
            <w:pPr>
              <w:widowControl/>
              <w:spacing w:line="440" w:lineRule="exact"/>
              <w:jc w:val="center"/>
              <w:textAlignment w:val="center"/>
              <w:rPr>
                <w:szCs w:val="21"/>
              </w:rPr>
            </w:pPr>
            <w:r>
              <w:rPr>
                <w:rFonts w:hint="eastAsia"/>
                <w:szCs w:val="21"/>
              </w:rPr>
              <w:t>项目实施方案</w:t>
            </w:r>
          </w:p>
        </w:tc>
        <w:tc>
          <w:tcPr>
            <w:tcW w:w="724" w:type="dxa"/>
            <w:tcBorders>
              <w:top w:val="single" w:color="000000" w:sz="8" w:space="0"/>
              <w:left w:val="single" w:color="000000" w:sz="8" w:space="0"/>
              <w:bottom w:val="single" w:color="000000" w:sz="8" w:space="0"/>
              <w:right w:val="single" w:color="000000" w:sz="8" w:space="0"/>
            </w:tcBorders>
            <w:vAlign w:val="center"/>
          </w:tcPr>
          <w:p>
            <w:pPr>
              <w:widowControl/>
              <w:spacing w:line="440" w:lineRule="exact"/>
              <w:jc w:val="center"/>
              <w:textAlignment w:val="center"/>
              <w:rPr>
                <w:szCs w:val="21"/>
              </w:rPr>
            </w:pPr>
            <w:r>
              <w:rPr>
                <w:szCs w:val="21"/>
              </w:rPr>
              <w:t>1</w:t>
            </w:r>
            <w:r>
              <w:rPr>
                <w:rFonts w:hint="eastAsia"/>
                <w:szCs w:val="21"/>
              </w:rPr>
              <w:t>5</w:t>
            </w:r>
          </w:p>
        </w:tc>
        <w:tc>
          <w:tcPr>
            <w:tcW w:w="4447" w:type="dxa"/>
            <w:gridSpan w:val="2"/>
            <w:tcBorders>
              <w:top w:val="single" w:color="000000" w:sz="8" w:space="0"/>
              <w:left w:val="single" w:color="000000" w:sz="8" w:space="0"/>
              <w:bottom w:val="single" w:color="000000" w:sz="8" w:space="0"/>
              <w:right w:val="single" w:color="000000" w:sz="8" w:space="0"/>
            </w:tcBorders>
            <w:vAlign w:val="center"/>
          </w:tcPr>
          <w:p>
            <w:pPr>
              <w:pStyle w:val="32"/>
              <w:ind w:left="0" w:leftChars="0" w:firstLine="0" w:firstLineChars="0"/>
              <w:rPr>
                <w:szCs w:val="21"/>
              </w:rPr>
            </w:pPr>
            <w:r>
              <w:rPr>
                <w:rFonts w:hint="eastAsia"/>
                <w:szCs w:val="21"/>
              </w:rPr>
              <w:t>（一）评分内容：</w:t>
            </w:r>
          </w:p>
          <w:p>
            <w:pPr>
              <w:pStyle w:val="32"/>
              <w:ind w:left="0" w:leftChars="0" w:firstLine="0" w:firstLineChars="0"/>
              <w:rPr>
                <w:szCs w:val="21"/>
              </w:rPr>
            </w:pPr>
            <w:r>
              <w:rPr>
                <w:rFonts w:hint="eastAsia"/>
                <w:szCs w:val="21"/>
              </w:rPr>
              <w:t>投标人须针对本项目需求提供实施方案，包括下述内容：</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1.项目实施方案；</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2.项目管理制度；</w:t>
            </w:r>
          </w:p>
          <w:p>
            <w:pPr>
              <w:pStyle w:val="32"/>
              <w:ind w:left="0" w:leftChars="0" w:firstLine="0" w:firstLineChars="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3.项目进度计划。</w:t>
            </w:r>
          </w:p>
          <w:p>
            <w:pPr>
              <w:pStyle w:val="32"/>
              <w:ind w:left="0" w:leftChars="0" w:firstLine="0" w:firstLineChars="0"/>
              <w:rPr>
                <w:szCs w:val="21"/>
              </w:rPr>
            </w:pPr>
            <w:r>
              <w:rPr>
                <w:rFonts w:hint="eastAsia"/>
                <w:szCs w:val="21"/>
              </w:rPr>
              <w:t>满足以上3项内容得8分，满足以上2项内容得5分，满足以上1项内容得3分，其他不得分。</w:t>
            </w:r>
          </w:p>
          <w:p>
            <w:pPr>
              <w:pStyle w:val="32"/>
              <w:ind w:left="0" w:leftChars="0" w:firstLine="0" w:firstLineChars="0"/>
              <w:rPr>
                <w:szCs w:val="21"/>
              </w:rPr>
            </w:pPr>
            <w:r>
              <w:rPr>
                <w:rFonts w:hint="eastAsia"/>
                <w:szCs w:val="21"/>
              </w:rPr>
              <w:t>（二）在此基础上，评委根据投标人响应情况进一步评分：</w:t>
            </w:r>
          </w:p>
          <w:p>
            <w:pPr>
              <w:pStyle w:val="32"/>
              <w:ind w:left="0" w:leftChars="0" w:firstLine="0" w:firstLineChars="0"/>
              <w:rPr>
                <w:szCs w:val="21"/>
              </w:rPr>
            </w:pPr>
            <w:r>
              <w:rPr>
                <w:rFonts w:hint="eastAsia"/>
                <w:szCs w:val="21"/>
              </w:rPr>
              <w:t>优：方案符合实际、完整、规范、思路清晰，内容合理性强，评审为优的加7分；</w:t>
            </w:r>
          </w:p>
          <w:p>
            <w:pPr>
              <w:pStyle w:val="32"/>
              <w:ind w:left="0" w:leftChars="0" w:firstLine="0" w:firstLineChars="0"/>
              <w:rPr>
                <w:szCs w:val="21"/>
              </w:rPr>
            </w:pPr>
            <w:r>
              <w:rPr>
                <w:rFonts w:hint="eastAsia"/>
                <w:szCs w:val="21"/>
              </w:rPr>
              <w:t>良：方案较符合实际、较完整规范、思路较清晰，内容合理性较强，评审为良的加5分；</w:t>
            </w:r>
          </w:p>
          <w:p>
            <w:pPr>
              <w:pStyle w:val="32"/>
              <w:ind w:left="0" w:leftChars="0" w:firstLine="0" w:firstLineChars="0"/>
              <w:rPr>
                <w:szCs w:val="21"/>
              </w:rPr>
            </w:pPr>
            <w:r>
              <w:rPr>
                <w:rFonts w:hint="eastAsia"/>
                <w:szCs w:val="21"/>
              </w:rPr>
              <w:t>中：方案较普通、完整性规范性一般，思路不够清晰，内容合理性一般，评审为中的加3分；</w:t>
            </w:r>
          </w:p>
          <w:p>
            <w:pPr>
              <w:pStyle w:val="32"/>
              <w:ind w:left="0" w:leftChars="0" w:firstLine="0" w:firstLineChars="0"/>
              <w:rPr>
                <w:szCs w:val="21"/>
              </w:rPr>
            </w:pPr>
            <w:r>
              <w:rPr>
                <w:rFonts w:hint="eastAsia"/>
                <w:szCs w:val="21"/>
              </w:rPr>
              <w:t>差：方案较普通、完整性规范性一般，思路不够清晰，内容合理性</w:t>
            </w:r>
            <w:r>
              <w:rPr>
                <w:rFonts w:hint="eastAsia"/>
                <w:szCs w:val="21"/>
                <w:lang w:eastAsia="zh-CN"/>
              </w:rPr>
              <w:t>差</w:t>
            </w:r>
            <w:r>
              <w:rPr>
                <w:rFonts w:hint="eastAsia"/>
                <w:szCs w:val="21"/>
              </w:rPr>
              <w:t>，</w:t>
            </w:r>
            <w:r>
              <w:rPr>
                <w:rFonts w:hint="eastAsia"/>
                <w:szCs w:val="21"/>
                <w:lang w:eastAsia="zh-CN"/>
              </w:rPr>
              <w:t>评审为差</w:t>
            </w:r>
            <w:r>
              <w:rPr>
                <w:rFonts w:hint="eastAsia"/>
                <w:szCs w:val="21"/>
              </w:rPr>
              <w:t>得0分；</w:t>
            </w:r>
          </w:p>
          <w:p>
            <w:pPr>
              <w:pStyle w:val="32"/>
              <w:ind w:left="0" w:leftChars="0" w:firstLine="0" w:firstLineChars="0"/>
              <w:rPr>
                <w:szCs w:val="21"/>
              </w:rPr>
            </w:pPr>
            <w:r>
              <w:rPr>
                <w:rFonts w:hint="eastAsia"/>
                <w:szCs w:val="21"/>
              </w:rPr>
              <w:t>评审为差，评审评委须书面说明理由，并记录在档。未提供方案的不得分。</w:t>
            </w:r>
          </w:p>
          <w:p>
            <w:pPr>
              <w:pStyle w:val="32"/>
              <w:ind w:left="0" w:leftChars="0" w:firstLine="0" w:firstLineChars="0"/>
              <w:rPr>
                <w:szCs w:val="21"/>
              </w:rPr>
            </w:pPr>
            <w:r>
              <w:rPr>
                <w:rFonts w:hint="eastAsia"/>
                <w:szCs w:val="21"/>
              </w:rPr>
              <w:t>备注：以上项目合计最高得15分，出现未按要求提供（含未提供）上述资料或评委无法凭所提供资料判断是否得分的情况，一律作不得分处理。证明文件须加盖公章，否则该项不得分。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gridAfter w:val="1"/>
          <w:wAfter w:w="101"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hint="eastAsia" w:eastAsia="宋体"/>
                <w:szCs w:val="21"/>
                <w:lang w:val="en-US" w:eastAsia="zh-CN"/>
              </w:rPr>
            </w:pPr>
            <w:r>
              <w:rPr>
                <w:rFonts w:hint="eastAsia"/>
                <w:szCs w:val="21"/>
                <w:lang w:val="en-US" w:eastAsia="zh-CN"/>
              </w:rPr>
              <w:t>2</w:t>
            </w:r>
          </w:p>
        </w:tc>
        <w:tc>
          <w:tcPr>
            <w:tcW w:w="2543"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center"/>
              <w:textAlignment w:val="center"/>
              <w:rPr>
                <w:szCs w:val="21"/>
              </w:rPr>
            </w:pPr>
            <w:r>
              <w:rPr>
                <w:rFonts w:hint="eastAsia" w:ascii="Times New Roman" w:hAnsi="Times New Roman" w:eastAsia="宋体" w:cs="Times New Roman"/>
                <w:szCs w:val="21"/>
              </w:rPr>
              <w:t>项目重点难点分析、应对措施及相关的合理化建议</w:t>
            </w:r>
          </w:p>
        </w:tc>
        <w:tc>
          <w:tcPr>
            <w:tcW w:w="724" w:type="dxa"/>
            <w:tcBorders>
              <w:top w:val="single" w:color="000000" w:sz="8" w:space="0"/>
              <w:left w:val="single" w:color="000000" w:sz="8" w:space="0"/>
              <w:bottom w:val="single" w:color="000000" w:sz="8" w:space="0"/>
              <w:right w:val="single" w:color="000000" w:sz="8" w:space="0"/>
            </w:tcBorders>
            <w:vAlign w:val="center"/>
          </w:tcPr>
          <w:p>
            <w:pPr>
              <w:widowControl/>
              <w:spacing w:line="440" w:lineRule="exact"/>
              <w:jc w:val="center"/>
              <w:textAlignment w:val="center"/>
              <w:rPr>
                <w:rFonts w:hint="default" w:eastAsia="宋体"/>
                <w:szCs w:val="21"/>
                <w:lang w:val="en-US" w:eastAsia="zh-CN"/>
              </w:rPr>
            </w:pPr>
            <w:r>
              <w:rPr>
                <w:rFonts w:hint="eastAsia"/>
                <w:szCs w:val="21"/>
                <w:lang w:val="en-US" w:eastAsia="zh-CN"/>
              </w:rPr>
              <w:t>15</w:t>
            </w:r>
          </w:p>
        </w:tc>
        <w:tc>
          <w:tcPr>
            <w:tcW w:w="4447" w:type="dxa"/>
            <w:gridSpan w:val="2"/>
            <w:tcBorders>
              <w:top w:val="single" w:color="000000" w:sz="8" w:space="0"/>
              <w:left w:val="single" w:color="000000" w:sz="8" w:space="0"/>
              <w:bottom w:val="single" w:color="000000" w:sz="8" w:space="0"/>
              <w:right w:val="single" w:color="000000" w:sz="8" w:space="0"/>
            </w:tcBorders>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（一）评分内容</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投标人提供项目重点难点分析、应对措施及相关的合理化建议，包括但不限于以下内容：</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1.项目重点和难点问题识别、阐述、分析；</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2.针对重难点的应对措施。</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3.针对重难点的合理化建议。</w:t>
            </w:r>
          </w:p>
          <w:p>
            <w:pPr>
              <w:pStyle w:val="32"/>
              <w:ind w:left="0" w:leftChars="0" w:firstLine="0" w:firstLineChars="0"/>
              <w:rPr>
                <w:rFonts w:hint="eastAsia" w:ascii="Times New Roman" w:hAnsi="Times New Roman" w:eastAsia="宋体" w:cs="Times New Roman"/>
                <w:kern w:val="2"/>
                <w:sz w:val="21"/>
                <w:szCs w:val="21"/>
                <w:lang w:val="en-US" w:eastAsia="zh-CN" w:bidi="ar-SA"/>
              </w:rPr>
            </w:pPr>
            <w:r>
              <w:rPr>
                <w:rFonts w:hint="eastAsia"/>
                <w:szCs w:val="21"/>
              </w:rPr>
              <w:t>满足以上3项内容得8分，满足以上2项内容得5分，满足以上1项内容得3分，其他不得分。</w:t>
            </w:r>
          </w:p>
          <w:p>
            <w:pPr>
              <w:rPr>
                <w:rFonts w:hint="eastAsia"/>
                <w:szCs w:val="21"/>
              </w:rPr>
            </w:pPr>
            <w:r>
              <w:rPr>
                <w:rFonts w:hint="eastAsia" w:ascii="Times New Roman" w:hAnsi="Times New Roman" w:eastAsia="宋体" w:cs="Times New Roman"/>
                <w:kern w:val="2"/>
                <w:sz w:val="21"/>
                <w:szCs w:val="21"/>
                <w:lang w:val="en-US" w:eastAsia="zh-CN" w:bidi="ar-SA"/>
              </w:rPr>
              <w:t>（二）</w:t>
            </w:r>
            <w:r>
              <w:rPr>
                <w:rFonts w:hint="eastAsia"/>
                <w:szCs w:val="21"/>
              </w:rPr>
              <w:t>在此基础上，评委根据投标人响应情况进一步评分：</w:t>
            </w:r>
          </w:p>
          <w:p>
            <w:pPr>
              <w:pStyle w:val="32"/>
              <w:ind w:left="0" w:leftChars="0" w:firstLine="0" w:firstLineChars="0"/>
              <w:rPr>
                <w:rFonts w:hint="eastAsia" w:ascii="Times New Roman" w:hAnsi="Times New Roman" w:eastAsia="宋体" w:cs="Times New Roman"/>
                <w:szCs w:val="21"/>
              </w:rPr>
            </w:pPr>
            <w:r>
              <w:rPr>
                <w:rFonts w:hint="eastAsia" w:ascii="Times New Roman" w:hAnsi="Times New Roman" w:eastAsia="宋体" w:cs="Times New Roman"/>
                <w:szCs w:val="21"/>
                <w:lang w:eastAsia="zh-CN"/>
              </w:rPr>
              <w:t>优：</w:t>
            </w:r>
            <w:r>
              <w:rPr>
                <w:rFonts w:hint="eastAsia" w:ascii="Times New Roman" w:hAnsi="Times New Roman" w:eastAsia="宋体" w:cs="Times New Roman"/>
                <w:szCs w:val="21"/>
              </w:rPr>
              <w:t>重点难点分析全面，应对措施可行性高，相关建议科学合理，评审为优的加7分；</w:t>
            </w:r>
          </w:p>
          <w:p>
            <w:pPr>
              <w:pStyle w:val="32"/>
              <w:ind w:left="0" w:leftChars="0" w:firstLine="0" w:firstLineChars="0"/>
              <w:rPr>
                <w:rFonts w:hint="eastAsia" w:ascii="Times New Roman" w:hAnsi="Times New Roman" w:eastAsia="宋体" w:cs="Times New Roman"/>
                <w:szCs w:val="21"/>
              </w:rPr>
            </w:pPr>
            <w:r>
              <w:rPr>
                <w:rFonts w:hint="eastAsia" w:ascii="Times New Roman" w:hAnsi="Times New Roman" w:eastAsia="宋体" w:cs="Times New Roman"/>
                <w:szCs w:val="21"/>
              </w:rPr>
              <w:t>良</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重点难点分析较全面，应对措施可行性较高，相关建议比较合理，评审为良的加5分；</w:t>
            </w:r>
          </w:p>
          <w:p>
            <w:pPr>
              <w:pStyle w:val="32"/>
              <w:ind w:left="0" w:leftChars="0" w:firstLine="0" w:firstLineChars="0"/>
              <w:rPr>
                <w:rFonts w:hint="eastAsia" w:ascii="Times New Roman" w:hAnsi="Times New Roman" w:eastAsia="宋体" w:cs="Times New Roman"/>
                <w:szCs w:val="21"/>
              </w:rPr>
            </w:pPr>
            <w:r>
              <w:rPr>
                <w:rFonts w:hint="eastAsia" w:ascii="Times New Roman" w:hAnsi="Times New Roman" w:eastAsia="宋体" w:cs="Times New Roman"/>
                <w:szCs w:val="21"/>
                <w:lang w:eastAsia="zh-CN"/>
              </w:rPr>
              <w:t>中：</w:t>
            </w:r>
            <w:r>
              <w:rPr>
                <w:rFonts w:hint="eastAsia" w:ascii="Times New Roman" w:hAnsi="Times New Roman" w:eastAsia="宋体" w:cs="Times New Roman"/>
                <w:szCs w:val="21"/>
              </w:rPr>
              <w:t>重点难点分析不够全面，应对措施可行性一般，相关建议不够合理</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评审为中的加3分；</w:t>
            </w:r>
          </w:p>
          <w:p>
            <w:pPr>
              <w:pStyle w:val="32"/>
              <w:ind w:left="0" w:leftChars="0" w:firstLine="0" w:firstLineChars="0"/>
              <w:rPr>
                <w:rFonts w:hint="eastAsia" w:ascii="Times New Roman" w:hAnsi="Times New Roman" w:eastAsia="宋体" w:cs="Times New Roman"/>
                <w:szCs w:val="21"/>
              </w:rPr>
            </w:pPr>
            <w:r>
              <w:rPr>
                <w:rFonts w:hint="eastAsia" w:ascii="Times New Roman" w:hAnsi="Times New Roman" w:eastAsia="宋体" w:cs="Times New Roman"/>
                <w:szCs w:val="21"/>
                <w:lang w:eastAsia="zh-CN"/>
              </w:rPr>
              <w:t>差：</w:t>
            </w:r>
            <w:r>
              <w:rPr>
                <w:rFonts w:hint="eastAsia" w:ascii="Times New Roman" w:hAnsi="Times New Roman" w:eastAsia="宋体" w:cs="Times New Roman"/>
                <w:szCs w:val="21"/>
              </w:rPr>
              <w:t>重点难点分析不全面，应对措施可行性低，相关建议不合理，评审为</w:t>
            </w:r>
            <w:r>
              <w:rPr>
                <w:rFonts w:hint="eastAsia" w:ascii="Times New Roman" w:hAnsi="Times New Roman" w:eastAsia="宋体" w:cs="Times New Roman"/>
                <w:szCs w:val="21"/>
                <w:lang w:eastAsia="zh-CN"/>
              </w:rPr>
              <w:t>差</w:t>
            </w:r>
            <w:r>
              <w:rPr>
                <w:rFonts w:hint="eastAsia" w:ascii="Times New Roman" w:hAnsi="Times New Roman" w:eastAsia="宋体" w:cs="Times New Roman"/>
                <w:szCs w:val="21"/>
              </w:rPr>
              <w:t>得0分；</w:t>
            </w:r>
          </w:p>
          <w:p>
            <w:pPr>
              <w:pStyle w:val="32"/>
              <w:ind w:left="0" w:leftChars="0" w:firstLine="0" w:firstLineChars="0"/>
              <w:rPr>
                <w:szCs w:val="21"/>
              </w:rPr>
            </w:pPr>
            <w:r>
              <w:rPr>
                <w:rFonts w:hint="eastAsia"/>
                <w:szCs w:val="21"/>
              </w:rPr>
              <w:t>评审为差，评审评委须书面说明理由，并记录在档。未提供方案的不得分。</w:t>
            </w:r>
          </w:p>
          <w:p>
            <w:pPr>
              <w:widowControl/>
              <w:textAlignment w:val="center"/>
              <w:rPr>
                <w:rFonts w:hint="eastAsia"/>
                <w:szCs w:val="21"/>
              </w:rPr>
            </w:pPr>
            <w:r>
              <w:rPr>
                <w:rFonts w:hint="eastAsia"/>
                <w:szCs w:val="21"/>
              </w:rPr>
              <w:t>备注：以上项目合计最高得15分，出现未按要求提供（含未提供）上述资料或评委无法凭所提供资料判断是否得分的情况，一律作不得分处理。证明文件须加盖公章，否则该项不得分。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gridAfter w:val="1"/>
          <w:wAfter w:w="101"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hint="eastAsia" w:ascii="宋体" w:hAnsi="宋体" w:eastAsia="宋体" w:cs="宋体"/>
                <w:szCs w:val="21"/>
                <w:lang w:eastAsia="zh-CN"/>
              </w:rPr>
            </w:pPr>
            <w:r>
              <w:rPr>
                <w:rFonts w:hint="eastAsia"/>
                <w:szCs w:val="21"/>
                <w:lang w:val="en-US" w:eastAsia="zh-CN"/>
              </w:rPr>
              <w:t>3</w:t>
            </w:r>
          </w:p>
        </w:tc>
        <w:tc>
          <w:tcPr>
            <w:tcW w:w="2543" w:type="dxa"/>
            <w:tcBorders>
              <w:top w:val="single" w:color="000000" w:sz="8" w:space="0"/>
              <w:left w:val="single" w:color="000000" w:sz="8" w:space="0"/>
              <w:bottom w:val="single" w:color="000000" w:sz="8" w:space="0"/>
              <w:right w:val="single" w:color="000000" w:sz="8" w:space="0"/>
            </w:tcBorders>
            <w:vAlign w:val="center"/>
          </w:tcPr>
          <w:p>
            <w:pPr>
              <w:widowControl/>
              <w:spacing w:line="440" w:lineRule="exact"/>
              <w:jc w:val="center"/>
              <w:textAlignment w:val="center"/>
              <w:rPr>
                <w:szCs w:val="21"/>
              </w:rPr>
            </w:pPr>
            <w:r>
              <w:rPr>
                <w:rFonts w:hint="eastAsia"/>
                <w:szCs w:val="21"/>
              </w:rPr>
              <w:t>质量保障措施及方案</w:t>
            </w:r>
          </w:p>
          <w:p>
            <w:pPr>
              <w:widowControl/>
              <w:spacing w:line="440" w:lineRule="exact"/>
              <w:jc w:val="center"/>
              <w:textAlignment w:val="center"/>
              <w:rPr>
                <w:szCs w:val="21"/>
              </w:rPr>
            </w:pPr>
          </w:p>
        </w:tc>
        <w:tc>
          <w:tcPr>
            <w:tcW w:w="724" w:type="dxa"/>
            <w:tcBorders>
              <w:top w:val="single" w:color="000000" w:sz="8" w:space="0"/>
              <w:left w:val="single" w:color="000000" w:sz="8" w:space="0"/>
              <w:bottom w:val="single" w:color="000000" w:sz="8" w:space="0"/>
              <w:right w:val="single" w:color="000000" w:sz="8" w:space="0"/>
            </w:tcBorders>
            <w:vAlign w:val="center"/>
          </w:tcPr>
          <w:p>
            <w:pPr>
              <w:widowControl/>
              <w:spacing w:line="440" w:lineRule="exact"/>
              <w:jc w:val="center"/>
              <w:textAlignment w:val="center"/>
              <w:rPr>
                <w:rFonts w:hint="eastAsia" w:eastAsia="宋体"/>
                <w:szCs w:val="21"/>
                <w:lang w:eastAsia="zh-CN"/>
              </w:rPr>
            </w:pPr>
            <w:r>
              <w:rPr>
                <w:rFonts w:hint="eastAsia"/>
                <w:szCs w:val="21"/>
              </w:rPr>
              <w:t>1</w:t>
            </w:r>
            <w:r>
              <w:rPr>
                <w:rFonts w:hint="eastAsia"/>
                <w:szCs w:val="21"/>
                <w:lang w:val="en-US" w:eastAsia="zh-CN"/>
              </w:rPr>
              <w:t>0</w:t>
            </w:r>
          </w:p>
        </w:tc>
        <w:tc>
          <w:tcPr>
            <w:tcW w:w="4447" w:type="dxa"/>
            <w:gridSpan w:val="2"/>
            <w:tcBorders>
              <w:top w:val="single" w:color="000000" w:sz="8" w:space="0"/>
              <w:left w:val="single" w:color="000000" w:sz="8" w:space="0"/>
              <w:bottom w:val="single" w:color="000000" w:sz="8" w:space="0"/>
              <w:right w:val="single" w:color="000000" w:sz="8" w:space="0"/>
            </w:tcBorders>
            <w:vAlign w:val="center"/>
          </w:tcPr>
          <w:p>
            <w:pPr>
              <w:widowControl/>
              <w:textAlignment w:val="center"/>
              <w:rPr>
                <w:szCs w:val="21"/>
              </w:rPr>
            </w:pPr>
            <w:r>
              <w:rPr>
                <w:rFonts w:hint="eastAsia"/>
                <w:szCs w:val="21"/>
              </w:rPr>
              <w:t>（一）评分内容：</w:t>
            </w:r>
          </w:p>
          <w:p>
            <w:pPr>
              <w:widowControl/>
              <w:textAlignment w:val="center"/>
              <w:rPr>
                <w:rFonts w:hint="eastAsia"/>
                <w:szCs w:val="21"/>
                <w:lang w:eastAsia="zh-CN"/>
              </w:rPr>
            </w:pPr>
            <w:r>
              <w:rPr>
                <w:rFonts w:hint="eastAsia"/>
                <w:szCs w:val="21"/>
              </w:rPr>
              <w:t>考察针对本项目的质量保障措施及方案，方案内容包括以下内容</w:t>
            </w:r>
            <w:r>
              <w:rPr>
                <w:rFonts w:hint="eastAsia"/>
                <w:szCs w:val="21"/>
                <w:lang w:eastAsia="zh-CN"/>
              </w:rPr>
              <w:t>：</w:t>
            </w:r>
          </w:p>
          <w:p>
            <w:pPr>
              <w:widowControl/>
              <w:textAlignment w:val="center"/>
              <w:rPr>
                <w:rFonts w:hint="eastAsia" w:ascii="Times New Roman" w:hAnsi="Times New Roman" w:eastAsia="宋体" w:cs="Times New Roman"/>
                <w:szCs w:val="21"/>
              </w:rPr>
            </w:pPr>
            <w:r>
              <w:rPr>
                <w:rFonts w:hint="eastAsia" w:ascii="Times New Roman" w:hAnsi="Times New Roman" w:eastAsia="宋体" w:cs="Times New Roman"/>
                <w:szCs w:val="21"/>
              </w:rPr>
              <w:t>1、质量保障措施；</w:t>
            </w:r>
          </w:p>
          <w:p>
            <w:pPr>
              <w:widowControl/>
              <w:textAlignment w:val="center"/>
              <w:rPr>
                <w:rFonts w:hint="eastAsia" w:ascii="Times New Roman" w:hAnsi="Times New Roman" w:eastAsia="宋体" w:cs="Times New Roman"/>
                <w:szCs w:val="21"/>
              </w:rPr>
            </w:pPr>
            <w:r>
              <w:rPr>
                <w:rFonts w:hint="eastAsia" w:ascii="Times New Roman" w:hAnsi="Times New Roman" w:eastAsia="宋体" w:cs="Times New Roman"/>
                <w:szCs w:val="21"/>
              </w:rPr>
              <w:t>2、安全保障措施；</w:t>
            </w:r>
          </w:p>
          <w:p>
            <w:pPr>
              <w:widowControl/>
              <w:textAlignment w:val="center"/>
              <w:rPr>
                <w:rFonts w:hint="eastAsia" w:ascii="Times New Roman" w:hAnsi="Times New Roman" w:eastAsia="宋体" w:cs="Times New Roman"/>
                <w:szCs w:val="21"/>
              </w:rPr>
            </w:pPr>
            <w:r>
              <w:rPr>
                <w:rFonts w:hint="eastAsia" w:ascii="Times New Roman" w:hAnsi="Times New Roman" w:eastAsia="宋体" w:cs="Times New Roman"/>
                <w:szCs w:val="21"/>
              </w:rPr>
              <w:t>3、进度保证措施。</w:t>
            </w:r>
          </w:p>
          <w:p>
            <w:pPr>
              <w:widowControl/>
              <w:textAlignment w:val="center"/>
              <w:rPr>
                <w:szCs w:val="21"/>
              </w:rPr>
            </w:pPr>
            <w:r>
              <w:rPr>
                <w:rFonts w:hint="eastAsia"/>
                <w:szCs w:val="21"/>
              </w:rPr>
              <w:t>满足以上3项内容得</w:t>
            </w:r>
            <w:r>
              <w:rPr>
                <w:rFonts w:hint="eastAsia"/>
                <w:szCs w:val="21"/>
                <w:lang w:val="en-US" w:eastAsia="zh-CN"/>
              </w:rPr>
              <w:t>6</w:t>
            </w:r>
            <w:r>
              <w:rPr>
                <w:rFonts w:hint="eastAsia"/>
                <w:szCs w:val="21"/>
              </w:rPr>
              <w:t>分，满足以上2项内容得</w:t>
            </w:r>
            <w:r>
              <w:rPr>
                <w:rFonts w:hint="eastAsia"/>
                <w:szCs w:val="21"/>
                <w:lang w:val="en-US" w:eastAsia="zh-CN"/>
              </w:rPr>
              <w:t>4</w:t>
            </w:r>
            <w:r>
              <w:rPr>
                <w:rFonts w:hint="eastAsia"/>
                <w:szCs w:val="21"/>
              </w:rPr>
              <w:t>分，满足以上1项内容得</w:t>
            </w:r>
            <w:r>
              <w:rPr>
                <w:rFonts w:hint="eastAsia"/>
                <w:szCs w:val="21"/>
                <w:lang w:val="en-US" w:eastAsia="zh-CN"/>
              </w:rPr>
              <w:t>2</w:t>
            </w:r>
            <w:r>
              <w:rPr>
                <w:rFonts w:hint="eastAsia"/>
                <w:szCs w:val="21"/>
              </w:rPr>
              <w:t>分，其他不得分。</w:t>
            </w:r>
          </w:p>
          <w:p>
            <w:pPr>
              <w:widowControl/>
              <w:textAlignment w:val="center"/>
              <w:rPr>
                <w:rFonts w:hint="eastAsia"/>
                <w:szCs w:val="21"/>
              </w:rPr>
            </w:pPr>
            <w:r>
              <w:rPr>
                <w:rFonts w:hint="eastAsia"/>
                <w:szCs w:val="21"/>
              </w:rPr>
              <w:t>（二）在此基础上，评委根据投标人响应情况进一步评分：</w:t>
            </w:r>
          </w:p>
          <w:p>
            <w:pPr>
              <w:pStyle w:val="32"/>
              <w:ind w:left="0" w:leftChars="0" w:firstLine="0" w:firstLineChars="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优：质量保障措施完善、安全保障措施和进度保障措施合理性强，评审为优的加</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lang w:eastAsia="zh-CN"/>
              </w:rPr>
              <w:t>分；</w:t>
            </w:r>
          </w:p>
          <w:p>
            <w:pPr>
              <w:pStyle w:val="32"/>
              <w:ind w:left="0" w:leftChars="0" w:firstLine="0" w:firstLineChars="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良：质量保障措施较完善、安全保障措施和进度保障措施合理性较强，评审为良的加</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lang w:eastAsia="zh-CN"/>
              </w:rPr>
              <w:t>分；</w:t>
            </w:r>
          </w:p>
          <w:p>
            <w:pPr>
              <w:pStyle w:val="32"/>
              <w:ind w:left="0" w:leftChars="0" w:firstLine="0" w:firstLineChars="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中：质量保障措施不够完善、安全保障措施和进度保障措施不够合理，评审为中的加</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lang w:eastAsia="zh-CN"/>
              </w:rPr>
              <w:t>分；</w:t>
            </w:r>
          </w:p>
          <w:p>
            <w:pPr>
              <w:pStyle w:val="32"/>
              <w:ind w:left="0" w:leftChars="0" w:firstLine="0" w:firstLineChars="0"/>
              <w:rPr>
                <w:rFonts w:hint="eastAsia"/>
                <w:szCs w:val="21"/>
              </w:rPr>
            </w:pPr>
            <w:r>
              <w:rPr>
                <w:rFonts w:hint="eastAsia" w:ascii="Times New Roman" w:hAnsi="Times New Roman" w:eastAsia="宋体" w:cs="Times New Roman"/>
                <w:szCs w:val="21"/>
                <w:lang w:eastAsia="zh-CN"/>
              </w:rPr>
              <w:t>差：质量保障措施不完善、安全保障措施和进度保障措施不合理，评审为差得0分；</w:t>
            </w:r>
          </w:p>
          <w:p>
            <w:pPr>
              <w:widowControl/>
              <w:textAlignment w:val="center"/>
              <w:rPr>
                <w:rFonts w:hint="eastAsia"/>
                <w:szCs w:val="21"/>
              </w:rPr>
            </w:pPr>
            <w:r>
              <w:rPr>
                <w:rFonts w:hint="eastAsia"/>
                <w:szCs w:val="21"/>
              </w:rPr>
              <w:t>评审为差，评审评委须书面说明理由，并记录在档。未提供方案的不得分。</w:t>
            </w:r>
          </w:p>
          <w:p>
            <w:pPr>
              <w:widowControl/>
              <w:textAlignment w:val="center"/>
              <w:rPr>
                <w:szCs w:val="21"/>
              </w:rPr>
            </w:pPr>
            <w:r>
              <w:rPr>
                <w:rFonts w:hint="eastAsia"/>
                <w:szCs w:val="21"/>
              </w:rPr>
              <w:t>备注：以上项目合计最高得</w:t>
            </w:r>
            <w:r>
              <w:rPr>
                <w:rFonts w:hint="eastAsia"/>
                <w:szCs w:val="21"/>
                <w:lang w:val="en-US" w:eastAsia="zh-CN"/>
              </w:rPr>
              <w:t>10</w:t>
            </w:r>
            <w:r>
              <w:rPr>
                <w:rFonts w:hint="eastAsia"/>
                <w:szCs w:val="21"/>
              </w:rPr>
              <w:t>分，出现未按要求提供（含未提供）上述资料或评委无法凭所提供资料判断是否得分的情况，一律作不得分处理。证明文件须加盖公章，否则该项不得分。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gridAfter w:val="1"/>
          <w:wAfter w:w="101" w:type="dxa"/>
          <w:tblCellSpacing w:w="0" w:type="dxa"/>
          <w:jc w:val="center"/>
        </w:trPr>
        <w:tc>
          <w:tcPr>
            <w:tcW w:w="681" w:type="dxa"/>
            <w:gridSpan w:val="2"/>
            <w:vMerge w:val="restart"/>
            <w:tcBorders>
              <w:top w:val="single" w:color="000000" w:sz="8" w:space="0"/>
              <w:left w:val="single" w:color="000000" w:sz="8" w:space="0"/>
              <w:right w:val="single" w:color="000000" w:sz="8" w:space="0"/>
            </w:tcBorders>
          </w:tcPr>
          <w:p>
            <w:pPr>
              <w:wordWrap w:val="0"/>
              <w:jc w:val="center"/>
              <w:rPr>
                <w:rFonts w:ascii="宋体" w:hAnsi="宋体" w:cs="宋体"/>
                <w:b/>
                <w:bCs/>
                <w:color w:val="0000FF"/>
                <w:sz w:val="24"/>
              </w:rPr>
            </w:pPr>
            <w:bookmarkStart w:id="3" w:name="OLE_LINK6" w:colFirst="1" w:colLast="2"/>
            <w:r>
              <w:rPr>
                <w:b/>
                <w:bCs/>
                <w:color w:val="0000FF"/>
              </w:rPr>
              <w:t>3</w:t>
            </w:r>
          </w:p>
        </w:tc>
        <w:tc>
          <w:tcPr>
            <w:tcW w:w="3947"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rFonts w:hint="eastAsia"/>
                <w:b/>
                <w:bCs/>
                <w:color w:val="0000FF"/>
              </w:rPr>
              <w:t>综合实力部分</w:t>
            </w:r>
          </w:p>
        </w:tc>
        <w:tc>
          <w:tcPr>
            <w:tcW w:w="4447" w:type="dxa"/>
            <w:gridSpan w:val="2"/>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rFonts w:hint="eastAsia" w:ascii="宋体" w:hAnsi="宋体" w:cs="宋体"/>
                <w:b/>
                <w:bCs/>
                <w:color w:val="0000FF"/>
                <w:sz w:val="24"/>
              </w:rPr>
              <w:t>45</w:t>
            </w:r>
          </w:p>
        </w:tc>
      </w:tr>
      <w:bookmarkEnd w:id="3"/>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gridAfter w:val="1"/>
          <w:wAfter w:w="101" w:type="dxa"/>
          <w:tblCellSpacing w:w="0" w:type="dxa"/>
          <w:jc w:val="center"/>
        </w:trPr>
        <w:tc>
          <w:tcPr>
            <w:tcW w:w="681" w:type="dxa"/>
            <w:gridSpan w:val="2"/>
            <w:vMerge w:val="continue"/>
            <w:tcBorders>
              <w:left w:val="single" w:color="000000" w:sz="8" w:space="0"/>
              <w:right w:val="single" w:color="000000" w:sz="8" w:space="0"/>
            </w:tcBorders>
            <w:vAlign w:val="center"/>
          </w:tcPr>
          <w:p>
            <w:pPr>
              <w:widowControl/>
              <w:jc w:val="left"/>
              <w:rPr>
                <w:rFonts w:ascii="宋体" w:hAnsi="宋体" w:cs="宋体"/>
                <w:b/>
                <w:bCs/>
                <w:color w:val="0000FF"/>
                <w:sz w:val="24"/>
              </w:rPr>
            </w:pPr>
            <w:bookmarkStart w:id="4" w:name="OLE_LINK13" w:colFirst="1" w:colLast="4"/>
          </w:p>
        </w:tc>
        <w:tc>
          <w:tcPr>
            <w:tcW w:w="680"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pPr>
              <w:wordWrap w:val="0"/>
              <w:jc w:val="center"/>
              <w:rPr>
                <w:rFonts w:ascii="宋体" w:hAnsi="宋体" w:cs="宋体"/>
                <w:szCs w:val="21"/>
              </w:rPr>
            </w:pPr>
            <w:r>
              <w:rPr>
                <w:rFonts w:hint="eastAsia"/>
                <w:szCs w:val="21"/>
              </w:rPr>
              <w:t>序号</w:t>
            </w:r>
          </w:p>
        </w:tc>
        <w:tc>
          <w:tcPr>
            <w:tcW w:w="2543"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pPr>
              <w:wordWrap w:val="0"/>
              <w:jc w:val="center"/>
              <w:rPr>
                <w:rFonts w:ascii="宋体" w:hAnsi="宋体" w:cs="宋体"/>
                <w:szCs w:val="21"/>
              </w:rPr>
            </w:pPr>
            <w:r>
              <w:rPr>
                <w:rFonts w:hint="eastAsia"/>
                <w:szCs w:val="21"/>
              </w:rPr>
              <w:t>评分因素</w:t>
            </w:r>
          </w:p>
        </w:tc>
        <w:tc>
          <w:tcPr>
            <w:tcW w:w="724"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pPr>
              <w:wordWrap w:val="0"/>
              <w:jc w:val="center"/>
              <w:rPr>
                <w:rFonts w:ascii="宋体" w:hAnsi="宋体" w:cs="宋体"/>
                <w:szCs w:val="21"/>
              </w:rPr>
            </w:pPr>
            <w:r>
              <w:rPr>
                <w:rFonts w:hint="eastAsia"/>
                <w:szCs w:val="21"/>
              </w:rPr>
              <w:t>权重</w:t>
            </w:r>
          </w:p>
        </w:tc>
        <w:tc>
          <w:tcPr>
            <w:tcW w:w="4447" w:type="dxa"/>
            <w:gridSpan w:val="2"/>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pPr>
              <w:jc w:val="center"/>
              <w:rPr>
                <w:rFonts w:ascii="宋体" w:hAnsi="宋体"/>
                <w:color w:val="FF0000"/>
              </w:rPr>
            </w:pPr>
            <w:r>
              <w:rPr>
                <w:rFonts w:hint="eastAsia"/>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gridAfter w:val="1"/>
          <w:wAfter w:w="101" w:type="dxa"/>
          <w:tblCellSpacing w:w="0" w:type="dxa"/>
          <w:jc w:val="center"/>
        </w:trPr>
        <w:tc>
          <w:tcPr>
            <w:tcW w:w="681" w:type="dxa"/>
            <w:gridSpan w:val="2"/>
            <w:vMerge w:val="continue"/>
            <w:tcBorders>
              <w:left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hint="eastAsia" w:eastAsia="宋体"/>
                <w:szCs w:val="21"/>
                <w:lang w:val="en-US" w:eastAsia="zh-CN"/>
              </w:rPr>
            </w:pPr>
            <w:r>
              <w:rPr>
                <w:rFonts w:hint="eastAsia"/>
                <w:szCs w:val="21"/>
                <w:lang w:val="en-US" w:eastAsia="zh-CN"/>
              </w:rPr>
              <w:t>1</w:t>
            </w:r>
          </w:p>
        </w:tc>
        <w:tc>
          <w:tcPr>
            <w:tcW w:w="2543"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auto"/>
              <w:jc w:val="center"/>
              <w:textAlignment w:val="center"/>
              <w:rPr>
                <w:rFonts w:hint="eastAsia" w:eastAsia="宋体"/>
                <w:szCs w:val="21"/>
                <w:lang w:eastAsia="zh-CN"/>
              </w:rPr>
            </w:pPr>
            <w:r>
              <w:rPr>
                <w:rFonts w:hint="eastAsia"/>
                <w:szCs w:val="21"/>
                <w:lang w:eastAsia="zh-CN"/>
              </w:rPr>
              <w:t>拟</w:t>
            </w:r>
            <w:r>
              <w:rPr>
                <w:rFonts w:hint="eastAsia" w:ascii="Times New Roman" w:hAnsi="Times New Roman" w:eastAsia="宋体" w:cs="Times New Roman"/>
                <w:szCs w:val="21"/>
                <w:lang w:eastAsia="zh-CN"/>
              </w:rPr>
              <w:t>安排的项目负责人（仅限</w:t>
            </w:r>
            <w:r>
              <w:rPr>
                <w:rFonts w:hint="eastAsia" w:ascii="Times New Roman" w:hAnsi="Times New Roman" w:eastAsia="宋体" w:cs="Times New Roman"/>
                <w:szCs w:val="21"/>
                <w:lang w:val="en-US" w:eastAsia="zh-CN"/>
              </w:rPr>
              <w:t>1人</w:t>
            </w:r>
            <w:r>
              <w:rPr>
                <w:rFonts w:hint="eastAsia" w:ascii="Times New Roman" w:hAnsi="Times New Roman" w:eastAsia="宋体" w:cs="Times New Roman"/>
                <w:szCs w:val="21"/>
                <w:lang w:eastAsia="zh-CN"/>
              </w:rPr>
              <w:t>）情况</w:t>
            </w:r>
          </w:p>
        </w:tc>
        <w:tc>
          <w:tcPr>
            <w:tcW w:w="724" w:type="dxa"/>
            <w:tcBorders>
              <w:top w:val="single" w:color="000000" w:sz="8" w:space="0"/>
              <w:left w:val="single" w:color="000000" w:sz="8" w:space="0"/>
              <w:bottom w:val="single" w:color="000000" w:sz="8" w:space="0"/>
              <w:right w:val="single" w:color="000000" w:sz="8" w:space="0"/>
            </w:tcBorders>
            <w:vAlign w:val="center"/>
          </w:tcPr>
          <w:p>
            <w:pPr>
              <w:widowControl/>
              <w:spacing w:line="440" w:lineRule="exact"/>
              <w:jc w:val="center"/>
              <w:textAlignment w:val="center"/>
              <w:rPr>
                <w:rFonts w:hint="default"/>
                <w:szCs w:val="21"/>
                <w:lang w:val="en-US" w:eastAsia="zh-CN"/>
              </w:rPr>
            </w:pPr>
            <w:r>
              <w:rPr>
                <w:rFonts w:hint="eastAsia"/>
                <w:szCs w:val="21"/>
                <w:lang w:val="en-US" w:eastAsia="zh-CN"/>
              </w:rPr>
              <w:t>8</w:t>
            </w:r>
          </w:p>
        </w:tc>
        <w:tc>
          <w:tcPr>
            <w:tcW w:w="4447" w:type="dxa"/>
            <w:gridSpan w:val="2"/>
            <w:tcBorders>
              <w:top w:val="single" w:color="000000" w:sz="8" w:space="0"/>
              <w:left w:val="single" w:color="000000" w:sz="8" w:space="0"/>
              <w:bottom w:val="single" w:color="000000" w:sz="8" w:space="0"/>
              <w:right w:val="single" w:color="000000" w:sz="8" w:space="0"/>
            </w:tcBorders>
            <w:vAlign w:val="center"/>
          </w:tcPr>
          <w:p>
            <w:pPr>
              <w:spacing w:after="120"/>
              <w:rPr>
                <w:szCs w:val="21"/>
              </w:rPr>
            </w:pPr>
            <w:r>
              <w:rPr>
                <w:rFonts w:hint="eastAsia"/>
                <w:szCs w:val="21"/>
              </w:rPr>
              <w:t>（一）评分内容：</w:t>
            </w:r>
          </w:p>
          <w:p>
            <w:pPr>
              <w:rPr>
                <w:rStyle w:val="90"/>
                <w:rFonts w:hint="eastAsia" w:ascii="Times New Roman" w:hAnsi="Times New Roman" w:eastAsia="宋体" w:cs="Times New Roman"/>
                <w:color w:val="auto"/>
                <w:kern w:val="2"/>
                <w:sz w:val="21"/>
                <w:szCs w:val="21"/>
                <w:lang w:val="en-US" w:eastAsia="zh-CN" w:bidi="ar"/>
              </w:rPr>
            </w:pPr>
            <w:r>
              <w:rPr>
                <w:rStyle w:val="90"/>
                <w:rFonts w:hint="eastAsia" w:ascii="Times New Roman" w:hAnsi="Times New Roman" w:eastAsia="宋体" w:cs="Times New Roman"/>
                <w:color w:val="auto"/>
                <w:kern w:val="2"/>
                <w:sz w:val="21"/>
                <w:szCs w:val="21"/>
                <w:lang w:val="en-US" w:eastAsia="zh-CN" w:bidi="ar"/>
              </w:rPr>
              <w:t>拟安排的项目负责人须为投标单位自有员工（以社保为准），在此基础上：</w:t>
            </w:r>
          </w:p>
          <w:p>
            <w:pPr>
              <w:rPr>
                <w:rStyle w:val="90"/>
                <w:rFonts w:hint="eastAsia" w:ascii="Times New Roman" w:hAnsi="Times New Roman" w:eastAsia="宋体" w:cs="Times New Roman"/>
                <w:color w:val="auto"/>
                <w:kern w:val="2"/>
                <w:sz w:val="21"/>
                <w:szCs w:val="21"/>
                <w:lang w:val="en-US" w:eastAsia="zh-CN" w:bidi="ar"/>
              </w:rPr>
            </w:pPr>
            <w:r>
              <w:rPr>
                <w:rStyle w:val="90"/>
                <w:rFonts w:hint="eastAsia" w:ascii="Times New Roman" w:hAnsi="Times New Roman" w:eastAsia="宋体" w:cs="Times New Roman"/>
                <w:color w:val="auto"/>
                <w:kern w:val="2"/>
                <w:sz w:val="21"/>
                <w:szCs w:val="21"/>
                <w:lang w:val="en-US" w:eastAsia="zh-CN" w:bidi="ar"/>
              </w:rPr>
              <w:t>1.具有本科或以上学历的，得4分；</w:t>
            </w:r>
          </w:p>
          <w:p>
            <w:pPr>
              <w:rPr>
                <w:rFonts w:hint="eastAsia"/>
              </w:rPr>
            </w:pPr>
            <w:r>
              <w:rPr>
                <w:rStyle w:val="90"/>
                <w:rFonts w:hint="eastAsia" w:ascii="Times New Roman" w:hAnsi="Times New Roman" w:eastAsia="宋体" w:cs="Times New Roman"/>
                <w:color w:val="auto"/>
                <w:kern w:val="2"/>
                <w:sz w:val="21"/>
                <w:szCs w:val="21"/>
                <w:lang w:val="en-US" w:eastAsia="zh-CN" w:bidi="ar"/>
              </w:rPr>
              <w:t>2.具有政府部门（或事业单位）安全技术服务相关工作经验的，得4分；</w:t>
            </w:r>
          </w:p>
          <w:p>
            <w:pPr>
              <w:pStyle w:val="32"/>
              <w:ind w:left="0" w:leftChars="0" w:firstLine="0" w:firstLineChars="0"/>
              <w:jc w:val="left"/>
              <w:rPr>
                <w:rStyle w:val="90"/>
                <w:rFonts w:hint="eastAsia" w:ascii="Times New Roman" w:hAnsi="Times New Roman" w:eastAsia="宋体" w:cs="Times New Roman"/>
                <w:color w:val="auto"/>
                <w:sz w:val="21"/>
                <w:szCs w:val="21"/>
                <w:lang w:val="en-US" w:eastAsia="zh-CN" w:bidi="ar"/>
              </w:rPr>
            </w:pPr>
            <w:r>
              <w:rPr>
                <w:rStyle w:val="90"/>
                <w:rFonts w:hint="eastAsia" w:ascii="Times New Roman" w:hAnsi="Times New Roman" w:eastAsia="宋体" w:cs="Times New Roman"/>
                <w:color w:val="auto"/>
                <w:sz w:val="21"/>
                <w:szCs w:val="21"/>
                <w:lang w:val="en-US" w:eastAsia="zh-CN" w:bidi="ar"/>
              </w:rPr>
              <w:t>（二）评分依据：</w:t>
            </w:r>
          </w:p>
          <w:p>
            <w:pPr>
              <w:rPr>
                <w:rStyle w:val="90"/>
                <w:rFonts w:hint="eastAsia" w:ascii="Times New Roman" w:hAnsi="Times New Roman" w:eastAsia="宋体" w:cs="Times New Roman"/>
                <w:color w:val="auto"/>
                <w:kern w:val="2"/>
                <w:sz w:val="21"/>
                <w:szCs w:val="21"/>
                <w:lang w:val="en-US" w:eastAsia="zh-CN" w:bidi="ar"/>
              </w:rPr>
            </w:pPr>
            <w:r>
              <w:rPr>
                <w:rStyle w:val="90"/>
                <w:rFonts w:hint="eastAsia" w:ascii="Times New Roman" w:hAnsi="Times New Roman" w:eastAsia="宋体" w:cs="Times New Roman"/>
                <w:color w:val="auto"/>
                <w:kern w:val="2"/>
                <w:sz w:val="21"/>
                <w:szCs w:val="21"/>
                <w:lang w:val="en-US" w:eastAsia="zh-CN" w:bidi="ar"/>
              </w:rPr>
              <w:t>1.涉及学历的，需同时提供学历证书及学历认证报告或学信网（https://www.chsi.om.cn/）查询截图。学信网无法查询的，可提供其他佐证材料（如毕业院校、人社部门等颁发机构或监管机构等单位出具的证明），留学归国人员如无法提供学信网查询记录截图，提供国（境）外学历证书扫描件（以及中文翻译件）和教育部留学服务中心出具的国外学历学位认证书扫描件【或教育部留学服务中心网站（http://zwfw.cscse.edu.cn/）在线查询截图】也予以认可。</w:t>
            </w:r>
          </w:p>
          <w:p>
            <w:pPr>
              <w:rPr>
                <w:rStyle w:val="90"/>
                <w:rFonts w:hint="eastAsia" w:ascii="Times New Roman" w:hAnsi="Times New Roman" w:eastAsia="宋体" w:cs="Times New Roman"/>
                <w:color w:val="auto"/>
                <w:kern w:val="2"/>
                <w:sz w:val="21"/>
                <w:szCs w:val="21"/>
                <w:lang w:val="en-US" w:eastAsia="zh-CN" w:bidi="ar"/>
              </w:rPr>
            </w:pPr>
            <w:r>
              <w:rPr>
                <w:rStyle w:val="90"/>
                <w:rFonts w:hint="eastAsia" w:ascii="Times New Roman" w:hAnsi="Times New Roman" w:eastAsia="宋体" w:cs="Times New Roman"/>
                <w:color w:val="auto"/>
                <w:kern w:val="2"/>
                <w:sz w:val="21"/>
                <w:szCs w:val="21"/>
                <w:lang w:val="en-US" w:eastAsia="zh-CN" w:bidi="ar"/>
              </w:rPr>
              <w:t>2.涉及人员社保的,要求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pPr>
              <w:rPr>
                <w:rStyle w:val="90"/>
                <w:rFonts w:hint="eastAsia" w:ascii="Times New Roman" w:hAnsi="Times New Roman" w:eastAsia="宋体" w:cs="Times New Roman"/>
                <w:color w:val="auto"/>
                <w:kern w:val="2"/>
                <w:sz w:val="21"/>
                <w:szCs w:val="21"/>
                <w:lang w:val="en-US" w:eastAsia="zh-CN" w:bidi="ar"/>
              </w:rPr>
            </w:pPr>
            <w:r>
              <w:rPr>
                <w:rStyle w:val="90"/>
                <w:rFonts w:hint="eastAsia" w:ascii="Times New Roman" w:hAnsi="Times New Roman" w:eastAsia="宋体" w:cs="Times New Roman"/>
                <w:color w:val="auto"/>
                <w:kern w:val="2"/>
                <w:sz w:val="21"/>
                <w:szCs w:val="21"/>
                <w:lang w:val="en-US" w:eastAsia="zh-CN" w:bidi="ar"/>
              </w:rPr>
              <w:t>3. 证件资料要求提供原件扫描件（或官方网站截图）。</w:t>
            </w:r>
          </w:p>
          <w:p>
            <w:pPr>
              <w:rPr>
                <w:rFonts w:hint="eastAsia"/>
                <w:szCs w:val="21"/>
              </w:rPr>
            </w:pPr>
            <w:r>
              <w:rPr>
                <w:rStyle w:val="90"/>
                <w:rFonts w:hint="eastAsia" w:ascii="Times New Roman" w:hAnsi="Times New Roman" w:eastAsia="宋体" w:cs="Times New Roman"/>
                <w:color w:val="auto"/>
                <w:kern w:val="2"/>
                <w:sz w:val="21"/>
                <w:szCs w:val="21"/>
                <w:lang w:val="en-US" w:eastAsia="zh-CN" w:bidi="ar"/>
              </w:rPr>
              <w:t>4. 涉及考察人员工作经验的，要求提供项目合同关键信息作为得分依据，通过合同关键信息无法判断是否得分的，还须同时提供合同采购方出具的证明文件。</w:t>
            </w:r>
          </w:p>
          <w:p>
            <w:pPr>
              <w:pStyle w:val="32"/>
              <w:ind w:left="0" w:leftChars="0" w:firstLine="0" w:firstLineChars="0"/>
              <w:jc w:val="left"/>
              <w:rPr>
                <w:rStyle w:val="90"/>
                <w:rFonts w:hint="default" w:ascii="Times New Roman" w:hAnsi="Times New Roman" w:eastAsia="宋体" w:cs="Times New Roman"/>
                <w:color w:val="auto"/>
                <w:kern w:val="2"/>
                <w:sz w:val="21"/>
                <w:szCs w:val="21"/>
                <w:lang w:val="en-US" w:eastAsia="zh-CN" w:bidi="ar"/>
              </w:rPr>
            </w:pPr>
            <w:r>
              <w:rPr>
                <w:rFonts w:hint="eastAsia"/>
                <w:szCs w:val="21"/>
              </w:rPr>
              <w:t>备注：以上资料均要求提供扫描件，原件备查，评分中出现无证明资料或证书过期或专家无法凭所提供资料判断是否得分的情况，一律作不得分处理。证明文件须加盖公章，否则该项不得分。</w:t>
            </w:r>
          </w:p>
        </w:tc>
      </w:tr>
      <w:bookmarkEnd w:id="4"/>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gridAfter w:val="1"/>
          <w:wAfter w:w="101" w:type="dxa"/>
          <w:tblCellSpacing w:w="0" w:type="dxa"/>
          <w:jc w:val="center"/>
        </w:trPr>
        <w:tc>
          <w:tcPr>
            <w:tcW w:w="681" w:type="dxa"/>
            <w:gridSpan w:val="2"/>
            <w:vMerge w:val="continue"/>
            <w:tcBorders>
              <w:left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hint="eastAsia" w:ascii="宋体" w:hAnsi="宋体" w:eastAsia="宋体" w:cs="宋体"/>
                <w:szCs w:val="21"/>
                <w:lang w:eastAsia="zh-CN"/>
              </w:rPr>
            </w:pPr>
            <w:r>
              <w:rPr>
                <w:rFonts w:hint="eastAsia"/>
                <w:szCs w:val="21"/>
                <w:lang w:val="en-US" w:eastAsia="zh-CN"/>
              </w:rPr>
              <w:t>2</w:t>
            </w:r>
          </w:p>
        </w:tc>
        <w:tc>
          <w:tcPr>
            <w:tcW w:w="2543" w:type="dxa"/>
            <w:tcBorders>
              <w:top w:val="single" w:color="000000" w:sz="8" w:space="0"/>
              <w:left w:val="single" w:color="000000" w:sz="8" w:space="0"/>
              <w:bottom w:val="single" w:color="000000" w:sz="8" w:space="0"/>
              <w:right w:val="single" w:color="000000" w:sz="8" w:space="0"/>
            </w:tcBorders>
            <w:vAlign w:val="center"/>
          </w:tcPr>
          <w:p>
            <w:pPr>
              <w:widowControl/>
              <w:spacing w:line="440" w:lineRule="exact"/>
              <w:jc w:val="center"/>
              <w:textAlignment w:val="center"/>
              <w:rPr>
                <w:rFonts w:hint="eastAsia" w:eastAsia="宋体"/>
                <w:szCs w:val="21"/>
                <w:lang w:eastAsia="zh-CN"/>
              </w:rPr>
            </w:pPr>
            <w:r>
              <w:rPr>
                <w:rFonts w:hint="eastAsia"/>
                <w:szCs w:val="21"/>
              </w:rPr>
              <w:t>拟安排的</w:t>
            </w:r>
            <w:r>
              <w:rPr>
                <w:rFonts w:hint="eastAsia"/>
                <w:szCs w:val="21"/>
                <w:lang w:eastAsia="zh-CN"/>
              </w:rPr>
              <w:t>技术团队</w:t>
            </w:r>
            <w:r>
              <w:rPr>
                <w:rFonts w:hint="eastAsia"/>
                <w:szCs w:val="21"/>
              </w:rPr>
              <w:t>情况</w:t>
            </w:r>
            <w:r>
              <w:rPr>
                <w:rFonts w:hint="eastAsia"/>
                <w:szCs w:val="21"/>
                <w:lang w:eastAsia="zh-CN"/>
              </w:rPr>
              <w:t>（项目负责人除外）</w:t>
            </w:r>
          </w:p>
        </w:tc>
        <w:tc>
          <w:tcPr>
            <w:tcW w:w="724" w:type="dxa"/>
            <w:tcBorders>
              <w:top w:val="single" w:color="000000" w:sz="8" w:space="0"/>
              <w:left w:val="single" w:color="000000" w:sz="8" w:space="0"/>
              <w:bottom w:val="single" w:color="000000" w:sz="8" w:space="0"/>
              <w:right w:val="single" w:color="000000" w:sz="8" w:space="0"/>
            </w:tcBorders>
            <w:vAlign w:val="center"/>
          </w:tcPr>
          <w:p>
            <w:pPr>
              <w:widowControl/>
              <w:spacing w:line="440" w:lineRule="exact"/>
              <w:jc w:val="center"/>
              <w:textAlignment w:val="center"/>
              <w:rPr>
                <w:rFonts w:hint="default" w:eastAsia="宋体"/>
                <w:szCs w:val="21"/>
                <w:lang w:val="en-US" w:eastAsia="zh-CN"/>
              </w:rPr>
            </w:pPr>
            <w:r>
              <w:rPr>
                <w:rFonts w:hint="eastAsia"/>
                <w:szCs w:val="21"/>
                <w:lang w:val="en-US" w:eastAsia="zh-CN"/>
              </w:rPr>
              <w:t>8</w:t>
            </w:r>
          </w:p>
        </w:tc>
        <w:tc>
          <w:tcPr>
            <w:tcW w:w="4447" w:type="dxa"/>
            <w:gridSpan w:val="2"/>
            <w:tcBorders>
              <w:top w:val="single" w:color="000000" w:sz="8" w:space="0"/>
              <w:left w:val="single" w:color="000000" w:sz="8" w:space="0"/>
              <w:bottom w:val="single" w:color="000000" w:sz="8" w:space="0"/>
              <w:right w:val="single" w:color="000000" w:sz="8" w:space="0"/>
            </w:tcBorders>
            <w:vAlign w:val="center"/>
          </w:tcPr>
          <w:p>
            <w:pPr>
              <w:rPr>
                <w:rStyle w:val="90"/>
                <w:rFonts w:hint="eastAsia" w:ascii="Times New Roman" w:hAnsi="Times New Roman" w:eastAsia="宋体" w:cs="Times New Roman"/>
                <w:color w:val="auto"/>
                <w:kern w:val="2"/>
                <w:sz w:val="21"/>
                <w:szCs w:val="21"/>
                <w:lang w:val="en-US" w:eastAsia="zh-CN" w:bidi="ar"/>
              </w:rPr>
            </w:pPr>
            <w:r>
              <w:rPr>
                <w:rStyle w:val="90"/>
                <w:rFonts w:hint="eastAsia" w:ascii="Times New Roman" w:hAnsi="Times New Roman" w:eastAsia="宋体" w:cs="Times New Roman"/>
                <w:color w:val="auto"/>
                <w:kern w:val="2"/>
                <w:sz w:val="21"/>
                <w:szCs w:val="21"/>
                <w:lang w:val="en-US" w:eastAsia="zh-CN" w:bidi="ar"/>
              </w:rPr>
              <w:t>（一）评分内容：</w:t>
            </w:r>
          </w:p>
          <w:p>
            <w:pPr>
              <w:rPr>
                <w:rStyle w:val="90"/>
                <w:rFonts w:hint="eastAsia" w:ascii="Times New Roman" w:hAnsi="Times New Roman" w:eastAsia="宋体" w:cs="Times New Roman"/>
                <w:color w:val="auto"/>
                <w:kern w:val="2"/>
                <w:sz w:val="21"/>
                <w:szCs w:val="21"/>
                <w:lang w:val="en-US" w:eastAsia="zh-CN" w:bidi="ar"/>
              </w:rPr>
            </w:pPr>
            <w:r>
              <w:rPr>
                <w:rStyle w:val="90"/>
                <w:rFonts w:hint="eastAsia" w:ascii="Times New Roman" w:hAnsi="Times New Roman" w:eastAsia="宋体" w:cs="Times New Roman"/>
                <w:color w:val="auto"/>
                <w:kern w:val="2"/>
                <w:sz w:val="21"/>
                <w:szCs w:val="21"/>
                <w:lang w:val="en-US" w:eastAsia="zh-CN" w:bidi="ar"/>
              </w:rPr>
              <w:t>拟安排的技术团队必须为投标人自有员工（以社保为准），在此基础上：</w:t>
            </w:r>
          </w:p>
          <w:p>
            <w:pPr>
              <w:rPr>
                <w:rStyle w:val="90"/>
                <w:rFonts w:hint="eastAsia" w:ascii="Times New Roman" w:hAnsi="Times New Roman" w:eastAsia="宋体" w:cs="Times New Roman"/>
                <w:color w:val="auto"/>
                <w:kern w:val="2"/>
                <w:sz w:val="21"/>
                <w:szCs w:val="21"/>
                <w:lang w:val="en-US" w:eastAsia="zh-CN" w:bidi="ar"/>
              </w:rPr>
            </w:pPr>
            <w:r>
              <w:rPr>
                <w:rStyle w:val="90"/>
                <w:rFonts w:hint="eastAsia" w:ascii="Times New Roman" w:hAnsi="Times New Roman" w:eastAsia="宋体" w:cs="Times New Roman"/>
                <w:color w:val="auto"/>
                <w:kern w:val="2"/>
                <w:sz w:val="21"/>
                <w:szCs w:val="21"/>
                <w:lang w:val="en-US" w:eastAsia="zh-CN" w:bidi="ar"/>
              </w:rPr>
              <w:t>1.具有本科或以上学历的，每有一人得2分，最高得4分；</w:t>
            </w:r>
          </w:p>
          <w:p>
            <w:pPr>
              <w:rPr>
                <w:rStyle w:val="90"/>
                <w:rFonts w:hint="eastAsia" w:ascii="Times New Roman" w:hAnsi="Times New Roman" w:eastAsia="宋体" w:cs="Times New Roman"/>
                <w:color w:val="auto"/>
                <w:kern w:val="2"/>
                <w:sz w:val="21"/>
                <w:szCs w:val="21"/>
                <w:lang w:val="en-US" w:eastAsia="zh-CN" w:bidi="ar"/>
              </w:rPr>
            </w:pPr>
            <w:r>
              <w:rPr>
                <w:rStyle w:val="90"/>
                <w:rFonts w:hint="eastAsia" w:ascii="Times New Roman" w:hAnsi="Times New Roman" w:eastAsia="宋体" w:cs="Times New Roman"/>
                <w:color w:val="auto"/>
                <w:kern w:val="2"/>
                <w:sz w:val="21"/>
                <w:szCs w:val="21"/>
                <w:lang w:val="en-US" w:eastAsia="zh-CN" w:bidi="ar"/>
              </w:rPr>
              <w:t>2.具有政府部门（或事业单位）安全技术服务工作经验的，每有1人得4分，最高得4分；</w:t>
            </w:r>
          </w:p>
          <w:p>
            <w:pPr>
              <w:rPr>
                <w:rStyle w:val="90"/>
                <w:rFonts w:hint="eastAsia" w:ascii="Times New Roman" w:hAnsi="Times New Roman" w:eastAsia="宋体" w:cs="Times New Roman"/>
                <w:color w:val="auto"/>
                <w:kern w:val="2"/>
                <w:sz w:val="21"/>
                <w:szCs w:val="21"/>
                <w:lang w:val="en-US" w:eastAsia="zh-CN" w:bidi="ar"/>
              </w:rPr>
            </w:pPr>
            <w:r>
              <w:rPr>
                <w:rStyle w:val="90"/>
                <w:rFonts w:hint="eastAsia" w:ascii="Times New Roman" w:hAnsi="Times New Roman" w:eastAsia="宋体" w:cs="Times New Roman"/>
                <w:color w:val="auto"/>
                <w:kern w:val="2"/>
                <w:sz w:val="21"/>
                <w:szCs w:val="21"/>
                <w:lang w:val="en-US" w:eastAsia="zh-CN" w:bidi="ar"/>
              </w:rPr>
              <w:t>同一人满足以上两项得分要求的不可重复得分，只计最高得分项。</w:t>
            </w:r>
          </w:p>
          <w:p>
            <w:pPr>
              <w:rPr>
                <w:rStyle w:val="90"/>
                <w:rFonts w:hint="eastAsia" w:ascii="Times New Roman" w:hAnsi="Times New Roman" w:eastAsia="宋体" w:cs="Times New Roman"/>
                <w:color w:val="auto"/>
                <w:kern w:val="2"/>
                <w:sz w:val="21"/>
                <w:szCs w:val="21"/>
                <w:lang w:val="en-US" w:eastAsia="zh-CN" w:bidi="ar"/>
              </w:rPr>
            </w:pPr>
            <w:r>
              <w:rPr>
                <w:rStyle w:val="90"/>
                <w:rFonts w:hint="eastAsia" w:ascii="Times New Roman" w:hAnsi="Times New Roman" w:eastAsia="宋体" w:cs="Times New Roman"/>
                <w:color w:val="auto"/>
                <w:kern w:val="2"/>
                <w:sz w:val="21"/>
                <w:szCs w:val="21"/>
                <w:lang w:val="en-US" w:eastAsia="zh-CN" w:bidi="ar"/>
              </w:rPr>
              <w:t>（二）评分依据：</w:t>
            </w:r>
          </w:p>
          <w:p>
            <w:pPr>
              <w:rPr>
                <w:rStyle w:val="90"/>
                <w:rFonts w:hint="eastAsia" w:ascii="Times New Roman" w:hAnsi="Times New Roman" w:eastAsia="宋体" w:cs="Times New Roman"/>
                <w:color w:val="auto"/>
                <w:kern w:val="2"/>
                <w:sz w:val="21"/>
                <w:szCs w:val="21"/>
                <w:lang w:val="en-US" w:eastAsia="zh-CN" w:bidi="ar"/>
              </w:rPr>
            </w:pPr>
            <w:r>
              <w:rPr>
                <w:rStyle w:val="90"/>
                <w:rFonts w:hint="eastAsia" w:ascii="Times New Roman" w:hAnsi="Times New Roman" w:eastAsia="宋体" w:cs="Times New Roman"/>
                <w:color w:val="auto"/>
                <w:kern w:val="2"/>
                <w:sz w:val="21"/>
                <w:szCs w:val="21"/>
                <w:lang w:val="en-US" w:eastAsia="zh-CN" w:bidi="ar"/>
              </w:rPr>
              <w:t>1.涉及学历的，需同时提供学历证书及学历认证报告或学信网（https://www.chsi.om.cn/）查询截图。学信网无法查询的，可提供其他佐证材料（如毕业院校、人社部门等颁发机构或监管机构等单位出具的证明），留学归国人员如无法提供学信网查询记录截图，提供国（境）外学历证书扫描件（以及中文翻译件）和教育部留学服务中心出具的国外学历学位认证书扫描件【或教育部留学服务中心网站（http://zwfw.cscse.edu.cn/）在线查询截图】也予以认。</w:t>
            </w:r>
          </w:p>
          <w:p>
            <w:pPr>
              <w:rPr>
                <w:rStyle w:val="90"/>
                <w:rFonts w:hint="eastAsia" w:ascii="Times New Roman" w:hAnsi="Times New Roman" w:eastAsia="宋体" w:cs="Times New Roman"/>
                <w:color w:val="auto"/>
                <w:kern w:val="2"/>
                <w:sz w:val="21"/>
                <w:szCs w:val="21"/>
                <w:lang w:val="en-US" w:eastAsia="zh-CN" w:bidi="ar"/>
              </w:rPr>
            </w:pPr>
            <w:r>
              <w:rPr>
                <w:rStyle w:val="90"/>
                <w:rFonts w:hint="eastAsia" w:ascii="Times New Roman" w:hAnsi="Times New Roman" w:eastAsia="宋体" w:cs="Times New Roman"/>
                <w:color w:val="auto"/>
                <w:kern w:val="2"/>
                <w:sz w:val="21"/>
                <w:szCs w:val="21"/>
                <w:lang w:val="en-US" w:eastAsia="zh-CN" w:bidi="ar"/>
              </w:rPr>
              <w:t>2.涉及人员社保的,要求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pPr>
              <w:rPr>
                <w:rStyle w:val="90"/>
                <w:rFonts w:hint="eastAsia" w:ascii="Times New Roman" w:hAnsi="Times New Roman" w:eastAsia="宋体" w:cs="Times New Roman"/>
                <w:color w:val="auto"/>
                <w:kern w:val="2"/>
                <w:sz w:val="21"/>
                <w:szCs w:val="21"/>
                <w:lang w:val="en-US" w:eastAsia="zh-CN" w:bidi="ar"/>
              </w:rPr>
            </w:pPr>
            <w:r>
              <w:rPr>
                <w:rStyle w:val="90"/>
                <w:rFonts w:hint="eastAsia" w:ascii="Times New Roman" w:hAnsi="Times New Roman" w:eastAsia="宋体" w:cs="Times New Roman"/>
                <w:color w:val="auto"/>
                <w:kern w:val="2"/>
                <w:sz w:val="21"/>
                <w:szCs w:val="21"/>
                <w:lang w:val="en-US" w:eastAsia="zh-CN" w:bidi="ar"/>
              </w:rPr>
              <w:t>3.证书资料要求提供原件扫描件（或官方网站截图）。</w:t>
            </w:r>
          </w:p>
          <w:p>
            <w:pPr>
              <w:rPr>
                <w:rStyle w:val="90"/>
                <w:rFonts w:hint="eastAsia" w:ascii="Times New Roman" w:hAnsi="Times New Roman" w:eastAsia="宋体" w:cs="Times New Roman"/>
                <w:color w:val="auto"/>
                <w:kern w:val="2"/>
                <w:sz w:val="21"/>
                <w:szCs w:val="21"/>
                <w:lang w:val="en-US" w:eastAsia="zh-CN" w:bidi="ar"/>
              </w:rPr>
            </w:pPr>
            <w:r>
              <w:rPr>
                <w:rStyle w:val="90"/>
                <w:rFonts w:hint="eastAsia" w:ascii="Times New Roman" w:hAnsi="Times New Roman" w:eastAsia="宋体" w:cs="Times New Roman"/>
                <w:color w:val="auto"/>
                <w:kern w:val="2"/>
                <w:sz w:val="21"/>
                <w:szCs w:val="21"/>
                <w:lang w:val="en-US" w:eastAsia="zh-CN" w:bidi="ar"/>
              </w:rPr>
              <w:t>4、涉及考察人员工作经验的，要求提供项目合同关键信息作为得分依据，通过合同关键信息无法判断是否得分的，还须同时提供合同采购方出具的证明文件。</w:t>
            </w:r>
          </w:p>
          <w:p>
            <w:pPr>
              <w:rPr>
                <w:rStyle w:val="90"/>
                <w:rFonts w:hint="eastAsia" w:ascii="Times New Roman" w:hAnsi="Times New Roman" w:eastAsia="宋体" w:cs="Times New Roman"/>
                <w:color w:val="auto"/>
                <w:kern w:val="2"/>
                <w:sz w:val="21"/>
                <w:szCs w:val="21"/>
                <w:lang w:val="en-US" w:eastAsia="zh-CN" w:bidi="ar"/>
              </w:rPr>
            </w:pPr>
            <w:r>
              <w:rPr>
                <w:rStyle w:val="90"/>
                <w:rFonts w:hint="eastAsia" w:ascii="Times New Roman" w:hAnsi="Times New Roman" w:eastAsia="宋体" w:cs="Times New Roman"/>
                <w:color w:val="auto"/>
                <w:kern w:val="2"/>
                <w:sz w:val="21"/>
                <w:szCs w:val="21"/>
                <w:lang w:val="en-US" w:eastAsia="zh-CN" w:bidi="ar"/>
              </w:rPr>
              <w:t>备注：以上资料均要求提供扫描件，原件备查，评分中出现无证明资料或证书过期或专家无法凭所提供资料判断是否得分的情况，一律作不得分处理。证明文件须加盖公章，否则该项不得分。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gridAfter w:val="1"/>
          <w:wAfter w:w="101" w:type="dxa"/>
          <w:tblCellSpacing w:w="0" w:type="dxa"/>
          <w:jc w:val="center"/>
        </w:trPr>
        <w:tc>
          <w:tcPr>
            <w:tcW w:w="681" w:type="dxa"/>
            <w:gridSpan w:val="2"/>
            <w:vMerge w:val="continue"/>
            <w:tcBorders>
              <w:left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hint="eastAsia" w:eastAsia="宋体"/>
                <w:szCs w:val="21"/>
                <w:lang w:eastAsia="zh-CN"/>
              </w:rPr>
            </w:pPr>
            <w:r>
              <w:rPr>
                <w:rFonts w:hint="eastAsia"/>
                <w:szCs w:val="21"/>
                <w:lang w:val="en-US" w:eastAsia="zh-CN"/>
              </w:rPr>
              <w:t>3</w:t>
            </w:r>
          </w:p>
        </w:tc>
        <w:tc>
          <w:tcPr>
            <w:tcW w:w="2543" w:type="dxa"/>
            <w:tcBorders>
              <w:top w:val="single" w:color="000000" w:sz="8" w:space="0"/>
              <w:left w:val="single" w:color="000000" w:sz="8" w:space="0"/>
              <w:bottom w:val="single" w:color="000000" w:sz="8" w:space="0"/>
              <w:right w:val="single" w:color="000000" w:sz="8" w:space="0"/>
            </w:tcBorders>
            <w:vAlign w:val="center"/>
          </w:tcPr>
          <w:p>
            <w:pPr>
              <w:widowControl/>
              <w:spacing w:line="440" w:lineRule="exact"/>
              <w:jc w:val="center"/>
              <w:textAlignment w:val="center"/>
              <w:rPr>
                <w:szCs w:val="21"/>
              </w:rPr>
            </w:pPr>
            <w:r>
              <w:rPr>
                <w:rFonts w:hint="eastAsia"/>
                <w:szCs w:val="21"/>
              </w:rPr>
              <w:t>同类项目业绩能力</w:t>
            </w:r>
          </w:p>
        </w:tc>
        <w:tc>
          <w:tcPr>
            <w:tcW w:w="724" w:type="dxa"/>
            <w:tcBorders>
              <w:top w:val="single" w:color="000000" w:sz="8" w:space="0"/>
              <w:left w:val="single" w:color="000000" w:sz="8" w:space="0"/>
              <w:bottom w:val="single" w:color="000000" w:sz="8" w:space="0"/>
              <w:right w:val="single" w:color="000000" w:sz="8" w:space="0"/>
            </w:tcBorders>
            <w:vAlign w:val="center"/>
          </w:tcPr>
          <w:p>
            <w:pPr>
              <w:widowControl/>
              <w:spacing w:line="440" w:lineRule="exact"/>
              <w:jc w:val="center"/>
              <w:textAlignment w:val="center"/>
              <w:rPr>
                <w:rFonts w:hint="default" w:eastAsia="宋体"/>
                <w:szCs w:val="21"/>
                <w:lang w:val="en-US" w:eastAsia="zh-CN"/>
              </w:rPr>
            </w:pPr>
            <w:r>
              <w:rPr>
                <w:rFonts w:hint="eastAsia"/>
                <w:szCs w:val="21"/>
                <w:lang w:val="en-US" w:eastAsia="zh-CN"/>
              </w:rPr>
              <w:t>10</w:t>
            </w:r>
          </w:p>
        </w:tc>
        <w:tc>
          <w:tcPr>
            <w:tcW w:w="4447" w:type="dxa"/>
            <w:gridSpan w:val="2"/>
            <w:tcBorders>
              <w:top w:val="single" w:color="000000" w:sz="8" w:space="0"/>
              <w:left w:val="single" w:color="000000" w:sz="8" w:space="0"/>
              <w:bottom w:val="single" w:color="000000" w:sz="8" w:space="0"/>
              <w:right w:val="single" w:color="000000" w:sz="8" w:space="0"/>
            </w:tcBorders>
            <w:vAlign w:val="center"/>
          </w:tcPr>
          <w:p>
            <w:pPr>
              <w:rPr>
                <w:rStyle w:val="90"/>
                <w:rFonts w:hint="eastAsia" w:ascii="Times New Roman" w:hAnsi="Times New Roman" w:eastAsia="宋体" w:cs="Times New Roman"/>
                <w:color w:val="auto"/>
                <w:kern w:val="2"/>
                <w:sz w:val="21"/>
                <w:szCs w:val="21"/>
                <w:lang w:val="en-US" w:eastAsia="zh-CN" w:bidi="ar"/>
              </w:rPr>
            </w:pPr>
            <w:r>
              <w:rPr>
                <w:rStyle w:val="90"/>
                <w:rFonts w:hint="eastAsia" w:ascii="Times New Roman" w:hAnsi="Times New Roman" w:eastAsia="宋体" w:cs="Times New Roman"/>
                <w:color w:val="auto"/>
                <w:kern w:val="2"/>
                <w:sz w:val="21"/>
                <w:szCs w:val="21"/>
                <w:lang w:val="en-US" w:eastAsia="zh-CN" w:bidi="ar"/>
              </w:rPr>
              <w:t>（一）评分内容：</w:t>
            </w:r>
          </w:p>
          <w:p>
            <w:pPr>
              <w:rPr>
                <w:rStyle w:val="90"/>
                <w:rFonts w:hint="eastAsia" w:ascii="Times New Roman" w:hAnsi="Times New Roman" w:eastAsia="宋体" w:cs="Times New Roman"/>
                <w:color w:val="auto"/>
                <w:kern w:val="2"/>
                <w:sz w:val="21"/>
                <w:szCs w:val="21"/>
                <w:lang w:val="en-US" w:eastAsia="zh-CN" w:bidi="ar"/>
              </w:rPr>
            </w:pPr>
            <w:r>
              <w:rPr>
                <w:rStyle w:val="90"/>
                <w:rFonts w:hint="eastAsia" w:ascii="Times New Roman" w:hAnsi="Times New Roman" w:eastAsia="宋体" w:cs="Times New Roman"/>
                <w:color w:val="auto"/>
                <w:kern w:val="2"/>
                <w:sz w:val="21"/>
                <w:szCs w:val="21"/>
                <w:lang w:val="en-US" w:eastAsia="zh-CN" w:bidi="ar"/>
              </w:rPr>
              <w:t>投标供应商提供2023年1月1日至本项目截标之日签订</w:t>
            </w:r>
            <w:bookmarkStart w:id="197" w:name="_GoBack"/>
            <w:bookmarkEnd w:id="197"/>
            <w:r>
              <w:rPr>
                <w:rStyle w:val="90"/>
                <w:rFonts w:hint="eastAsia" w:ascii="Times New Roman" w:hAnsi="Times New Roman" w:eastAsia="宋体" w:cs="Times New Roman"/>
                <w:color w:val="auto"/>
                <w:kern w:val="2"/>
                <w:sz w:val="21"/>
                <w:szCs w:val="21"/>
                <w:lang w:val="en-US" w:eastAsia="zh-CN" w:bidi="ar"/>
              </w:rPr>
              <w:t>的建筑工地类或小散工程类安全巡查、检查督导相关合同情况（以合同签订之日为准）。合同甲方须为政府部门（或事业单位），每提供一个得5分，同一采购人只计算一次得分，最高得10分。</w:t>
            </w:r>
          </w:p>
          <w:p>
            <w:pPr>
              <w:rPr>
                <w:rStyle w:val="90"/>
                <w:rFonts w:hint="eastAsia" w:ascii="Times New Roman" w:hAnsi="Times New Roman" w:eastAsia="宋体" w:cs="Times New Roman"/>
                <w:color w:val="auto"/>
                <w:kern w:val="2"/>
                <w:sz w:val="21"/>
                <w:szCs w:val="21"/>
                <w:lang w:val="en-US" w:eastAsia="zh-CN" w:bidi="ar"/>
              </w:rPr>
            </w:pPr>
            <w:r>
              <w:rPr>
                <w:rStyle w:val="90"/>
                <w:rFonts w:hint="eastAsia" w:ascii="Times New Roman" w:hAnsi="Times New Roman" w:eastAsia="宋体" w:cs="Times New Roman"/>
                <w:color w:val="auto"/>
                <w:kern w:val="2"/>
                <w:sz w:val="21"/>
                <w:szCs w:val="21"/>
                <w:lang w:val="en-US" w:eastAsia="zh-CN" w:bidi="ar"/>
              </w:rPr>
              <w:t>（二）评分依据：</w:t>
            </w:r>
          </w:p>
          <w:p>
            <w:pPr>
              <w:rPr>
                <w:rStyle w:val="90"/>
                <w:rFonts w:hint="eastAsia" w:ascii="Times New Roman" w:hAnsi="Times New Roman" w:eastAsia="宋体" w:cs="Times New Roman"/>
                <w:color w:val="auto"/>
                <w:kern w:val="2"/>
                <w:sz w:val="21"/>
                <w:szCs w:val="21"/>
                <w:lang w:val="en-US" w:eastAsia="zh-CN" w:bidi="ar"/>
              </w:rPr>
            </w:pPr>
            <w:r>
              <w:rPr>
                <w:rStyle w:val="90"/>
                <w:rFonts w:hint="eastAsia" w:ascii="Times New Roman" w:hAnsi="Times New Roman" w:eastAsia="宋体" w:cs="Times New Roman"/>
                <w:color w:val="auto"/>
                <w:kern w:val="2"/>
                <w:sz w:val="21"/>
                <w:szCs w:val="21"/>
                <w:lang w:val="en-US" w:eastAsia="zh-CN" w:bidi="ar"/>
              </w:rPr>
              <w:t>要求提供合同关键信息（包括但不限于合同标的、签订时间、双方签章页）作为得分依据，通过合同关键信息无法判断是否得分的，还须同时提供能证明得分的其它证明资料，如项目报告或合同甲方出具的证明文件等。评分中出现无证明资料或专家无法凭所提供资料判断是否得分的情况，一律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gridAfter w:val="1"/>
          <w:wAfter w:w="101" w:type="dxa"/>
          <w:tblCellSpacing w:w="0" w:type="dxa"/>
          <w:jc w:val="center"/>
        </w:trPr>
        <w:tc>
          <w:tcPr>
            <w:tcW w:w="681" w:type="dxa"/>
            <w:gridSpan w:val="2"/>
            <w:vMerge w:val="continue"/>
            <w:tcBorders>
              <w:left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hint="eastAsia" w:eastAsia="宋体"/>
                <w:szCs w:val="21"/>
                <w:lang w:eastAsia="zh-CN"/>
              </w:rPr>
            </w:pPr>
            <w:r>
              <w:rPr>
                <w:rFonts w:hint="eastAsia"/>
                <w:szCs w:val="21"/>
                <w:lang w:val="en-US" w:eastAsia="zh-CN"/>
              </w:rPr>
              <w:t>4</w:t>
            </w:r>
          </w:p>
        </w:tc>
        <w:tc>
          <w:tcPr>
            <w:tcW w:w="2543" w:type="dxa"/>
            <w:tcBorders>
              <w:top w:val="single" w:color="000000" w:sz="8" w:space="0"/>
              <w:left w:val="single" w:color="000000" w:sz="8" w:space="0"/>
              <w:bottom w:val="single" w:color="000000" w:sz="8" w:space="0"/>
              <w:right w:val="single" w:color="000000" w:sz="8" w:space="0"/>
            </w:tcBorders>
            <w:vAlign w:val="center"/>
          </w:tcPr>
          <w:p>
            <w:pPr>
              <w:widowControl/>
              <w:spacing w:line="240" w:lineRule="atLeast"/>
              <w:jc w:val="center"/>
              <w:textAlignment w:val="center"/>
              <w:rPr>
                <w:szCs w:val="21"/>
              </w:rPr>
            </w:pPr>
            <w:r>
              <w:rPr>
                <w:rFonts w:hint="eastAsia"/>
                <w:szCs w:val="21"/>
              </w:rPr>
              <w:t>履约评价</w:t>
            </w:r>
          </w:p>
        </w:tc>
        <w:tc>
          <w:tcPr>
            <w:tcW w:w="724" w:type="dxa"/>
            <w:tcBorders>
              <w:top w:val="single" w:color="000000" w:sz="8" w:space="0"/>
              <w:left w:val="single" w:color="000000" w:sz="8" w:space="0"/>
              <w:bottom w:val="single" w:color="000000" w:sz="8" w:space="0"/>
              <w:right w:val="single" w:color="000000" w:sz="8" w:space="0"/>
            </w:tcBorders>
            <w:vAlign w:val="center"/>
          </w:tcPr>
          <w:p>
            <w:pPr>
              <w:widowControl/>
              <w:spacing w:line="440" w:lineRule="exact"/>
              <w:jc w:val="center"/>
              <w:textAlignment w:val="center"/>
              <w:rPr>
                <w:rFonts w:hint="default" w:eastAsia="宋体"/>
                <w:szCs w:val="21"/>
                <w:highlight w:val="none"/>
                <w:lang w:val="en-US" w:eastAsia="zh-CN"/>
              </w:rPr>
            </w:pPr>
            <w:r>
              <w:rPr>
                <w:rFonts w:hint="eastAsia"/>
                <w:szCs w:val="21"/>
                <w:highlight w:val="none"/>
                <w:lang w:val="en-US" w:eastAsia="zh-CN"/>
              </w:rPr>
              <w:t>10</w:t>
            </w:r>
          </w:p>
        </w:tc>
        <w:tc>
          <w:tcPr>
            <w:tcW w:w="4447" w:type="dxa"/>
            <w:gridSpan w:val="2"/>
            <w:tcBorders>
              <w:top w:val="single" w:color="000000" w:sz="8" w:space="0"/>
              <w:left w:val="single" w:color="000000" w:sz="8" w:space="0"/>
              <w:bottom w:val="single" w:color="000000" w:sz="8" w:space="0"/>
              <w:right w:val="single" w:color="000000" w:sz="8" w:space="0"/>
            </w:tcBorders>
            <w:vAlign w:val="center"/>
          </w:tcPr>
          <w:p>
            <w:pPr>
              <w:rPr>
                <w:rStyle w:val="90"/>
                <w:rFonts w:hint="eastAsia" w:ascii="Times New Roman" w:hAnsi="Times New Roman" w:eastAsia="宋体" w:cs="Times New Roman"/>
                <w:color w:val="auto"/>
                <w:kern w:val="2"/>
                <w:sz w:val="21"/>
                <w:szCs w:val="21"/>
                <w:lang w:val="en-US" w:eastAsia="zh-CN" w:bidi="ar"/>
              </w:rPr>
            </w:pPr>
            <w:r>
              <w:rPr>
                <w:rStyle w:val="90"/>
                <w:rFonts w:hint="eastAsia" w:ascii="Times New Roman" w:hAnsi="Times New Roman" w:eastAsia="宋体" w:cs="Times New Roman"/>
                <w:color w:val="auto"/>
                <w:kern w:val="2"/>
                <w:sz w:val="21"/>
                <w:szCs w:val="21"/>
                <w:lang w:val="en-US" w:eastAsia="zh-CN" w:bidi="ar"/>
              </w:rPr>
              <w:t>（一）评分内容：</w:t>
            </w:r>
            <w:r>
              <w:rPr>
                <w:rStyle w:val="90"/>
                <w:rFonts w:hint="eastAsia" w:ascii="Times New Roman" w:hAnsi="Times New Roman" w:eastAsia="宋体" w:cs="Times New Roman"/>
                <w:color w:val="auto"/>
                <w:kern w:val="2"/>
                <w:sz w:val="21"/>
                <w:szCs w:val="21"/>
                <w:lang w:val="en-US" w:eastAsia="zh-CN" w:bidi="ar"/>
              </w:rPr>
              <w:br w:type="textWrapping"/>
            </w:r>
            <w:r>
              <w:rPr>
                <w:rStyle w:val="90"/>
                <w:rFonts w:hint="eastAsia" w:ascii="Times New Roman" w:hAnsi="Times New Roman" w:eastAsia="宋体" w:cs="Times New Roman"/>
                <w:color w:val="auto"/>
                <w:kern w:val="2"/>
                <w:sz w:val="21"/>
                <w:szCs w:val="21"/>
                <w:lang w:val="en-US" w:eastAsia="zh-CN" w:bidi="ar"/>
              </w:rPr>
              <w:t>提供合同甲方就投标供应商于上述第3项同类项目业绩能力中，所提供合同的履约评价（或满意度评价，或验收合格证明）。评价为优/优秀/满意或最高评价的履约评价或验收合格证明文件，每提供一份得5分，最高得10分。</w:t>
            </w:r>
            <w:r>
              <w:rPr>
                <w:rStyle w:val="90"/>
                <w:rFonts w:hint="eastAsia" w:ascii="Times New Roman" w:hAnsi="Times New Roman" w:eastAsia="宋体" w:cs="Times New Roman"/>
                <w:color w:val="auto"/>
                <w:kern w:val="2"/>
                <w:sz w:val="21"/>
                <w:szCs w:val="21"/>
                <w:lang w:val="en-US" w:eastAsia="zh-CN" w:bidi="ar"/>
              </w:rPr>
              <w:br w:type="textWrapping"/>
            </w:r>
            <w:r>
              <w:rPr>
                <w:rStyle w:val="90"/>
                <w:rFonts w:hint="eastAsia" w:ascii="Times New Roman" w:hAnsi="Times New Roman" w:eastAsia="宋体" w:cs="Times New Roman"/>
                <w:color w:val="auto"/>
                <w:kern w:val="2"/>
                <w:sz w:val="21"/>
                <w:szCs w:val="21"/>
                <w:lang w:val="en-US" w:eastAsia="zh-CN" w:bidi="ar"/>
              </w:rPr>
              <w:t>（二）评分依据：</w:t>
            </w:r>
            <w:r>
              <w:rPr>
                <w:rStyle w:val="90"/>
                <w:rFonts w:hint="eastAsia" w:ascii="Times New Roman" w:hAnsi="Times New Roman" w:eastAsia="宋体" w:cs="Times New Roman"/>
                <w:color w:val="auto"/>
                <w:kern w:val="2"/>
                <w:sz w:val="21"/>
                <w:szCs w:val="21"/>
                <w:lang w:val="en-US" w:eastAsia="zh-CN" w:bidi="ar"/>
              </w:rPr>
              <w:br w:type="textWrapping"/>
            </w:r>
            <w:r>
              <w:rPr>
                <w:rStyle w:val="90"/>
                <w:rFonts w:hint="eastAsia" w:ascii="Times New Roman" w:hAnsi="Times New Roman" w:eastAsia="宋体" w:cs="Times New Roman"/>
                <w:color w:val="auto"/>
                <w:kern w:val="2"/>
                <w:sz w:val="21"/>
                <w:szCs w:val="21"/>
                <w:lang w:val="en-US" w:eastAsia="zh-CN" w:bidi="ar"/>
              </w:rPr>
              <w:t>提供履约评价文件（或满意度评价，或验收合格证明），须加盖合同甲方公章（或甲方业务章）作为得分依据，原件备查。评分中出现无证明资料或证书过期或专家无法凭所提供资料判断是否得分的情况，一律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gridAfter w:val="1"/>
          <w:wAfter w:w="101" w:type="dxa"/>
          <w:tblCellSpacing w:w="0" w:type="dxa"/>
          <w:jc w:val="center"/>
        </w:trPr>
        <w:tc>
          <w:tcPr>
            <w:tcW w:w="681" w:type="dxa"/>
            <w:gridSpan w:val="2"/>
            <w:vMerge w:val="continue"/>
            <w:tcBorders>
              <w:left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hint="eastAsia" w:ascii="宋体" w:hAnsi="宋体" w:eastAsia="宋体" w:cs="宋体"/>
                <w:szCs w:val="21"/>
                <w:lang w:eastAsia="zh-CN"/>
              </w:rPr>
            </w:pPr>
            <w:r>
              <w:rPr>
                <w:rFonts w:hint="eastAsia" w:ascii="宋体" w:hAnsi="宋体" w:cs="宋体"/>
                <w:szCs w:val="21"/>
                <w:lang w:val="en-US" w:eastAsia="zh-CN"/>
              </w:rPr>
              <w:t>5</w:t>
            </w:r>
          </w:p>
        </w:tc>
        <w:tc>
          <w:tcPr>
            <w:tcW w:w="2543" w:type="dxa"/>
            <w:tcBorders>
              <w:top w:val="single" w:color="000000" w:sz="8" w:space="0"/>
              <w:left w:val="single" w:color="000000" w:sz="8" w:space="0"/>
              <w:bottom w:val="single" w:color="000000" w:sz="8" w:space="0"/>
              <w:right w:val="single" w:color="000000" w:sz="8" w:space="0"/>
            </w:tcBorders>
            <w:vAlign w:val="center"/>
          </w:tcPr>
          <w:p>
            <w:pPr>
              <w:widowControl/>
              <w:spacing w:line="440" w:lineRule="exact"/>
              <w:jc w:val="center"/>
              <w:textAlignment w:val="center"/>
              <w:rPr>
                <w:szCs w:val="21"/>
              </w:rPr>
            </w:pPr>
            <w:r>
              <w:rPr>
                <w:rFonts w:hint="eastAsia" w:ascii="宋体" w:hAnsi="宋体" w:cs="宋体"/>
                <w:szCs w:val="21"/>
              </w:rPr>
              <w:t>企业相关认证情况</w:t>
            </w:r>
          </w:p>
        </w:tc>
        <w:tc>
          <w:tcPr>
            <w:tcW w:w="724" w:type="dxa"/>
            <w:tcBorders>
              <w:top w:val="single" w:color="000000" w:sz="8" w:space="0"/>
              <w:left w:val="single" w:color="000000" w:sz="8" w:space="0"/>
              <w:bottom w:val="single" w:color="000000" w:sz="8" w:space="0"/>
              <w:right w:val="single" w:color="000000" w:sz="8" w:space="0"/>
            </w:tcBorders>
            <w:vAlign w:val="center"/>
          </w:tcPr>
          <w:p>
            <w:pPr>
              <w:widowControl/>
              <w:spacing w:line="440" w:lineRule="exact"/>
              <w:jc w:val="center"/>
              <w:textAlignment w:val="center"/>
              <w:rPr>
                <w:rFonts w:hint="eastAsia" w:eastAsia="宋体"/>
                <w:szCs w:val="21"/>
                <w:lang w:eastAsia="zh-CN"/>
              </w:rPr>
            </w:pPr>
            <w:r>
              <w:rPr>
                <w:rFonts w:hint="eastAsia"/>
                <w:szCs w:val="21"/>
                <w:lang w:val="en-US" w:eastAsia="zh-CN"/>
              </w:rPr>
              <w:t>9</w:t>
            </w:r>
          </w:p>
        </w:tc>
        <w:tc>
          <w:tcPr>
            <w:tcW w:w="4447" w:type="dxa"/>
            <w:gridSpan w:val="2"/>
            <w:tcBorders>
              <w:top w:val="single" w:color="000000" w:sz="8" w:space="0"/>
              <w:left w:val="single" w:color="000000" w:sz="8" w:space="0"/>
              <w:bottom w:val="single" w:color="000000" w:sz="8" w:space="0"/>
              <w:right w:val="single" w:color="000000" w:sz="8" w:space="0"/>
            </w:tcBorders>
            <w:vAlign w:val="center"/>
          </w:tcPr>
          <w:p>
            <w:pPr>
              <w:rPr>
                <w:rStyle w:val="90"/>
                <w:rFonts w:hint="eastAsia" w:ascii="Times New Roman" w:hAnsi="Times New Roman" w:eastAsia="宋体" w:cs="Times New Roman"/>
                <w:color w:val="auto"/>
                <w:kern w:val="2"/>
                <w:sz w:val="21"/>
                <w:szCs w:val="21"/>
                <w:lang w:val="en-US" w:eastAsia="zh-CN" w:bidi="ar"/>
              </w:rPr>
            </w:pPr>
            <w:r>
              <w:rPr>
                <w:rStyle w:val="90"/>
                <w:rFonts w:hint="eastAsia" w:ascii="Times New Roman" w:hAnsi="Times New Roman" w:eastAsia="宋体" w:cs="Times New Roman"/>
                <w:color w:val="auto"/>
                <w:kern w:val="2"/>
                <w:sz w:val="21"/>
                <w:szCs w:val="21"/>
                <w:lang w:val="en-US" w:eastAsia="zh-CN" w:bidi="ar"/>
              </w:rPr>
              <w:t>（一）评分内容：</w:t>
            </w:r>
          </w:p>
          <w:p>
            <w:pPr>
              <w:rPr>
                <w:rStyle w:val="90"/>
                <w:rFonts w:hint="eastAsia" w:ascii="Times New Roman" w:hAnsi="Times New Roman" w:eastAsia="宋体" w:cs="Times New Roman"/>
                <w:color w:val="auto"/>
                <w:kern w:val="2"/>
                <w:sz w:val="21"/>
                <w:szCs w:val="21"/>
                <w:lang w:val="en-US" w:eastAsia="zh-CN" w:bidi="ar"/>
              </w:rPr>
            </w:pPr>
            <w:r>
              <w:rPr>
                <w:rStyle w:val="90"/>
                <w:rFonts w:hint="eastAsia" w:ascii="Times New Roman" w:hAnsi="Times New Roman" w:eastAsia="宋体" w:cs="Times New Roman"/>
                <w:color w:val="auto"/>
                <w:kern w:val="2"/>
                <w:sz w:val="21"/>
                <w:szCs w:val="21"/>
                <w:lang w:val="en-US" w:eastAsia="zh-CN" w:bidi="ar"/>
              </w:rPr>
              <w:t>投标人提供以下认证证书：</w:t>
            </w:r>
          </w:p>
          <w:p>
            <w:pPr>
              <w:rPr>
                <w:rStyle w:val="90"/>
                <w:rFonts w:hint="eastAsia" w:ascii="Times New Roman" w:hAnsi="Times New Roman" w:eastAsia="宋体" w:cs="Times New Roman"/>
                <w:color w:val="auto"/>
                <w:kern w:val="2"/>
                <w:sz w:val="21"/>
                <w:szCs w:val="21"/>
                <w:lang w:val="en-US" w:eastAsia="zh-CN" w:bidi="ar"/>
              </w:rPr>
            </w:pPr>
            <w:r>
              <w:rPr>
                <w:rStyle w:val="90"/>
                <w:rFonts w:hint="eastAsia" w:cs="Times New Roman"/>
                <w:color w:val="auto"/>
                <w:kern w:val="2"/>
                <w:sz w:val="21"/>
                <w:szCs w:val="21"/>
                <w:lang w:val="en-US" w:eastAsia="zh-CN" w:bidi="ar"/>
              </w:rPr>
              <w:t>1.</w:t>
            </w:r>
            <w:r>
              <w:rPr>
                <w:rStyle w:val="90"/>
                <w:rFonts w:hint="eastAsia" w:ascii="Times New Roman" w:hAnsi="Times New Roman" w:eastAsia="宋体" w:cs="Times New Roman"/>
                <w:color w:val="auto"/>
                <w:kern w:val="2"/>
                <w:sz w:val="21"/>
                <w:szCs w:val="21"/>
                <w:lang w:val="en-US" w:eastAsia="zh-CN" w:bidi="ar"/>
              </w:rPr>
              <w:t>质量管理体系认证证书；</w:t>
            </w:r>
          </w:p>
          <w:p>
            <w:pPr>
              <w:rPr>
                <w:rStyle w:val="90"/>
                <w:rFonts w:hint="eastAsia" w:ascii="Times New Roman" w:hAnsi="Times New Roman" w:eastAsia="宋体" w:cs="Times New Roman"/>
                <w:color w:val="auto"/>
                <w:kern w:val="2"/>
                <w:sz w:val="21"/>
                <w:szCs w:val="21"/>
                <w:lang w:val="en-US" w:eastAsia="zh-CN" w:bidi="ar"/>
              </w:rPr>
            </w:pPr>
            <w:r>
              <w:rPr>
                <w:rStyle w:val="90"/>
                <w:rFonts w:hint="eastAsia" w:cs="Times New Roman"/>
                <w:color w:val="auto"/>
                <w:kern w:val="2"/>
                <w:sz w:val="21"/>
                <w:szCs w:val="21"/>
                <w:lang w:val="en-US" w:eastAsia="zh-CN" w:bidi="ar"/>
              </w:rPr>
              <w:t>2.</w:t>
            </w:r>
            <w:r>
              <w:rPr>
                <w:rStyle w:val="90"/>
                <w:rFonts w:hint="eastAsia" w:ascii="Times New Roman" w:hAnsi="Times New Roman" w:eastAsia="宋体" w:cs="Times New Roman"/>
                <w:color w:val="auto"/>
                <w:kern w:val="2"/>
                <w:sz w:val="21"/>
                <w:szCs w:val="21"/>
                <w:lang w:val="en-US" w:eastAsia="zh-CN" w:bidi="ar"/>
              </w:rPr>
              <w:t>环境管理体系认证证书；</w:t>
            </w:r>
          </w:p>
          <w:p>
            <w:pPr>
              <w:rPr>
                <w:rStyle w:val="90"/>
                <w:rFonts w:hint="eastAsia" w:ascii="Times New Roman" w:hAnsi="Times New Roman" w:eastAsia="宋体" w:cs="Times New Roman"/>
                <w:color w:val="auto"/>
                <w:kern w:val="2"/>
                <w:sz w:val="21"/>
                <w:szCs w:val="21"/>
                <w:lang w:val="en-US" w:eastAsia="zh-CN" w:bidi="ar"/>
              </w:rPr>
            </w:pPr>
            <w:r>
              <w:rPr>
                <w:rStyle w:val="90"/>
                <w:rFonts w:hint="eastAsia" w:cs="Times New Roman"/>
                <w:color w:val="auto"/>
                <w:kern w:val="2"/>
                <w:sz w:val="21"/>
                <w:szCs w:val="21"/>
                <w:lang w:val="en-US" w:eastAsia="zh-CN" w:bidi="ar"/>
              </w:rPr>
              <w:t>3.</w:t>
            </w:r>
            <w:r>
              <w:rPr>
                <w:rStyle w:val="90"/>
                <w:rFonts w:hint="eastAsia" w:ascii="Times New Roman" w:hAnsi="Times New Roman" w:eastAsia="宋体" w:cs="Times New Roman"/>
                <w:color w:val="auto"/>
                <w:kern w:val="2"/>
                <w:sz w:val="21"/>
                <w:szCs w:val="21"/>
                <w:lang w:val="en-US" w:eastAsia="zh-CN" w:bidi="ar"/>
              </w:rPr>
              <w:t>职业健康安全管理体系认证证书；</w:t>
            </w:r>
          </w:p>
          <w:p>
            <w:pPr>
              <w:rPr>
                <w:rStyle w:val="90"/>
                <w:rFonts w:hint="eastAsia" w:ascii="Times New Roman" w:hAnsi="Times New Roman" w:eastAsia="宋体" w:cs="Times New Roman"/>
                <w:color w:val="auto"/>
                <w:kern w:val="2"/>
                <w:sz w:val="21"/>
                <w:szCs w:val="21"/>
                <w:lang w:val="zh-CN" w:eastAsia="zh-CN" w:bidi="ar"/>
              </w:rPr>
            </w:pPr>
            <w:r>
              <w:rPr>
                <w:rStyle w:val="90"/>
                <w:rFonts w:hint="eastAsia" w:ascii="Times New Roman" w:hAnsi="Times New Roman" w:eastAsia="宋体" w:cs="Times New Roman"/>
                <w:color w:val="auto"/>
                <w:kern w:val="2"/>
                <w:sz w:val="21"/>
                <w:szCs w:val="21"/>
                <w:lang w:val="zh-CN" w:eastAsia="zh-CN" w:bidi="ar"/>
              </w:rPr>
              <w:t>上述证书每提供一项得</w:t>
            </w:r>
            <w:r>
              <w:rPr>
                <w:rStyle w:val="90"/>
                <w:rFonts w:hint="eastAsia" w:ascii="Times New Roman" w:hAnsi="Times New Roman" w:eastAsia="宋体" w:cs="Times New Roman"/>
                <w:color w:val="auto"/>
                <w:kern w:val="2"/>
                <w:sz w:val="21"/>
                <w:szCs w:val="21"/>
                <w:lang w:val="en-US" w:eastAsia="zh-CN" w:bidi="ar"/>
              </w:rPr>
              <w:t>3</w:t>
            </w:r>
            <w:r>
              <w:rPr>
                <w:rStyle w:val="90"/>
                <w:rFonts w:hint="eastAsia" w:ascii="Times New Roman" w:hAnsi="Times New Roman" w:eastAsia="宋体" w:cs="Times New Roman"/>
                <w:color w:val="auto"/>
                <w:kern w:val="2"/>
                <w:sz w:val="21"/>
                <w:szCs w:val="21"/>
                <w:lang w:val="zh-CN" w:eastAsia="zh-CN" w:bidi="ar"/>
              </w:rPr>
              <w:t>分，</w:t>
            </w:r>
            <w:r>
              <w:rPr>
                <w:rStyle w:val="90"/>
                <w:rFonts w:hint="eastAsia" w:ascii="Times New Roman" w:hAnsi="Times New Roman" w:eastAsia="宋体" w:cs="Times New Roman"/>
                <w:color w:val="auto"/>
                <w:kern w:val="2"/>
                <w:sz w:val="21"/>
                <w:szCs w:val="21"/>
                <w:lang w:val="en-US" w:eastAsia="zh-CN" w:bidi="ar"/>
              </w:rPr>
              <w:t>本项最高得9</w:t>
            </w:r>
            <w:r>
              <w:rPr>
                <w:rStyle w:val="90"/>
                <w:rFonts w:hint="eastAsia" w:ascii="Times New Roman" w:hAnsi="Times New Roman" w:eastAsia="宋体" w:cs="Times New Roman"/>
                <w:color w:val="auto"/>
                <w:kern w:val="2"/>
                <w:sz w:val="21"/>
                <w:szCs w:val="21"/>
                <w:lang w:val="zh-CN" w:eastAsia="zh-CN" w:bidi="ar"/>
              </w:rPr>
              <w:t>分。</w:t>
            </w:r>
          </w:p>
          <w:p>
            <w:pPr>
              <w:rPr>
                <w:rStyle w:val="90"/>
                <w:rFonts w:hint="eastAsia" w:ascii="Times New Roman" w:hAnsi="Times New Roman" w:eastAsia="宋体" w:cs="Times New Roman"/>
                <w:color w:val="auto"/>
                <w:kern w:val="2"/>
                <w:sz w:val="21"/>
                <w:szCs w:val="21"/>
                <w:lang w:val="en-US" w:eastAsia="zh-CN" w:bidi="ar"/>
              </w:rPr>
            </w:pPr>
            <w:r>
              <w:rPr>
                <w:rStyle w:val="90"/>
                <w:rFonts w:hint="eastAsia" w:ascii="Times New Roman" w:hAnsi="Times New Roman" w:eastAsia="宋体" w:cs="Times New Roman"/>
                <w:color w:val="auto"/>
                <w:kern w:val="2"/>
                <w:sz w:val="21"/>
                <w:szCs w:val="21"/>
                <w:lang w:val="en-US" w:eastAsia="zh-CN" w:bidi="ar"/>
              </w:rPr>
              <w:t>（二）评分依据：</w:t>
            </w:r>
          </w:p>
          <w:p>
            <w:pPr>
              <w:rPr>
                <w:rStyle w:val="90"/>
                <w:rFonts w:hint="eastAsia" w:ascii="Times New Roman" w:hAnsi="Times New Roman" w:eastAsia="宋体" w:cs="Times New Roman"/>
                <w:color w:val="auto"/>
                <w:kern w:val="2"/>
                <w:sz w:val="21"/>
                <w:szCs w:val="21"/>
                <w:lang w:val="zh-CN" w:eastAsia="zh-CN" w:bidi="ar"/>
              </w:rPr>
            </w:pPr>
            <w:r>
              <w:rPr>
                <w:rStyle w:val="90"/>
                <w:rFonts w:hint="eastAsia" w:ascii="Times New Roman" w:hAnsi="Times New Roman" w:eastAsia="宋体" w:cs="Times New Roman"/>
                <w:color w:val="auto"/>
                <w:kern w:val="2"/>
                <w:sz w:val="21"/>
                <w:szCs w:val="21"/>
                <w:lang w:val="zh-CN" w:eastAsia="zh-CN" w:bidi="ar"/>
              </w:rPr>
              <w:t>投标</w:t>
            </w:r>
            <w:r>
              <w:rPr>
                <w:rStyle w:val="90"/>
                <w:rFonts w:hint="eastAsia" w:ascii="Times New Roman" w:hAnsi="Times New Roman" w:eastAsia="宋体" w:cs="Times New Roman"/>
                <w:color w:val="auto"/>
                <w:kern w:val="2"/>
                <w:sz w:val="21"/>
                <w:szCs w:val="21"/>
                <w:lang w:val="en-US" w:eastAsia="zh-CN" w:bidi="ar"/>
              </w:rPr>
              <w:t>人</w:t>
            </w:r>
            <w:r>
              <w:rPr>
                <w:rStyle w:val="90"/>
                <w:rFonts w:hint="eastAsia" w:ascii="Times New Roman" w:hAnsi="Times New Roman" w:eastAsia="宋体" w:cs="Times New Roman"/>
                <w:color w:val="auto"/>
                <w:kern w:val="2"/>
                <w:sz w:val="21"/>
                <w:szCs w:val="21"/>
                <w:lang w:val="zh-CN" w:eastAsia="zh-CN" w:bidi="ar"/>
              </w:rPr>
              <w:t>提供有效期内的认证证书以及全国认证认可信息公共服务平台（http://cx.cnca.cn/）的认证信息截图（包括但不限于证书编号、证书状态、证书到期日期、组织名称、发证机构名称）并体现网址。</w:t>
            </w:r>
            <w:r>
              <w:rPr>
                <w:rStyle w:val="90"/>
                <w:rFonts w:hint="eastAsia" w:ascii="Times New Roman" w:hAnsi="Times New Roman" w:eastAsia="宋体" w:cs="Times New Roman"/>
                <w:color w:val="auto"/>
                <w:kern w:val="2"/>
                <w:sz w:val="21"/>
                <w:szCs w:val="21"/>
                <w:lang w:val="en-US" w:eastAsia="zh-CN" w:bidi="ar"/>
              </w:rPr>
              <w:t>如投标人成立时间不足三个月，可承诺中标后按招标文件要求获取有关认证证书，投标人提供《承诺函》（格式自拟）作为证明材料；</w:t>
            </w:r>
          </w:p>
          <w:p>
            <w:pPr>
              <w:rPr>
                <w:rStyle w:val="90"/>
                <w:rFonts w:hint="eastAsia" w:ascii="Times New Roman" w:hAnsi="Times New Roman" w:eastAsia="宋体" w:cs="Times New Roman"/>
                <w:color w:val="auto"/>
                <w:kern w:val="2"/>
                <w:sz w:val="21"/>
                <w:szCs w:val="21"/>
                <w:lang w:val="en-US" w:eastAsia="zh-CN" w:bidi="ar"/>
              </w:rPr>
            </w:pPr>
            <w:r>
              <w:rPr>
                <w:rStyle w:val="90"/>
                <w:rFonts w:hint="eastAsia" w:ascii="Times New Roman" w:hAnsi="Times New Roman" w:eastAsia="宋体" w:cs="Times New Roman"/>
                <w:color w:val="auto"/>
                <w:kern w:val="2"/>
                <w:sz w:val="21"/>
                <w:szCs w:val="21"/>
                <w:lang w:val="en-US" w:eastAsia="zh-CN" w:bidi="ar"/>
              </w:rPr>
              <w:t>备注：以上资料均要求提供扫描件，评分中出现无证明资料或证书过期或专家无法凭所提供资料判断是否得分的情况，一律作不得分处理。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gridAfter w:val="1"/>
          <w:wAfter w:w="101" w:type="dxa"/>
          <w:trHeight w:val="379" w:hRule="atLeast"/>
          <w:tblCellSpacing w:w="0" w:type="dxa"/>
          <w:jc w:val="center"/>
        </w:trPr>
        <w:tc>
          <w:tcPr>
            <w:tcW w:w="681" w:type="dxa"/>
            <w:gridSpan w:val="2"/>
            <w:vMerge w:val="restart"/>
            <w:tcBorders>
              <w:left w:val="single" w:color="000000" w:sz="8" w:space="0"/>
              <w:right w:val="single" w:color="000000" w:sz="8" w:space="0"/>
            </w:tcBorders>
          </w:tcPr>
          <w:p>
            <w:pPr>
              <w:widowControl/>
              <w:rPr>
                <w:rFonts w:ascii="宋体" w:hAnsi="宋体" w:cs="宋体"/>
                <w:b/>
                <w:bCs/>
                <w:color w:val="0000FF"/>
                <w:sz w:val="24"/>
              </w:rPr>
            </w:pPr>
            <w:r>
              <w:rPr>
                <w:rFonts w:hint="eastAsia" w:ascii="宋体" w:hAnsi="宋体" w:cs="宋体"/>
                <w:b/>
                <w:bCs/>
                <w:color w:val="0000FF"/>
                <w:sz w:val="24"/>
              </w:rPr>
              <w:t>4</w:t>
            </w:r>
          </w:p>
        </w:tc>
        <w:tc>
          <w:tcPr>
            <w:tcW w:w="3947"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cs="宋体" w:asciiTheme="minorEastAsia" w:hAnsiTheme="minorEastAsia" w:eastAsiaTheme="minorEastAsia"/>
                <w:szCs w:val="21"/>
              </w:rPr>
            </w:pPr>
            <w:r>
              <w:rPr>
                <w:rFonts w:hint="eastAsia"/>
                <w:b/>
                <w:bCs/>
                <w:color w:val="0000FF"/>
              </w:rPr>
              <w:t>诚信情况</w:t>
            </w:r>
          </w:p>
        </w:tc>
        <w:tc>
          <w:tcPr>
            <w:tcW w:w="4447" w:type="dxa"/>
            <w:gridSpan w:val="2"/>
            <w:tcBorders>
              <w:top w:val="single" w:color="000000" w:sz="8" w:space="0"/>
              <w:left w:val="single" w:color="000000" w:sz="8" w:space="0"/>
              <w:bottom w:val="single" w:color="000000" w:sz="8" w:space="0"/>
              <w:right w:val="single" w:color="000000" w:sz="8" w:space="0"/>
            </w:tcBorders>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gridAfter w:val="1"/>
          <w:wAfter w:w="101" w:type="dxa"/>
          <w:tblCellSpacing w:w="0" w:type="dxa"/>
          <w:jc w:val="center"/>
        </w:trPr>
        <w:tc>
          <w:tcPr>
            <w:tcW w:w="681" w:type="dxa"/>
            <w:gridSpan w:val="2"/>
            <w:vMerge w:val="continue"/>
            <w:tcBorders>
              <w:left w:val="single" w:color="000000" w:sz="8" w:space="0"/>
              <w:right w:val="single" w:color="000000" w:sz="8" w:space="0"/>
            </w:tcBorders>
            <w:vAlign w:val="center"/>
          </w:tcPr>
          <w:p>
            <w:pPr>
              <w:widowControl/>
              <w:jc w:val="left"/>
              <w:rPr>
                <w:rFonts w:ascii="宋体" w:hAnsi="宋体" w:cs="宋体"/>
                <w:b/>
                <w:bCs/>
                <w:color w:val="0000FF"/>
                <w:sz w:val="24"/>
              </w:rPr>
            </w:pPr>
            <w:bookmarkStart w:id="5" w:name="OLE_LINK14" w:colFirst="1" w:colLast="4"/>
          </w:p>
        </w:tc>
        <w:tc>
          <w:tcPr>
            <w:tcW w:w="680"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pPr>
              <w:wordWrap w:val="0"/>
              <w:jc w:val="center"/>
              <w:rPr>
                <w:rFonts w:ascii="宋体" w:hAnsi="宋体" w:cs="宋体"/>
                <w:szCs w:val="21"/>
              </w:rPr>
            </w:pPr>
            <w:r>
              <w:rPr>
                <w:rFonts w:hint="eastAsia"/>
                <w:szCs w:val="21"/>
              </w:rPr>
              <w:t>序号</w:t>
            </w:r>
          </w:p>
        </w:tc>
        <w:tc>
          <w:tcPr>
            <w:tcW w:w="2543"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pPr>
              <w:wordWrap w:val="0"/>
              <w:jc w:val="center"/>
              <w:rPr>
                <w:rFonts w:ascii="宋体" w:hAnsi="宋体" w:cs="宋体"/>
                <w:szCs w:val="21"/>
              </w:rPr>
            </w:pPr>
            <w:r>
              <w:rPr>
                <w:rFonts w:hint="eastAsia"/>
                <w:szCs w:val="21"/>
              </w:rPr>
              <w:t>评分因素</w:t>
            </w:r>
          </w:p>
        </w:tc>
        <w:tc>
          <w:tcPr>
            <w:tcW w:w="724"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pPr>
              <w:wordWrap w:val="0"/>
              <w:jc w:val="center"/>
              <w:rPr>
                <w:rFonts w:ascii="宋体" w:hAnsi="宋体" w:cs="宋体"/>
                <w:szCs w:val="21"/>
              </w:rPr>
            </w:pPr>
            <w:r>
              <w:rPr>
                <w:rFonts w:hint="eastAsia"/>
                <w:szCs w:val="21"/>
              </w:rPr>
              <w:t>权重</w:t>
            </w:r>
          </w:p>
        </w:tc>
        <w:tc>
          <w:tcPr>
            <w:tcW w:w="4447" w:type="dxa"/>
            <w:gridSpan w:val="2"/>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pPr>
              <w:jc w:val="center"/>
              <w:rPr>
                <w:rFonts w:ascii="宋体" w:hAnsi="宋体"/>
                <w:color w:val="FF0000"/>
              </w:rPr>
            </w:pPr>
            <w:r>
              <w:rPr>
                <w:rFonts w:hint="eastAsia"/>
                <w:szCs w:val="21"/>
              </w:rPr>
              <w:t>评分准则</w:t>
            </w:r>
          </w:p>
        </w:tc>
      </w:tr>
      <w:bookmarkEnd w:id="5"/>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gridAfter w:val="1"/>
          <w:wAfter w:w="101" w:type="dxa"/>
          <w:tblCellSpacing w:w="0" w:type="dxa"/>
          <w:jc w:val="center"/>
        </w:trPr>
        <w:tc>
          <w:tcPr>
            <w:tcW w:w="681" w:type="dxa"/>
            <w:gridSpan w:val="2"/>
            <w:vMerge w:val="continue"/>
            <w:tcBorders>
              <w:left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szCs w:val="21"/>
              </w:rPr>
            </w:pPr>
            <w:r>
              <w:rPr>
                <w:rFonts w:hint="eastAsia"/>
                <w:szCs w:val="21"/>
              </w:rPr>
              <w:t>1</w:t>
            </w:r>
          </w:p>
        </w:tc>
        <w:tc>
          <w:tcPr>
            <w:tcW w:w="2543" w:type="dxa"/>
            <w:tcBorders>
              <w:top w:val="single" w:color="000000" w:sz="8" w:space="0"/>
              <w:left w:val="single" w:color="000000" w:sz="8" w:space="0"/>
              <w:bottom w:val="single" w:color="000000" w:sz="8" w:space="0"/>
              <w:right w:val="single" w:color="000000" w:sz="8" w:space="0"/>
            </w:tcBorders>
          </w:tcPr>
          <w:p>
            <w:pPr>
              <w:wordWrap w:val="0"/>
              <w:rPr>
                <w:szCs w:val="21"/>
              </w:rPr>
            </w:pPr>
            <w:r>
              <w:rPr>
                <w:szCs w:val="21"/>
              </w:rPr>
              <w:t>诚信情况</w:t>
            </w:r>
          </w:p>
        </w:tc>
        <w:tc>
          <w:tcPr>
            <w:tcW w:w="724" w:type="dxa"/>
            <w:tcBorders>
              <w:top w:val="single" w:color="000000" w:sz="8" w:space="0"/>
              <w:left w:val="single" w:color="000000" w:sz="8" w:space="0"/>
              <w:bottom w:val="single" w:color="000000" w:sz="8" w:space="0"/>
              <w:right w:val="single" w:color="000000" w:sz="8" w:space="0"/>
            </w:tcBorders>
          </w:tcPr>
          <w:p>
            <w:pPr>
              <w:wordWrap w:val="0"/>
              <w:jc w:val="center"/>
              <w:rPr>
                <w:rFonts w:cs="宋体" w:asciiTheme="minorEastAsia" w:hAnsiTheme="minorEastAsia" w:eastAsiaTheme="minorEastAsia"/>
                <w:szCs w:val="21"/>
              </w:rPr>
            </w:pPr>
            <w:r>
              <w:rPr>
                <w:rFonts w:hint="eastAsia" w:ascii="宋体" w:hAnsi="宋体" w:cs="宋体"/>
                <w:b/>
                <w:bCs/>
                <w:color w:val="0000FF"/>
                <w:kern w:val="0"/>
                <w:szCs w:val="21"/>
                <w:lang w:bidi="ar"/>
              </w:rPr>
              <w:t>5</w:t>
            </w:r>
          </w:p>
        </w:tc>
        <w:tc>
          <w:tcPr>
            <w:tcW w:w="4447" w:type="dxa"/>
            <w:gridSpan w:val="2"/>
            <w:tcBorders>
              <w:top w:val="single" w:color="000000" w:sz="8" w:space="0"/>
              <w:left w:val="single" w:color="000000" w:sz="8" w:space="0"/>
              <w:bottom w:val="single" w:color="000000" w:sz="8" w:space="0"/>
              <w:right w:val="single" w:color="000000" w:sz="8" w:space="0"/>
            </w:tcBorders>
            <w:vAlign w:val="top"/>
          </w:tcPr>
          <w:p>
            <w:pPr>
              <w:pStyle w:val="17"/>
              <w:wordWrap w:val="0"/>
              <w:spacing w:line="24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w:t>
            </w:r>
            <w:r>
              <w:rPr>
                <w:rFonts w:hint="eastAsia" w:asciiTheme="minorEastAsia" w:hAnsiTheme="minorEastAsia" w:eastAsiaTheme="minorEastAsia" w:cstheme="minorEastAsia"/>
                <w:b w:val="0"/>
                <w:bCs w:val="0"/>
                <w:sz w:val="21"/>
                <w:szCs w:val="21"/>
                <w:lang w:val="en-US" w:eastAsia="zh-CN"/>
              </w:rPr>
              <w:t>5</w:t>
            </w:r>
            <w:r>
              <w:rPr>
                <w:rFonts w:hint="eastAsia" w:asciiTheme="minorEastAsia" w:hAnsiTheme="minorEastAsia" w:eastAsiaTheme="minorEastAsia" w:cstheme="minorEastAsia"/>
                <w:b w:val="0"/>
                <w:bCs w:val="0"/>
                <w:sz w:val="21"/>
                <w:szCs w:val="21"/>
              </w:rPr>
              <w:t>分。投标人无需提供任何证明材料，评标过程中由工作人员向评审委员会提供有关供应商诚信查询结果。</w:t>
            </w:r>
          </w:p>
          <w:p>
            <w:pPr>
              <w:pStyle w:val="17"/>
              <w:wordWrap w:val="0"/>
              <w:spacing w:line="240" w:lineRule="auto"/>
              <w:ind w:firstLine="420" w:firstLineChars="200"/>
              <w:rPr>
                <w:rFonts w:ascii="宋体" w:hAnsi="宋体"/>
                <w:color w:val="FF0000"/>
              </w:rPr>
            </w:pPr>
            <w:r>
              <w:rPr>
                <w:rFonts w:hint="eastAsia" w:asciiTheme="minorEastAsia" w:hAnsiTheme="minorEastAsia" w:eastAsiaTheme="minorEastAsia" w:cstheme="minorEastAsia"/>
                <w:b w:val="0"/>
                <w:bCs w:val="0"/>
                <w:sz w:val="21"/>
                <w:szCs w:val="21"/>
              </w:rPr>
              <w:t>查询渠道：通过“信用中国”（www.creditchina.gov.cn，下载信用信息报告）、“中国政府采购网”（www.ccgp.gov.cn）、、“深圳市政府采购监管网”（http://zfcg.sz.gov.cn）以及财政部门认可的“供应商诚信档案库”查询供应商信用信息，信用信息以开标当日的查询结果为准。</w:t>
            </w:r>
          </w:p>
        </w:tc>
      </w:tr>
    </w:tbl>
    <w:p>
      <w:pPr>
        <w:pStyle w:val="32"/>
        <w:ind w:left="0" w:leftChars="0" w:firstLine="0" w:firstLineChars="0"/>
      </w:pPr>
    </w:p>
    <w:p>
      <w:pPr>
        <w:widowControl/>
        <w:jc w:val="left"/>
        <w:rPr>
          <w:rFonts w:hint="eastAsia" w:ascii="黑体" w:hAnsi="黑体" w:eastAsia="黑体"/>
          <w:color w:val="FF0000"/>
          <w:sz w:val="28"/>
          <w:szCs w:val="28"/>
        </w:rPr>
      </w:pPr>
    </w:p>
    <w:p>
      <w:pPr>
        <w:pStyle w:val="29"/>
        <w:spacing w:before="280" w:after="280" w:line="320" w:lineRule="exact"/>
        <w:jc w:val="center"/>
        <w:outlineLvl w:val="1"/>
        <w:rPr>
          <w:rFonts w:hint="eastAsia" w:ascii="黑体" w:hAnsi="黑体" w:eastAsia="黑体"/>
          <w:sz w:val="28"/>
          <w:szCs w:val="40"/>
        </w:rPr>
      </w:pPr>
      <w:bookmarkStart w:id="6" w:name="OLE_LINK34"/>
      <w:r>
        <w:rPr>
          <w:rFonts w:hint="eastAsia" w:ascii="黑体" w:hAnsi="黑体" w:eastAsia="黑体"/>
          <w:sz w:val="28"/>
          <w:szCs w:val="40"/>
        </w:rPr>
        <w:t>定标方法</w:t>
      </w:r>
    </w:p>
    <w:p>
      <w:pPr>
        <w:jc w:val="center"/>
      </w:pPr>
      <w:r>
        <w:rPr>
          <w:rFonts w:hint="eastAsia"/>
          <w:b/>
        </w:rPr>
        <w:t>非评定分离项目</w:t>
      </w:r>
    </w:p>
    <w:tbl>
      <w:tblPr>
        <w:tblStyle w:val="34"/>
        <w:tblW w:w="8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5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4" w:type="dxa"/>
            <w:vAlign w:val="center"/>
          </w:tcPr>
          <w:p>
            <w:pPr>
              <w:jc w:val="center"/>
              <w:rPr>
                <w:b/>
                <w:bCs/>
              </w:rPr>
            </w:pPr>
            <w:r>
              <w:rPr>
                <w:rFonts w:hint="eastAsia"/>
                <w:b/>
                <w:bCs/>
              </w:rPr>
              <w:t>评标方法</w:t>
            </w:r>
          </w:p>
        </w:tc>
        <w:tc>
          <w:tcPr>
            <w:tcW w:w="5909" w:type="dxa"/>
            <w:vAlign w:val="center"/>
          </w:tcPr>
          <w:p>
            <w:pPr>
              <w:jc w:val="center"/>
              <w:rPr>
                <w:b/>
                <w:bCs/>
              </w:rPr>
            </w:pPr>
            <w:r>
              <w:rPr>
                <w:rFonts w:hint="eastAsia"/>
                <w:b/>
                <w:bCs/>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2844" w:type="dxa"/>
            <w:vAlign w:val="center"/>
          </w:tcPr>
          <w:p>
            <w:pPr>
              <w:jc w:val="center"/>
            </w:pPr>
            <w:r>
              <w:rPr>
                <w:rFonts w:hint="eastAsia"/>
              </w:rPr>
              <w:t>候选中标供应商家数</w:t>
            </w:r>
          </w:p>
        </w:tc>
        <w:tc>
          <w:tcPr>
            <w:tcW w:w="5909" w:type="dxa"/>
            <w:vAlign w:val="center"/>
          </w:tcPr>
          <w:p>
            <w:pPr>
              <w:jc w:val="center"/>
            </w:pPr>
            <w:r>
              <w:rPr>
                <w:rFonts w:hint="eastAsia"/>
              </w:rPr>
              <w:t>1</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4" w:type="dxa"/>
            <w:vAlign w:val="center"/>
          </w:tcPr>
          <w:p>
            <w:pPr>
              <w:jc w:val="center"/>
            </w:pPr>
            <w:r>
              <w:rPr>
                <w:rFonts w:hint="eastAsia"/>
              </w:rPr>
              <w:t>中标供应商家数</w:t>
            </w:r>
          </w:p>
        </w:tc>
        <w:tc>
          <w:tcPr>
            <w:tcW w:w="5909" w:type="dxa"/>
            <w:vAlign w:val="center"/>
          </w:tcPr>
          <w:p>
            <w:pPr>
              <w:jc w:val="center"/>
            </w:pPr>
            <w:r>
              <w:rPr>
                <w:rFonts w:hint="eastAsia"/>
              </w:rPr>
              <w:t>1</w:t>
            </w:r>
          </w:p>
        </w:tc>
      </w:tr>
    </w:tbl>
    <w:p>
      <w:pPr>
        <w:ind w:firstLine="411" w:firstLineChars="196"/>
        <w:rPr>
          <w:rFonts w:hint="eastAsia" w:ascii="宋体" w:hAnsi="宋体" w:cs="宋体"/>
          <w:kern w:val="0"/>
          <w:szCs w:val="21"/>
        </w:rPr>
      </w:pPr>
    </w:p>
    <w:p>
      <w:pPr>
        <w:ind w:firstLine="411" w:firstLineChars="196"/>
        <w:rPr>
          <w:rFonts w:hint="eastAsia" w:ascii="宋体" w:hAnsi="宋体" w:cs="宋体"/>
          <w:kern w:val="0"/>
          <w:szCs w:val="21"/>
        </w:rPr>
      </w:pPr>
      <w:r>
        <w:rPr>
          <w:rFonts w:hint="eastAsia" w:ascii="宋体" w:hAnsi="宋体" w:cs="宋体"/>
          <w:kern w:val="0"/>
          <w:szCs w:val="21"/>
        </w:rPr>
        <w:t>评标结果按评审后得分由高到低顺序排列。得分相同的，按投标报价由低到高顺序排列。得分且投标报价相同的并列。投标文件满足招标文件全部实质性要求，且按照评审因素的量化指标评审得分最高的投标人为唯一中标候选人。中标候选人并列的，采取随机抽取的方式确定，具体操作办法及流程由评标委员会确定。</w:t>
      </w:r>
      <w:r>
        <w:rPr>
          <w:rFonts w:hint="eastAsia" w:ascii="宋体" w:hAnsi="宋体" w:cs="宋体"/>
          <w:color w:val="FF0000"/>
          <w:kern w:val="0"/>
          <w:szCs w:val="21"/>
        </w:rPr>
        <w:t>如唯一候选中标供应商被认定投标或中标无效，采购人应当重新开展采购活动。</w:t>
      </w:r>
    </w:p>
    <w:p>
      <w:pPr>
        <w:pStyle w:val="32"/>
        <w:ind w:left="0" w:leftChars="0" w:firstLine="0" w:firstLineChars="0"/>
      </w:pPr>
    </w:p>
    <w:p>
      <w:pPr>
        <w:spacing w:line="320" w:lineRule="exact"/>
      </w:pPr>
    </w:p>
    <w:p>
      <w:pPr>
        <w:pStyle w:val="29"/>
        <w:spacing w:before="280" w:after="280" w:line="320" w:lineRule="exact"/>
        <w:jc w:val="center"/>
        <w:outlineLvl w:val="1"/>
        <w:rPr>
          <w:rFonts w:hint="eastAsia" w:ascii="黑体" w:hAnsi="黑体" w:eastAsia="黑体"/>
          <w:sz w:val="28"/>
          <w:szCs w:val="40"/>
        </w:rPr>
      </w:pPr>
      <w:r>
        <w:rPr>
          <w:rFonts w:hint="eastAsia" w:ascii="黑体" w:hAnsi="黑体" w:eastAsia="黑体"/>
          <w:sz w:val="28"/>
          <w:szCs w:val="40"/>
        </w:rPr>
        <w:t>相关费用</w:t>
      </w:r>
    </w:p>
    <w:p>
      <w:pPr>
        <w:ind w:firstLine="422" w:firstLineChars="200"/>
        <w:rPr>
          <w:b/>
        </w:rPr>
      </w:pPr>
      <w:bookmarkStart w:id="7" w:name="OLE_LINK29"/>
      <w:r>
        <w:rPr>
          <w:rFonts w:hint="eastAsia"/>
          <w:b/>
        </w:rPr>
        <w:t>1、采购代理服务费</w:t>
      </w:r>
    </w:p>
    <w:p>
      <w:pPr>
        <w:ind w:firstLine="422" w:firstLineChars="200"/>
        <w:rPr>
          <w:b/>
        </w:rPr>
      </w:pPr>
      <w:r>
        <w:rPr>
          <w:rFonts w:hint="eastAsia"/>
          <w:b/>
        </w:rPr>
        <w:t>本项目为代理服务项目，将向中标（成交）供应商收取代理服务费。</w:t>
      </w:r>
    </w:p>
    <w:p>
      <w:pPr>
        <w:ind w:firstLine="420" w:firstLineChars="200"/>
      </w:pPr>
      <w:r>
        <w:rPr>
          <w:rFonts w:hint="eastAsia"/>
        </w:rPr>
        <w:t>中标</w:t>
      </w:r>
      <w:bookmarkEnd w:id="7"/>
      <w:r>
        <w:rPr>
          <w:rFonts w:hint="eastAsia"/>
        </w:rPr>
        <w:t>（成交）供应商在领取《中标（成交）通知书》之前须向深圳公共资源交易中心（深圳交易集团有限公司罗湖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pPr>
        <w:ind w:firstLine="420" w:firstLineChars="200"/>
      </w:pPr>
      <w:r>
        <w:rPr>
          <w:rFonts w:hint="eastAsia"/>
        </w:rPr>
        <w:t>（1）代理服务费以《中标（成交）通知书》确定的中标（成交）金额作为计算基数，按差额定率累进法计算。</w:t>
      </w:r>
    </w:p>
    <w:p>
      <w:pPr>
        <w:ind w:firstLine="420" w:firstLineChars="200"/>
      </w:pPr>
      <w:r>
        <w:rPr>
          <w:rFonts w:hint="eastAsia"/>
        </w:rPr>
        <w:t>（2）中标（成交）金额的各部分费率如下表：</w:t>
      </w:r>
    </w:p>
    <w:tbl>
      <w:tblPr>
        <w:tblStyle w:val="3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rPr>
              <w:t>中标（成交）金额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
      <w:pPr>
        <w:ind w:firstLine="420" w:firstLineChars="200"/>
      </w:pPr>
      <w:r>
        <w:rPr>
          <w:rFonts w:hint="eastAsia"/>
        </w:rPr>
        <w:t>备注：1.每宗交易代理服务费不低于 5000 元；</w:t>
      </w:r>
    </w:p>
    <w:p>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pPr>
        <w:ind w:firstLine="420" w:firstLineChars="200"/>
      </w:pP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pPr>
        <w:ind w:firstLine="422" w:firstLineChars="200"/>
        <w:rPr>
          <w:b/>
          <w:color w:val="FF0000"/>
        </w:rPr>
      </w:pPr>
      <w:r>
        <w:rPr>
          <w:rFonts w:hint="eastAsia"/>
          <w:b/>
          <w:color w:val="FF0000"/>
        </w:rPr>
        <w:t>基本户信息：</w:t>
      </w:r>
    </w:p>
    <w:p>
      <w:pPr>
        <w:ind w:firstLine="420" w:firstLineChars="200"/>
        <w:rPr>
          <w:color w:val="FF0000"/>
        </w:rPr>
      </w:pPr>
      <w:r>
        <w:rPr>
          <w:rFonts w:hint="eastAsia"/>
          <w:color w:val="FF0000"/>
        </w:rPr>
        <w:t>账户名：深圳交易集团有限公司</w:t>
      </w:r>
    </w:p>
    <w:p>
      <w:pPr>
        <w:ind w:firstLine="420" w:firstLineChars="200"/>
        <w:rPr>
          <w:color w:val="FF0000"/>
        </w:rPr>
      </w:pPr>
      <w:r>
        <w:rPr>
          <w:rFonts w:hint="eastAsia"/>
          <w:color w:val="FF0000"/>
        </w:rPr>
        <w:t>账号：</w:t>
      </w:r>
      <w:r>
        <w:rPr>
          <w:color w:val="FF0000"/>
        </w:rPr>
        <w:t>632766021</w:t>
      </w:r>
    </w:p>
    <w:p>
      <w:pPr>
        <w:ind w:firstLine="420" w:firstLineChars="200"/>
        <w:rPr>
          <w:color w:val="FF0000"/>
        </w:rPr>
      </w:pPr>
      <w:r>
        <w:rPr>
          <w:rFonts w:hint="eastAsia"/>
          <w:color w:val="FF0000"/>
        </w:rPr>
        <w:t>开户行：民生银行深圳五洲支行</w:t>
      </w:r>
    </w:p>
    <w:p>
      <w:pPr>
        <w:ind w:firstLine="422" w:firstLineChars="200"/>
        <w:rPr>
          <w:b/>
          <w:color w:val="FF0000"/>
        </w:rPr>
      </w:pPr>
      <w:r>
        <w:rPr>
          <w:rFonts w:hint="eastAsia"/>
          <w:b/>
          <w:color w:val="FF0000"/>
        </w:rPr>
        <w:t>转账备注：</w:t>
      </w:r>
    </w:p>
    <w:p>
      <w:pPr>
        <w:ind w:firstLine="420" w:firstLineChars="200"/>
        <w:rPr>
          <w:color w:val="FF0000"/>
        </w:rPr>
      </w:pPr>
      <w:r>
        <w:rPr>
          <w:rFonts w:hint="eastAsia"/>
          <w:color w:val="FF0000"/>
        </w:rPr>
        <w:t>项目编号+项目名称+中标（成交）金额+中标（成交）供应商名称</w:t>
      </w:r>
    </w:p>
    <w:p>
      <w:pPr>
        <w:ind w:firstLine="422" w:firstLineChars="200"/>
        <w:rPr>
          <w:b/>
        </w:rPr>
      </w:pPr>
      <w:r>
        <w:rPr>
          <w:rFonts w:hint="eastAsia"/>
          <w:b/>
        </w:rPr>
        <w:t>2、专家评审费</w:t>
      </w:r>
    </w:p>
    <w:p>
      <w:pPr>
        <w:pStyle w:val="32"/>
        <w:ind w:left="0" w:leftChars="0"/>
      </w:pPr>
      <w:bookmarkStart w:id="8" w:name="OLE_LINK33"/>
      <w:r>
        <w:rPr>
          <w:rFonts w:hint="eastAsia" w:eastAsia="宋体" w:cs="Times New Roman"/>
          <w:b w:val="0"/>
          <w:bCs w:val="0"/>
          <w:kern w:val="2"/>
          <w:sz w:val="21"/>
          <w:szCs w:val="24"/>
          <w:lang w:val="en-US" w:eastAsia="zh-CN" w:bidi="ar-SA"/>
        </w:rPr>
        <w:t>本项目专家评审费由</w:t>
      </w:r>
      <w:r>
        <w:rPr>
          <w:rFonts w:hint="eastAsia"/>
        </w:rPr>
        <w:t>深圳公共资源交易中心（深圳交易集团有限公司罗湖分公司）</w:t>
      </w:r>
      <w:r>
        <w:rPr>
          <w:rFonts w:hint="eastAsia"/>
          <w:lang w:val="en-US" w:eastAsia="zh-CN"/>
        </w:rPr>
        <w:t>支付</w:t>
      </w:r>
      <w:r>
        <w:rPr>
          <w:rFonts w:hint="eastAsia" w:eastAsia="宋体" w:cs="Times New Roman"/>
          <w:b w:val="0"/>
          <w:bCs w:val="0"/>
          <w:kern w:val="2"/>
          <w:sz w:val="21"/>
          <w:szCs w:val="24"/>
          <w:lang w:val="en-US" w:eastAsia="zh-CN" w:bidi="ar-SA"/>
        </w:rPr>
        <w:t>，相关费用按照&lt;&lt;深圳市政府采购评审专家劳务报酬标准&gt;&gt;(深财购[2025]58号)执行。</w:t>
      </w:r>
      <w:bookmarkEnd w:id="8"/>
    </w:p>
    <w:p>
      <w:pPr>
        <w:widowControl/>
        <w:jc w:val="center"/>
        <w:rPr>
          <w:rFonts w:hint="eastAsia" w:ascii="黑体" w:hAnsi="黑体" w:eastAsia="黑体"/>
          <w:sz w:val="28"/>
          <w:szCs w:val="40"/>
        </w:rPr>
      </w:pPr>
      <w:r>
        <w:rPr>
          <w:rFonts w:hint="eastAsia" w:ascii="黑体" w:hAnsi="黑体" w:eastAsia="黑体"/>
          <w:sz w:val="28"/>
          <w:szCs w:val="40"/>
        </w:rPr>
        <w:t>订单融资情况</w:t>
      </w:r>
    </w:p>
    <w:p>
      <w:pPr>
        <w:widowControl/>
        <w:jc w:val="left"/>
        <w:rPr>
          <w:b/>
        </w:rPr>
      </w:pPr>
      <w:r>
        <w:rPr>
          <w:rFonts w:hint="eastAsia" w:ascii="宋体" w:hAnsi="宋体"/>
          <w:szCs w:val="21"/>
        </w:rPr>
        <w:t xml:space="preserve"> </w:t>
      </w:r>
      <w:r>
        <w:rPr>
          <w:rFonts w:hint="eastAsia"/>
          <w:b/>
        </w:rPr>
        <w:t xml:space="preserve">  </w:t>
      </w:r>
    </w:p>
    <w:p>
      <w:pPr>
        <w:ind w:firstLine="422" w:firstLineChars="200"/>
        <w:rPr>
          <w:b/>
          <w:bCs/>
        </w:rPr>
      </w:pPr>
      <w:r>
        <w:rPr>
          <w:rFonts w:hint="eastAsia"/>
          <w:b/>
          <w:bCs/>
        </w:rPr>
        <w:t>关于政府采购订单融资政策</w:t>
      </w:r>
    </w:p>
    <w:p>
      <w:pPr>
        <w:ind w:firstLine="420" w:firstLineChars="200"/>
        <w:rPr>
          <w:bCs/>
          <w:szCs w:val="21"/>
        </w:rPr>
      </w:pPr>
      <w:r>
        <w:rPr>
          <w:rFonts w:hint="eastAsia"/>
          <w:bCs/>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422" w:firstLineChars="200"/>
        <w:rPr>
          <w:rFonts w:hint="eastAsia" w:ascii="宋体" w:hAnsi="宋体" w:cs="宋体"/>
          <w:b/>
          <w:bCs/>
        </w:rPr>
      </w:pPr>
      <w:r>
        <w:rPr>
          <w:rFonts w:hint="eastAsia" w:ascii="宋体" w:hAnsi="宋体" w:cs="宋体"/>
          <w:b/>
          <w:bCs/>
        </w:rPr>
        <w:t>供应商账户信息</w:t>
      </w:r>
    </w:p>
    <w:p>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pPr>
        <w:rPr>
          <w:szCs w:val="21"/>
        </w:rPr>
      </w:pPr>
      <w:r>
        <w:rPr>
          <w:rFonts w:hint="eastAsia" w:ascii="宋体" w:hAnsi="宋体"/>
          <w:b/>
          <w:bCs/>
          <w:color w:val="FF0000"/>
          <w:spacing w:val="-4"/>
          <w:kern w:val="0"/>
          <w:szCs w:val="21"/>
        </w:rPr>
        <w:t>注：本项填写内容作为订单融资开展的参考信息，不作为供应商资格性审查及符合性审查条件。</w:t>
      </w:r>
    </w:p>
    <w:bookmarkEnd w:id="6"/>
    <w:p>
      <w:pPr>
        <w:pStyle w:val="32"/>
      </w:pPr>
    </w:p>
    <w:p>
      <w:r>
        <w:rPr>
          <w:rFonts w:hint="eastAsia"/>
        </w:rPr>
        <w:br w:type="page"/>
      </w:r>
    </w:p>
    <w:p>
      <w:pPr>
        <w:pStyle w:val="3"/>
        <w:rPr>
          <w:rFonts w:hint="eastAsia"/>
        </w:rPr>
      </w:pPr>
      <w:r>
        <w:rPr>
          <w:rFonts w:hint="eastAsia"/>
        </w:rPr>
        <w:t>第一册  招标项目需求</w:t>
      </w:r>
    </w:p>
    <w:p>
      <w:pPr>
        <w:pStyle w:val="6"/>
        <w:rPr>
          <w:rFonts w:hint="eastAsia"/>
        </w:rPr>
      </w:pPr>
      <w:r>
        <w:rPr>
          <w:rFonts w:hint="eastAsia"/>
        </w:rPr>
        <w:t>第一章  招标公告</w:t>
      </w:r>
    </w:p>
    <w:p>
      <w:pPr>
        <w:ind w:firstLine="482" w:firstLineChars="200"/>
        <w:rPr>
          <w:rFonts w:hint="eastAsia" w:ascii="宋体" w:hAnsi="宋体" w:cs="宋体"/>
          <w:b/>
          <w:color w:val="FF0000"/>
          <w:kern w:val="0"/>
          <w:sz w:val="24"/>
          <w:szCs w:val="21"/>
        </w:rPr>
      </w:pPr>
      <w:bookmarkStart w:id="9" w:name="OLE_LINK21"/>
      <w:r>
        <w:rPr>
          <w:rFonts w:hint="eastAsia" w:ascii="宋体" w:hAnsi="宋体" w:cs="宋体"/>
          <w:b/>
          <w:color w:val="FF0000"/>
          <w:kern w:val="0"/>
          <w:sz w:val="24"/>
          <w:szCs w:val="21"/>
        </w:rPr>
        <w:t>投标供应商资格要求：（投标人应按资格要求提供相关证明文件，</w:t>
      </w:r>
      <w:r>
        <w:rPr>
          <w:rFonts w:hint="eastAsia" w:ascii="宋体" w:hAnsi="宋体" w:cs="宋体"/>
          <w:b/>
          <w:color w:val="FF0000"/>
          <w:kern w:val="0"/>
          <w:sz w:val="24"/>
          <w:szCs w:val="21"/>
          <w:highlight w:val="yellow"/>
        </w:rPr>
        <w:t>如供应商资格审查不通过，不得参与本次自行采购活动</w:t>
      </w:r>
      <w:r>
        <w:rPr>
          <w:rFonts w:hint="eastAsia" w:ascii="宋体" w:hAnsi="宋体" w:cs="宋体"/>
          <w:b/>
          <w:color w:val="FF0000"/>
          <w:kern w:val="0"/>
          <w:sz w:val="24"/>
          <w:szCs w:val="21"/>
        </w:rPr>
        <w:t>）</w:t>
      </w:r>
    </w:p>
    <w:p>
      <w:pPr>
        <w:ind w:firstLine="420" w:firstLineChars="200"/>
        <w:rPr>
          <w:rFonts w:hint="eastAsia" w:cs="宋体" w:asciiTheme="minorEastAsia" w:hAnsiTheme="minorEastAsia" w:eastAsiaTheme="minorEastAsia"/>
          <w:kern w:val="0"/>
        </w:rPr>
      </w:pPr>
    </w:p>
    <w:p>
      <w:pPr>
        <w:ind w:firstLine="420" w:firstLineChars="200"/>
        <w:rPr>
          <w:rFonts w:hint="eastAsia" w:cs="宋体" w:asciiTheme="minorEastAsia" w:hAnsiTheme="minorEastAsia" w:eastAsiaTheme="minorEastAsia"/>
          <w:kern w:val="0"/>
        </w:rPr>
      </w:pPr>
      <w:bookmarkStart w:id="10" w:name="OLE_LINK35"/>
      <w:r>
        <w:rPr>
          <w:rFonts w:hint="eastAsia" w:cs="宋体" w:asciiTheme="minorEastAsia" w:hAnsiTheme="minorEastAsia" w:eastAsiaTheme="minorEastAsia"/>
          <w:kern w:val="0"/>
        </w:rPr>
        <w:t>1.具有独立承担民事责任的能力（提供营业执照或事业单位法人证书等证明资料扫描件，原件备查，分支机构参与投标的，须同时提供总部授权文件且授权书载明其民事责任由总公司承担）；</w:t>
      </w:r>
    </w:p>
    <w:p>
      <w:pPr>
        <w:ind w:firstLine="420" w:firstLineChars="200"/>
        <w:rPr>
          <w:rFonts w:hint="eastAsia" w:cs="宋体" w:asciiTheme="minorEastAsia" w:hAnsiTheme="minorEastAsia" w:eastAsiaTheme="minorEastAsia"/>
          <w:color w:val="FF0000"/>
          <w:kern w:val="0"/>
        </w:rPr>
      </w:pPr>
      <w:r>
        <w:rPr>
          <w:rFonts w:hint="eastAsia" w:cs="宋体" w:asciiTheme="minorEastAsia" w:hAnsiTheme="minorEastAsia" w:eastAsiaTheme="minorEastAsia"/>
          <w:color w:val="FF0000"/>
          <w:kern w:val="0"/>
        </w:rPr>
        <w:t>2.本项目不接受联合体投标，不允许非主体非关键性工作分包，禁止转包，是否允许投标人选用进口产品参与投标以招标文件“第二章 项目需求书”为准（由供应商在《政府采购投标及履约承诺函》中作出声明）；</w:t>
      </w:r>
    </w:p>
    <w:p>
      <w:pPr>
        <w:ind w:firstLine="420" w:firstLineChars="200"/>
        <w:rPr>
          <w:rFonts w:hint="eastAsia" w:cs="宋体" w:asciiTheme="minorEastAsia" w:hAnsiTheme="minorEastAsia" w:eastAsiaTheme="minorEastAsia"/>
          <w:kern w:val="0"/>
        </w:rPr>
      </w:pPr>
      <w:r>
        <w:rPr>
          <w:rFonts w:hint="eastAsia" w:cs="宋体" w:asciiTheme="minorEastAsia" w:hAnsiTheme="minorEastAsia" w:eastAsiaTheme="minorEastAsia"/>
          <w:kern w:val="0"/>
        </w:rPr>
        <w:t>3、参与本项目政府采购活动时不存在被有关部门禁止参与政府采购活动且在有效期内的情况（由供应商在《政府采购投标及履约承诺函》中作出声明）；</w:t>
      </w:r>
    </w:p>
    <w:p>
      <w:pPr>
        <w:ind w:firstLine="420" w:firstLineChars="200"/>
        <w:rPr>
          <w:rFonts w:hint="eastAsia" w:cs="宋体" w:asciiTheme="minorEastAsia" w:hAnsiTheme="minorEastAsia" w:eastAsiaTheme="minorEastAsia"/>
          <w:kern w:val="0"/>
        </w:rPr>
      </w:pPr>
      <w:r>
        <w:rPr>
          <w:rFonts w:hint="eastAsia" w:cs="宋体" w:asciiTheme="minorEastAsia" w:hAnsiTheme="minorEastAsia" w:eastAsiaTheme="minorEastAsia"/>
          <w:kern w:val="0"/>
        </w:rPr>
        <w:t>4.具备《中华人民共和国政府采购法》第二十二条第一款的条件（由供应商在《政府采购投标及履约承诺函》中作出声明）；</w:t>
      </w:r>
    </w:p>
    <w:p>
      <w:pPr>
        <w:ind w:firstLine="420" w:firstLineChars="200"/>
        <w:rPr>
          <w:rFonts w:hint="eastAsia" w:cs="宋体" w:asciiTheme="minorEastAsia" w:hAnsiTheme="minorEastAsia" w:eastAsiaTheme="minorEastAsia"/>
          <w:kern w:val="0"/>
        </w:rPr>
      </w:pPr>
      <w:r>
        <w:rPr>
          <w:rFonts w:hint="eastAsia" w:cs="宋体" w:asciiTheme="minorEastAsia" w:hAnsiTheme="minorEastAsia" w:eastAsiaTheme="minorEastAsia"/>
          <w:kern w:val="0"/>
        </w:rPr>
        <w:t>5.未被列入失信被执行人、重大税收违法案件当事人名单、政府采购严重违法失信行为记录名单（由供应商在《政府采购投标及履约承诺函》中作出声明）；</w:t>
      </w:r>
    </w:p>
    <w:p>
      <w:pPr>
        <w:ind w:firstLine="420" w:firstLineChars="200"/>
        <w:rPr>
          <w:rFonts w:hint="eastAsia" w:cs="宋体" w:asciiTheme="minorEastAsia" w:hAnsiTheme="minorEastAsia" w:eastAsiaTheme="minorEastAsia"/>
          <w:kern w:val="0"/>
        </w:rPr>
      </w:pPr>
      <w:r>
        <w:rPr>
          <w:rFonts w:hint="eastAsia" w:cs="宋体" w:asciiTheme="minorEastAsia" w:hAnsiTheme="minorEastAsia" w:eastAsiaTheme="minorEastAsia"/>
          <w:kern w:val="0"/>
        </w:rPr>
        <w:t>6.不存在《深圳市财政局政府采购供应商信用信息管理办法》（深财规〔2023〕3号）列明的严重违法失信行为（由供应商在《政府采购投标及履约承诺函》中作出声明）；</w:t>
      </w:r>
    </w:p>
    <w:p>
      <w:pPr>
        <w:ind w:firstLine="420" w:firstLineChars="200"/>
        <w:rPr>
          <w:rFonts w:hint="eastAsia" w:cs="宋体" w:asciiTheme="minorEastAsia" w:hAnsiTheme="minorEastAsia" w:eastAsiaTheme="minorEastAsia"/>
          <w:kern w:val="0"/>
        </w:rPr>
      </w:pPr>
      <w:r>
        <w:rPr>
          <w:rFonts w:hint="eastAsia" w:cs="宋体" w:asciiTheme="minorEastAsia" w:hAnsiTheme="minorEastAsia" w:eastAsiaTheme="minorEastAsia"/>
          <w:kern w:val="0"/>
        </w:rPr>
        <w:t>7.为采购项目提供整体设计、规范编制或者项目管理、监理、检测等服务的供应商，不得再参加该采购项目的其他采购活动（由供应商在《政府采购投标及履约承诺函》中作出声明）；</w:t>
      </w:r>
    </w:p>
    <w:p>
      <w:pPr>
        <w:ind w:firstLine="420" w:firstLineChars="200"/>
        <w:rPr>
          <w:rFonts w:hint="eastAsia" w:cs="宋体" w:asciiTheme="minorEastAsia" w:hAnsiTheme="minorEastAsia" w:eastAsiaTheme="minorEastAsia"/>
          <w:kern w:val="0"/>
        </w:rPr>
      </w:pPr>
      <w:r>
        <w:rPr>
          <w:rFonts w:hint="eastAsia" w:cs="宋体" w:asciiTheme="minorEastAsia" w:hAnsiTheme="minorEastAsia" w:eastAsiaTheme="minorEastAsia"/>
          <w:kern w:val="0"/>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ind w:firstLine="420" w:firstLineChars="200"/>
        <w:rPr>
          <w:rFonts w:hint="eastAsia" w:ascii="宋体" w:hAnsi="宋体" w:cs="宋体"/>
          <w:kern w:val="0"/>
          <w:szCs w:val="21"/>
        </w:rPr>
      </w:pPr>
      <w:r>
        <w:rPr>
          <w:rFonts w:hint="eastAsia" w:ascii="宋体" w:hAnsi="宋体" w:cs="宋体"/>
          <w:kern w:val="0"/>
          <w:szCs w:val="21"/>
        </w:rPr>
        <w:t>9.本项目全部专门面向中小企业采购：否。</w:t>
      </w:r>
    </w:p>
    <w:p>
      <w:pPr>
        <w:widowControl/>
        <w:ind w:firstLine="420" w:firstLineChars="200"/>
        <w:jc w:val="left"/>
        <w:rPr>
          <w:rFonts w:hint="eastAsia" w:ascii="宋体" w:hAnsi="宋体"/>
        </w:rPr>
      </w:pPr>
      <w:r>
        <w:rPr>
          <w:rFonts w:hint="eastAsia" w:ascii="宋体" w:hAnsi="宋体" w:cs="宋体"/>
          <w:kern w:val="0"/>
          <w:szCs w:val="21"/>
        </w:rPr>
        <w:t>注：</w:t>
      </w:r>
      <w:r>
        <w:rPr>
          <w:rFonts w:hint="eastAsia" w:ascii="宋体" w:hAnsi="宋体"/>
        </w:rPr>
        <w:t>（1）“信用中国”（www.creditchina.gov.cn，查询“信用服务”栏的“重大税收违法失信主体”“失信被执行人”或者下载信用信息报告），“中国政府采购网”（www.ccgp.gov.cn）中的“政府采购严重违法失信行为记录名单”，“深圳市政府采购监管网”（http://zfcg.sz.gov.cn）以及财政部门认可的“供应商诚信档案库”为供应商信用信息的查询渠道，相关信息以开标当日的查询结果为准；</w:t>
      </w:r>
      <w:bookmarkStart w:id="11" w:name="OLE_LINK27"/>
    </w:p>
    <w:p>
      <w:pPr>
        <w:widowControl/>
        <w:ind w:firstLine="420" w:firstLineChars="200"/>
        <w:jc w:val="left"/>
      </w:pPr>
      <w:r>
        <w:rPr>
          <w:rFonts w:hint="eastAsia" w:ascii="宋体" w:hAnsi="宋体"/>
        </w:rPr>
        <w:t>（2）</w:t>
      </w:r>
      <w:r>
        <w:rPr>
          <w:rFonts w:hint="eastAsia"/>
        </w:rPr>
        <w:t>供应商参与投标（响应）必须先行办理注册手续。如果是未注册为深圳政府采购的供应商，请访问深圳公共资源交易中心（统一用户中心 https://trade.szggzy.com/ggzy/center/#/login）,先办理注册手续（注册咨询：0755-36568999）,再进行投标报名。</w:t>
      </w:r>
    </w:p>
    <w:bookmarkEnd w:id="10"/>
    <w:bookmarkEnd w:id="11"/>
    <w:p>
      <w:pPr>
        <w:rPr>
          <w:rFonts w:hint="eastAsia" w:ascii="宋体" w:hAnsi="宋体" w:cs="宋体"/>
          <w:b/>
          <w:color w:val="FF0000"/>
          <w:kern w:val="0"/>
          <w:szCs w:val="21"/>
          <w:highlight w:val="yellow"/>
        </w:rPr>
      </w:pPr>
    </w:p>
    <w:p>
      <w:pPr>
        <w:widowControl/>
        <w:jc w:val="left"/>
        <w:rPr>
          <w:rFonts w:hint="eastAsia" w:ascii="宋体" w:hAnsi="宋体" w:cs="宋体"/>
          <w:kern w:val="0"/>
          <w:szCs w:val="21"/>
        </w:rPr>
      </w:pPr>
      <w:r>
        <w:rPr>
          <w:rFonts w:hint="eastAsia"/>
          <w:b/>
          <w:sz w:val="22"/>
          <w:szCs w:val="18"/>
        </w:rPr>
        <w:t>完整公告内容详见：</w:t>
      </w:r>
      <w:bookmarkStart w:id="12" w:name="OLE_LINK3"/>
      <w:r>
        <w:rPr>
          <w:rFonts w:hint="eastAsia"/>
          <w:b/>
          <w:color w:val="FF0000"/>
          <w:sz w:val="22"/>
          <w:szCs w:val="18"/>
        </w:rPr>
        <w:t>深圳交易集团罗湖分公司官网https://lh.szexgrp.com/jyfw/zfcg-view.html?id=zfcg</w:t>
      </w:r>
      <w:bookmarkEnd w:id="9"/>
      <w:bookmarkEnd w:id="12"/>
      <w:r>
        <w:rPr>
          <w:rFonts w:ascii="宋体" w:hAnsi="宋体" w:cs="宋体"/>
          <w:kern w:val="0"/>
          <w:szCs w:val="21"/>
        </w:rPr>
        <w:br w:type="page"/>
      </w:r>
    </w:p>
    <w:p>
      <w:pPr>
        <w:ind w:firstLine="420" w:firstLineChars="200"/>
        <w:rPr>
          <w:rFonts w:hint="eastAsia" w:ascii="宋体" w:hAnsi="宋体" w:cs="宋体"/>
          <w:kern w:val="0"/>
          <w:szCs w:val="21"/>
        </w:rPr>
      </w:pPr>
    </w:p>
    <w:p>
      <w:pPr>
        <w:pStyle w:val="6"/>
        <w:rPr>
          <w:rFonts w:hint="eastAsia"/>
        </w:rPr>
      </w:pPr>
      <w:r>
        <w:rPr>
          <w:rFonts w:hint="eastAsia"/>
        </w:rPr>
        <w:t>第二章  项目需求书</w:t>
      </w:r>
    </w:p>
    <w:p>
      <w:pPr>
        <w:pStyle w:val="4"/>
        <w:jc w:val="center"/>
        <w:rPr>
          <w:rFonts w:hint="eastAsia" w:ascii="黑体" w:eastAsia="黑体"/>
          <w:b w:val="0"/>
          <w:kern w:val="0"/>
          <w:sz w:val="24"/>
        </w:rPr>
      </w:pPr>
      <w:bookmarkStart w:id="13" w:name="_Toc128884461"/>
      <w:r>
        <w:rPr>
          <w:rFonts w:hint="eastAsia" w:ascii="黑体" w:eastAsia="黑体"/>
          <w:b w:val="0"/>
          <w:kern w:val="0"/>
          <w:sz w:val="24"/>
        </w:rPr>
        <w:t>一、</w:t>
      </w:r>
      <w:bookmarkEnd w:id="13"/>
      <w:r>
        <w:rPr>
          <w:rFonts w:hint="eastAsia" w:ascii="黑体" w:eastAsia="黑体"/>
          <w:b w:val="0"/>
          <w:kern w:val="0"/>
          <w:sz w:val="24"/>
        </w:rPr>
        <w:t>项目情况介绍</w:t>
      </w:r>
    </w:p>
    <w:p>
      <w:pPr>
        <w:pStyle w:val="5"/>
        <w:jc w:val="center"/>
        <w:rPr>
          <w:b w:val="0"/>
          <w:bCs w:val="0"/>
          <w:sz w:val="24"/>
          <w:szCs w:val="24"/>
        </w:rPr>
      </w:pPr>
      <w:r>
        <w:rPr>
          <w:rFonts w:hint="eastAsia"/>
          <w:b w:val="0"/>
          <w:bCs w:val="0"/>
          <w:sz w:val="24"/>
          <w:szCs w:val="24"/>
        </w:rPr>
        <w:t>（一）项目</w:t>
      </w:r>
      <w:bookmarkStart w:id="14" w:name="_Toc128884464"/>
      <w:r>
        <w:rPr>
          <w:rFonts w:hint="eastAsia"/>
          <w:b w:val="0"/>
          <w:bCs w:val="0"/>
          <w:sz w:val="24"/>
          <w:szCs w:val="24"/>
        </w:rPr>
        <w:t>概况</w:t>
      </w:r>
    </w:p>
    <w:p>
      <w:pPr>
        <w:pStyle w:val="19"/>
        <w:spacing w:line="240" w:lineRule="auto"/>
        <w:rPr>
          <w:rFonts w:hint="eastAsia" w:eastAsia="宋体"/>
          <w:lang w:val="en-US" w:eastAsia="zh-CN"/>
        </w:rPr>
      </w:pPr>
      <w:r>
        <w:rPr>
          <w:rFonts w:hint="eastAsia" w:ascii="宋体" w:hAnsi="宋体"/>
          <w:color w:val="000000"/>
          <w:szCs w:val="21"/>
        </w:rPr>
        <w:t>1、</w:t>
      </w:r>
      <w:r>
        <w:rPr>
          <w:rFonts w:hint="eastAsia"/>
        </w:rPr>
        <w:t>采购单位：</w:t>
      </w:r>
      <w:r>
        <w:rPr>
          <w:rFonts w:hint="eastAsia"/>
          <w:u w:val="single"/>
        </w:rPr>
        <w:t xml:space="preserve"> 深圳市罗湖区清水河街道办事处</w:t>
      </w:r>
      <w:r>
        <w:rPr>
          <w:rFonts w:hint="eastAsia"/>
          <w:u w:val="single"/>
          <w:lang w:val="en-US" w:eastAsia="zh-CN"/>
        </w:rPr>
        <w:t xml:space="preserve"> </w:t>
      </w:r>
    </w:p>
    <w:p>
      <w:pPr>
        <w:ind w:firstLine="420" w:firstLineChars="200"/>
      </w:pPr>
      <w:r>
        <w:rPr>
          <w:rFonts w:hint="eastAsia" w:ascii="宋体" w:hAnsi="宋体"/>
          <w:color w:val="000000"/>
          <w:szCs w:val="21"/>
        </w:rPr>
        <w:t>2、</w:t>
      </w:r>
      <w:r>
        <w:rPr>
          <w:rFonts w:hint="eastAsia"/>
        </w:rPr>
        <w:t>项目关键信息：</w:t>
      </w:r>
    </w:p>
    <w:p>
      <w:pPr>
        <w:ind w:firstLine="840" w:firstLineChars="400"/>
      </w:pPr>
      <w:r>
        <w:rPr>
          <w:rFonts w:hint="eastAsia" w:ascii="宋体" w:hAnsi="宋体"/>
          <w:snapToGrid w:val="0"/>
          <w:color w:val="FF0000"/>
          <w:kern w:val="0"/>
        </w:rPr>
        <w:t>（1）本项目预算金额：</w:t>
      </w:r>
      <w:r>
        <w:rPr>
          <w:rFonts w:hint="eastAsia" w:ascii="宋体" w:hAnsi="宋体"/>
          <w:snapToGrid w:val="0"/>
          <w:color w:val="FF0000"/>
          <w:kern w:val="0"/>
          <w:u w:val="single"/>
          <w:lang w:val="en-US" w:eastAsia="zh-CN"/>
        </w:rPr>
        <w:t>32</w:t>
      </w:r>
      <w:r>
        <w:rPr>
          <w:rFonts w:hint="eastAsia" w:ascii="宋体" w:hAnsi="宋体"/>
          <w:snapToGrid w:val="0"/>
          <w:color w:val="FF0000"/>
          <w:kern w:val="0"/>
          <w:u w:val="single"/>
        </w:rPr>
        <w:t>500</w:t>
      </w:r>
      <w:r>
        <w:rPr>
          <w:rFonts w:hint="eastAsia" w:ascii="宋体" w:hAnsi="宋体"/>
          <w:snapToGrid w:val="0"/>
          <w:color w:val="FF0000"/>
          <w:kern w:val="0"/>
          <w:u w:val="single"/>
          <w:lang w:val="en-US" w:eastAsia="zh-CN"/>
        </w:rPr>
        <w:t>0</w:t>
      </w:r>
      <w:r>
        <w:rPr>
          <w:rFonts w:hint="eastAsia" w:ascii="宋体" w:hAnsi="宋体"/>
          <w:snapToGrid w:val="0"/>
          <w:color w:val="FF0000"/>
          <w:kern w:val="0"/>
        </w:rPr>
        <w:t>元；</w:t>
      </w:r>
    </w:p>
    <w:p>
      <w:pPr>
        <w:pStyle w:val="15"/>
        <w:ind w:firstLine="840" w:firstLineChars="400"/>
      </w:pPr>
      <w:r>
        <w:rPr>
          <w:rFonts w:hint="eastAsia" w:ascii="宋体" w:hAnsi="宋体"/>
          <w:snapToGrid w:val="0"/>
          <w:color w:val="FF0000"/>
          <w:kern w:val="0"/>
        </w:rPr>
        <w:t>（2）</w:t>
      </w:r>
      <w:r>
        <w:rPr>
          <w:rFonts w:hint="eastAsia" w:ascii="宋体" w:hAnsi="宋体"/>
          <w:color w:val="FF0000"/>
        </w:rPr>
        <w:t>★本项目合同期为自签订之日起一年。本项目为长期服务项目，长期服务政府采购合同履行期限最长不得超过三十六个月。如甲方对履约情况不满意，甲方不再续约。</w:t>
      </w:r>
    </w:p>
    <w:p>
      <w:pPr>
        <w:jc w:val="center"/>
        <w:rPr>
          <w:b/>
        </w:rPr>
      </w:pPr>
      <w:r>
        <w:rPr>
          <w:rFonts w:hint="eastAsia"/>
          <w:b/>
        </w:rPr>
        <w:t>（二）实质性条款</w:t>
      </w:r>
    </w:p>
    <w:p>
      <w:pPr>
        <w:jc w:val="center"/>
        <w:rPr>
          <w:b/>
        </w:rPr>
      </w:pPr>
    </w:p>
    <w:tbl>
      <w:tblPr>
        <w:tblStyle w:val="3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hint="eastAsia" w:ascii="宋体" w:hAnsi="宋体"/>
                <w:szCs w:val="21"/>
              </w:rPr>
            </w:pPr>
            <w:r>
              <w:rPr>
                <w:rFonts w:ascii="宋体" w:hAnsi="宋体"/>
                <w:szCs w:val="21"/>
              </w:rPr>
              <w:t>序号</w:t>
            </w:r>
          </w:p>
        </w:tc>
        <w:tc>
          <w:tcPr>
            <w:tcW w:w="7513" w:type="dxa"/>
          </w:tcPr>
          <w:p>
            <w:pPr>
              <w:adjustRightInd w:val="0"/>
              <w:snapToGrid w:val="0"/>
              <w:spacing w:line="360" w:lineRule="auto"/>
              <w:jc w:val="center"/>
              <w:rPr>
                <w:rFonts w:hint="eastAsia" w:ascii="宋体" w:hAnsi="宋体"/>
                <w:b/>
                <w:kern w:val="0"/>
                <w:szCs w:val="21"/>
              </w:rPr>
            </w:pPr>
            <w:r>
              <w:rPr>
                <w:rFonts w:hint="eastAsia" w:ascii="宋体" w:hAnsi="宋体"/>
                <w:b/>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hint="eastAsia" w:ascii="宋体" w:hAnsi="宋体"/>
                <w:szCs w:val="21"/>
              </w:rPr>
            </w:pPr>
            <w:r>
              <w:rPr>
                <w:rFonts w:hint="eastAsia" w:ascii="宋体" w:hAnsi="宋体"/>
                <w:szCs w:val="21"/>
              </w:rPr>
              <w:t>1</w:t>
            </w:r>
          </w:p>
        </w:tc>
        <w:tc>
          <w:tcPr>
            <w:tcW w:w="7513" w:type="dxa"/>
          </w:tcPr>
          <w:p>
            <w:pPr>
              <w:rPr>
                <w:rFonts w:hint="eastAsia" w:hAnsi="宋体" w:eastAsiaTheme="minorEastAsia"/>
                <w:kern w:val="0"/>
                <w:szCs w:val="21"/>
              </w:rPr>
            </w:pPr>
            <w:r>
              <w:rPr>
                <w:rFonts w:hint="eastAsia"/>
                <w:color w:val="FF0000"/>
                <w:szCs w:val="21"/>
              </w:rPr>
              <w:t>★</w:t>
            </w:r>
            <w:r>
              <w:rPr>
                <w:rFonts w:hint="eastAsia"/>
                <w:color w:val="FF0000"/>
              </w:rPr>
              <w:t>完全满足本项目服务期限的要求。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hint="eastAsia" w:ascii="宋体" w:hAnsi="宋体"/>
                <w:szCs w:val="21"/>
              </w:rPr>
            </w:pPr>
            <w:r>
              <w:rPr>
                <w:rFonts w:ascii="宋体" w:hAnsi="宋体"/>
                <w:szCs w:val="21"/>
              </w:rPr>
              <w:t>2</w:t>
            </w:r>
          </w:p>
        </w:tc>
        <w:tc>
          <w:tcPr>
            <w:tcW w:w="7513" w:type="dxa"/>
          </w:tcPr>
          <w:p>
            <w:pPr>
              <w:jc w:val="left"/>
              <w:rPr>
                <w:rFonts w:hint="eastAsia" w:asciiTheme="minorEastAsia" w:hAnsiTheme="minorEastAsia" w:eastAsiaTheme="minorEastAsia"/>
              </w:rPr>
            </w:pPr>
            <w:r>
              <w:rPr>
                <w:rFonts w:hint="eastAsia"/>
                <w:color w:val="FF0000"/>
                <w:szCs w:val="21"/>
              </w:rPr>
              <w:t>★</w:t>
            </w:r>
            <w:r>
              <w:rPr>
                <w:rFonts w:hint="eastAsia" w:ascii="宋体" w:hAnsi="宋体"/>
                <w:color w:val="FF0000"/>
              </w:rPr>
              <w:t>完全满足本项目其他★标记条款的要求。</w:t>
            </w:r>
          </w:p>
        </w:tc>
      </w:tr>
    </w:tbl>
    <w:p>
      <w:pPr>
        <w:rPr>
          <w:b/>
        </w:rPr>
      </w:pPr>
      <w:r>
        <w:rPr>
          <w:rFonts w:hint="eastAsia"/>
          <w:b/>
        </w:rPr>
        <w:t>注：上表所列内容为不可负偏离条款，负偏离将视为未实质性满足招标文件要求作投标无效处理。</w:t>
      </w:r>
    </w:p>
    <w:p>
      <w:pPr>
        <w:pStyle w:val="32"/>
        <w:spacing w:line="360" w:lineRule="auto"/>
        <w:ind w:left="0" w:leftChars="0"/>
      </w:pPr>
    </w:p>
    <w:p>
      <w:pPr>
        <w:pStyle w:val="4"/>
        <w:jc w:val="center"/>
        <w:rPr>
          <w:rFonts w:hint="eastAsia" w:ascii="黑体" w:eastAsia="黑体"/>
          <w:b w:val="0"/>
          <w:kern w:val="0"/>
          <w:sz w:val="24"/>
          <w:highlight w:val="none"/>
        </w:rPr>
      </w:pPr>
      <w:r>
        <w:rPr>
          <w:rFonts w:hint="eastAsia" w:ascii="黑体" w:eastAsia="黑体"/>
          <w:b w:val="0"/>
          <w:kern w:val="0"/>
          <w:sz w:val="24"/>
          <w:highlight w:val="none"/>
        </w:rPr>
        <w:t>二、项目技术及管理要求</w:t>
      </w:r>
    </w:p>
    <w:p>
      <w:pPr>
        <w:pStyle w:val="89"/>
        <w:rPr>
          <w:rFonts w:hint="default" w:ascii="CESI仿宋-GB2312" w:hAnsi="CESI仿宋-GB2312" w:eastAsia="宋体" w:cs="CESI仿宋-GB2312"/>
          <w:sz w:val="28"/>
          <w:szCs w:val="28"/>
          <w:highlight w:val="none"/>
          <w:lang w:val="en-US" w:eastAsia="zh-CN"/>
        </w:rPr>
      </w:pPr>
      <w:r>
        <w:rPr>
          <w:rFonts w:hint="eastAsia" w:ascii="宋体" w:hAnsi="宋体"/>
          <w:snapToGrid w:val="0"/>
          <w:kern w:val="0"/>
          <w:highlight w:val="none"/>
        </w:rPr>
        <w:t>（一）</w:t>
      </w:r>
      <w:r>
        <w:rPr>
          <w:rFonts w:hint="eastAsia" w:ascii="宋体" w:hAnsi="宋体"/>
          <w:snapToGrid w:val="0"/>
          <w:kern w:val="0"/>
          <w:highlight w:val="none"/>
          <w:lang w:eastAsia="zh-CN"/>
        </w:rPr>
        <w:t>服务内容</w:t>
      </w:r>
      <w:r>
        <w:rPr>
          <w:rFonts w:hint="eastAsia" w:ascii="宋体" w:hAnsi="宋体"/>
          <w:snapToGrid w:val="0"/>
          <w:kern w:val="0"/>
          <w:highlight w:val="none"/>
          <w:lang w:val="en-US" w:eastAsia="zh-CN"/>
        </w:rPr>
        <w:t xml:space="preserve"> </w:t>
      </w:r>
    </w:p>
    <w:p>
      <w:pPr>
        <w:ind w:firstLine="420" w:firstLineChars="200"/>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eastAsia="zh-CN"/>
        </w:rPr>
        <w:t>1.对采购方辖区内所有在建工程项目进行</w:t>
      </w:r>
      <w:r>
        <w:rPr>
          <w:rFonts w:hint="eastAsia" w:ascii="Times New Roman" w:hAnsi="Times New Roman" w:eastAsia="宋体" w:cs="Times New Roman"/>
          <w:highlight w:val="none"/>
          <w:lang w:val="en-US" w:eastAsia="zh-CN"/>
        </w:rPr>
        <w:t>安全隐患排查和</w:t>
      </w:r>
      <w:r>
        <w:rPr>
          <w:rFonts w:hint="eastAsia" w:ascii="Times New Roman" w:hAnsi="Times New Roman" w:eastAsia="宋体" w:cs="Times New Roman"/>
          <w:highlight w:val="none"/>
          <w:lang w:eastAsia="zh-CN"/>
        </w:rPr>
        <w:t>安全</w:t>
      </w:r>
      <w:r>
        <w:rPr>
          <w:rFonts w:hint="eastAsia" w:ascii="Times New Roman" w:hAnsi="Times New Roman" w:eastAsia="宋体" w:cs="Times New Roman"/>
          <w:highlight w:val="none"/>
          <w:lang w:val="en-US" w:eastAsia="zh-CN"/>
        </w:rPr>
        <w:t>宣传教育培训</w:t>
      </w:r>
      <w:r>
        <w:rPr>
          <w:rFonts w:hint="eastAsia" w:ascii="Times New Roman" w:hAnsi="Times New Roman" w:eastAsia="宋体" w:cs="Times New Roman"/>
          <w:highlight w:val="none"/>
          <w:lang w:eastAsia="zh-CN"/>
        </w:rPr>
        <w:t>。每月每个工地巡查</w:t>
      </w:r>
      <w:r>
        <w:rPr>
          <w:rFonts w:hint="eastAsia" w:ascii="Times New Roman" w:hAnsi="Times New Roman" w:eastAsia="宋体" w:cs="Times New Roman"/>
          <w:highlight w:val="none"/>
          <w:lang w:val="en-US" w:eastAsia="zh-CN"/>
        </w:rPr>
        <w:t>不少于2</w:t>
      </w:r>
      <w:r>
        <w:rPr>
          <w:rFonts w:hint="eastAsia" w:ascii="Times New Roman" w:hAnsi="Times New Roman" w:eastAsia="宋体" w:cs="Times New Roman"/>
          <w:highlight w:val="none"/>
          <w:lang w:eastAsia="zh-CN"/>
        </w:rPr>
        <w:t>次，</w:t>
      </w:r>
      <w:r>
        <w:rPr>
          <w:rFonts w:hint="eastAsia" w:ascii="Times New Roman" w:hAnsi="Times New Roman" w:eastAsia="宋体" w:cs="Times New Roman"/>
          <w:highlight w:val="none"/>
          <w:lang w:val="en-US" w:eastAsia="zh-CN"/>
        </w:rPr>
        <w:t>安全宣传教育培训不少于1次，</w:t>
      </w:r>
      <w:r>
        <w:rPr>
          <w:rFonts w:hint="eastAsia" w:ascii="Times New Roman" w:hAnsi="Times New Roman" w:eastAsia="宋体" w:cs="Times New Roman"/>
          <w:highlight w:val="none"/>
          <w:lang w:eastAsia="zh-CN"/>
        </w:rPr>
        <w:t>每次对安全巡查中发现的问题进行分析，指出现场存在的安全隐患，出具书面安全隐患整改意见书，编制月度安全巡查总结评估报告，按时上报采购方</w:t>
      </w:r>
      <w:r>
        <w:rPr>
          <w:rFonts w:hint="eastAsia" w:ascii="Times New Roman" w:hAnsi="Times New Roman" w:eastAsia="宋体" w:cs="Times New Roman"/>
          <w:highlight w:val="none"/>
          <w:lang w:val="en-US" w:eastAsia="zh-CN"/>
        </w:rPr>
        <w:t>。</w:t>
      </w:r>
      <w:r>
        <w:rPr>
          <w:rFonts w:hint="eastAsia" w:ascii="Times New Roman" w:hAnsi="Times New Roman" w:eastAsia="宋体" w:cs="Times New Roman"/>
          <w:highlight w:val="none"/>
          <w:lang w:eastAsia="zh-CN"/>
        </w:rPr>
        <w:t>现场安全巡查分为文明施工巡查、安全生产资料核查、施工现场巡查及其他巡查。巡查内容和重点包括：</w:t>
      </w:r>
    </w:p>
    <w:p>
      <w:pPr>
        <w:ind w:firstLine="420" w:firstLineChars="200"/>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eastAsia="zh-CN"/>
        </w:rPr>
        <w:t>（1）现场文明施工巡查：现场围挡、封闭管理、施工现场、材料堆放、现场住宿、现场防火、施工现场标牌、生活设施、治安综合治理、保健急救、社区服务等；</w:t>
      </w:r>
    </w:p>
    <w:p>
      <w:pPr>
        <w:ind w:firstLine="420" w:firstLineChars="200"/>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eastAsia="zh-CN"/>
        </w:rPr>
        <w:t>（2）安全生产资料核查：安全生产责任制、目标管理、施工组织设计、分部（分项）工程安全技术交底、安全检查、安全教育、班前安全活动、特种作业持证上岗、工伤事故处理、安全标志等；</w:t>
      </w:r>
    </w:p>
    <w:p>
      <w:pPr>
        <w:ind w:firstLine="420" w:firstLineChars="200"/>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eastAsia="zh-CN"/>
        </w:rPr>
        <w:t>（3）现场施工安全巡查：脚手架、基坑支护、三宝、四口防护、临时施工用电检查、物料提升机（龙门架、井字架）检查、塔吊检查、外用电梯（人货两用电梯）检查、起重吊装安全检查、模板工程、施工机具检查等；</w:t>
      </w:r>
    </w:p>
    <w:p>
      <w:pPr>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4</w:t>
      </w:r>
      <w:r>
        <w:rPr>
          <w:rFonts w:hint="eastAsia" w:ascii="Times New Roman" w:hAnsi="Times New Roman" w:eastAsia="宋体" w:cs="Times New Roman"/>
          <w:highlight w:val="none"/>
          <w:lang w:eastAsia="zh-CN"/>
        </w:rPr>
        <w:t>）其他巡查：每个工地巡查时要抽查</w:t>
      </w:r>
      <w:r>
        <w:rPr>
          <w:rFonts w:hint="eastAsia" w:ascii="Times New Roman" w:hAnsi="Times New Roman" w:eastAsia="宋体" w:cs="Times New Roman"/>
          <w:highlight w:val="none"/>
          <w:lang w:val="en-US" w:eastAsia="zh-CN"/>
        </w:rPr>
        <w:t>3名现场施工人员，询问有无欠薪问题，并做好签名记录，在总结报告里体现此项。</w:t>
      </w:r>
    </w:p>
    <w:p>
      <w:pPr>
        <w:ind w:firstLine="420" w:firstLineChars="200"/>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val="en-US" w:eastAsia="zh-CN"/>
        </w:rPr>
        <w:t>2</w:t>
      </w:r>
      <w:r>
        <w:rPr>
          <w:rFonts w:hint="eastAsia" w:ascii="Times New Roman" w:hAnsi="Times New Roman" w:eastAsia="宋体" w:cs="Times New Roman"/>
          <w:highlight w:val="none"/>
          <w:lang w:eastAsia="zh-CN"/>
        </w:rPr>
        <w:t>.每次对安全巡查过程中发现的问题进行科学分析，指出现场存在的安全隐患，出具书面安全隐患整改意见书（安全隐患位置、安全隐患内容、隐患整改建议、隐患整改依据、整改期限、安全隐患图片等），按时上报采购方；</w:t>
      </w:r>
    </w:p>
    <w:p>
      <w:pPr>
        <w:ind w:firstLine="420" w:firstLineChars="200"/>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val="en-US" w:eastAsia="zh-CN"/>
        </w:rPr>
        <w:t>3</w:t>
      </w:r>
      <w:r>
        <w:rPr>
          <w:rFonts w:hint="eastAsia" w:ascii="Times New Roman" w:hAnsi="Times New Roman" w:eastAsia="宋体" w:cs="Times New Roman"/>
          <w:highlight w:val="none"/>
          <w:lang w:eastAsia="zh-CN"/>
        </w:rPr>
        <w:t>.每月对施工项目安全巡查后，编制月度安全巡查总结评估报告，经审批后报采购方。</w:t>
      </w:r>
    </w:p>
    <w:p>
      <w:pPr>
        <w:rPr>
          <w:highlight w:val="none"/>
        </w:rPr>
      </w:pPr>
    </w:p>
    <w:p>
      <w:pPr>
        <w:pStyle w:val="89"/>
        <w:numPr>
          <w:ilvl w:val="0"/>
          <w:numId w:val="1"/>
        </w:numPr>
        <w:rPr>
          <w:rFonts w:hint="eastAsia" w:ascii="宋体" w:hAnsi="宋体"/>
          <w:snapToGrid w:val="0"/>
          <w:kern w:val="0"/>
          <w:highlight w:val="none"/>
          <w:lang w:eastAsia="zh-CN"/>
        </w:rPr>
      </w:pPr>
      <w:r>
        <w:rPr>
          <w:rFonts w:hint="eastAsia" w:ascii="宋体" w:hAnsi="宋体"/>
          <w:snapToGrid w:val="0"/>
          <w:kern w:val="0"/>
          <w:highlight w:val="none"/>
          <w:lang w:eastAsia="zh-CN"/>
        </w:rPr>
        <w:t>服务成果</w:t>
      </w:r>
    </w:p>
    <w:p>
      <w:pPr>
        <w:ind w:firstLine="420" w:firstLineChars="200"/>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eastAsia="zh-CN"/>
        </w:rPr>
        <w:t>1.</w:t>
      </w:r>
      <w:r>
        <w:rPr>
          <w:rFonts w:hint="eastAsia" w:ascii="Times New Roman" w:hAnsi="Times New Roman" w:eastAsia="宋体" w:cs="Times New Roman"/>
          <w:highlight w:val="none"/>
          <w:lang w:val="en-US" w:eastAsia="zh-CN"/>
        </w:rPr>
        <w:t>每次检查开出</w:t>
      </w:r>
      <w:r>
        <w:rPr>
          <w:rFonts w:hint="eastAsia" w:ascii="Times New Roman" w:hAnsi="Times New Roman" w:eastAsia="宋体" w:cs="Times New Roman"/>
          <w:highlight w:val="none"/>
          <w:lang w:eastAsia="zh-CN"/>
        </w:rPr>
        <w:t>安全隐患</w:t>
      </w:r>
      <w:r>
        <w:rPr>
          <w:rFonts w:hint="eastAsia" w:ascii="Times New Roman" w:hAnsi="Times New Roman" w:eastAsia="宋体" w:cs="Times New Roman"/>
          <w:highlight w:val="none"/>
          <w:lang w:val="en-US" w:eastAsia="zh-CN"/>
        </w:rPr>
        <w:t>告知</w:t>
      </w:r>
      <w:r>
        <w:rPr>
          <w:rFonts w:hint="eastAsia" w:ascii="Times New Roman" w:hAnsi="Times New Roman" w:eastAsia="宋体" w:cs="Times New Roman"/>
          <w:highlight w:val="none"/>
          <w:lang w:eastAsia="zh-CN"/>
        </w:rPr>
        <w:t>书（1份/次）；</w:t>
      </w:r>
    </w:p>
    <w:p>
      <w:pPr>
        <w:ind w:firstLine="420" w:firstLineChars="200"/>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val="en-US" w:eastAsia="zh-CN"/>
        </w:rPr>
        <w:t>2</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每次复查开出</w:t>
      </w:r>
      <w:r>
        <w:rPr>
          <w:rFonts w:hint="eastAsia" w:ascii="Times New Roman" w:hAnsi="Times New Roman" w:eastAsia="宋体" w:cs="Times New Roman"/>
          <w:highlight w:val="none"/>
          <w:lang w:eastAsia="zh-CN"/>
        </w:rPr>
        <w:t>安全隐患整改意见书（1份/次）；</w:t>
      </w:r>
    </w:p>
    <w:p>
      <w:pPr>
        <w:ind w:firstLine="420" w:firstLineChars="200"/>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val="en-US" w:eastAsia="zh-CN"/>
        </w:rPr>
        <w:t>3</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每次安全培训员工签到表</w:t>
      </w:r>
      <w:r>
        <w:rPr>
          <w:rFonts w:hint="eastAsia" w:ascii="Times New Roman" w:hAnsi="Times New Roman" w:eastAsia="宋体" w:cs="Times New Roman"/>
          <w:highlight w:val="none"/>
          <w:lang w:eastAsia="zh-CN"/>
        </w:rPr>
        <w:t>（1份/次）；</w:t>
      </w:r>
    </w:p>
    <w:p>
      <w:pPr>
        <w:ind w:firstLine="420" w:firstLineChars="200"/>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val="en-US" w:eastAsia="zh-CN"/>
        </w:rPr>
        <w:t>4</w:t>
      </w:r>
      <w:r>
        <w:rPr>
          <w:rFonts w:hint="eastAsia" w:ascii="Times New Roman" w:hAnsi="Times New Roman" w:eastAsia="宋体" w:cs="Times New Roman"/>
          <w:highlight w:val="none"/>
          <w:lang w:eastAsia="zh-CN"/>
        </w:rPr>
        <w:t>.每月提交一次《深圳市</w:t>
      </w:r>
      <w:r>
        <w:rPr>
          <w:rFonts w:hint="eastAsia" w:ascii="Times New Roman" w:hAnsi="Times New Roman" w:eastAsia="宋体" w:cs="Times New Roman"/>
          <w:highlight w:val="none"/>
          <w:lang w:val="zh-CN" w:eastAsia="zh-CN"/>
        </w:rPr>
        <w:t>罗湖区清水河街道办事处建筑工程安全巡查及整改报告</w:t>
      </w:r>
      <w:r>
        <w:rPr>
          <w:rFonts w:hint="eastAsia" w:ascii="Times New Roman" w:hAnsi="Times New Roman" w:eastAsia="宋体" w:cs="Times New Roman"/>
          <w:highlight w:val="none"/>
          <w:lang w:eastAsia="zh-CN"/>
        </w:rPr>
        <w:t>》（报告</w:t>
      </w:r>
      <w:r>
        <w:rPr>
          <w:rFonts w:hint="eastAsia" w:ascii="Times New Roman" w:hAnsi="Times New Roman" w:eastAsia="宋体" w:cs="Times New Roman"/>
          <w:highlight w:val="none"/>
          <w:lang w:val="en-US" w:eastAsia="zh-CN"/>
        </w:rPr>
        <w:t>一式十份</w:t>
      </w:r>
      <w:r>
        <w:rPr>
          <w:rFonts w:hint="eastAsia" w:ascii="Times New Roman" w:hAnsi="Times New Roman" w:eastAsia="宋体" w:cs="Times New Roman"/>
          <w:highlight w:val="none"/>
          <w:lang w:eastAsia="zh-CN"/>
        </w:rPr>
        <w:t>）；</w:t>
      </w:r>
    </w:p>
    <w:p>
      <w:pPr>
        <w:ind w:firstLine="420" w:firstLineChars="200"/>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val="en-US" w:eastAsia="zh-CN"/>
        </w:rPr>
        <w:t>5</w:t>
      </w:r>
      <w:r>
        <w:rPr>
          <w:rFonts w:hint="eastAsia" w:ascii="Times New Roman" w:hAnsi="Times New Roman" w:eastAsia="宋体" w:cs="Times New Roman"/>
          <w:highlight w:val="none"/>
          <w:lang w:eastAsia="zh-CN"/>
        </w:rPr>
        <w:t>.每半年提交一次《深圳市罗湖区清水河街道办事处建筑工程安全巡查小结报告》（报告一式十份）；</w:t>
      </w:r>
    </w:p>
    <w:p>
      <w:pPr>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6.合同期满后一周内提交</w:t>
      </w:r>
      <w:r>
        <w:rPr>
          <w:rFonts w:hint="eastAsia" w:ascii="Times New Roman" w:hAnsi="Times New Roman" w:eastAsia="宋体" w:cs="Times New Roman"/>
          <w:highlight w:val="none"/>
          <w:lang w:eastAsia="zh-CN"/>
        </w:rPr>
        <w:t>《深圳市罗湖区清水河街道办事处建筑工程安全巡查总结报告》</w:t>
      </w:r>
      <w:r>
        <w:rPr>
          <w:rFonts w:hint="eastAsia" w:ascii="Times New Roman" w:hAnsi="Times New Roman" w:eastAsia="宋体" w:cs="Times New Roman"/>
          <w:highlight w:val="none"/>
          <w:lang w:val="en-US" w:eastAsia="zh-CN"/>
        </w:rPr>
        <w:t>（</w:t>
      </w:r>
      <w:r>
        <w:rPr>
          <w:rFonts w:hint="eastAsia" w:ascii="Times New Roman" w:hAnsi="Times New Roman" w:eastAsia="宋体" w:cs="Times New Roman"/>
          <w:highlight w:val="none"/>
          <w:lang w:eastAsia="zh-CN"/>
        </w:rPr>
        <w:t>报告一式十份</w:t>
      </w:r>
      <w:r>
        <w:rPr>
          <w:rFonts w:hint="eastAsia" w:ascii="Times New Roman" w:hAnsi="Times New Roman" w:eastAsia="宋体" w:cs="Times New Roman"/>
          <w:highlight w:val="none"/>
          <w:lang w:val="en-US" w:eastAsia="zh-CN"/>
        </w:rPr>
        <w:t>）；</w:t>
      </w:r>
    </w:p>
    <w:p>
      <w:pPr>
        <w:ind w:firstLine="420" w:firstLineChars="20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7.每月30号前提供总结报告；</w:t>
      </w:r>
    </w:p>
    <w:p>
      <w:pPr>
        <w:pStyle w:val="89"/>
        <w:numPr>
          <w:ilvl w:val="0"/>
          <w:numId w:val="0"/>
        </w:numPr>
        <w:rPr>
          <w:rFonts w:hint="eastAsia" w:ascii="宋体" w:hAnsi="宋体"/>
          <w:snapToGrid w:val="0"/>
          <w:kern w:val="0"/>
          <w:highlight w:val="yellow"/>
          <w:lang w:eastAsia="zh-CN"/>
        </w:rPr>
      </w:pPr>
    </w:p>
    <w:p/>
    <w:bookmarkEnd w:id="14"/>
    <w:p>
      <w:pPr>
        <w:pStyle w:val="4"/>
        <w:jc w:val="center"/>
        <w:rPr>
          <w:rFonts w:hint="eastAsia" w:ascii="黑体" w:eastAsia="黑体"/>
          <w:b w:val="0"/>
          <w:kern w:val="0"/>
          <w:sz w:val="24"/>
        </w:rPr>
      </w:pPr>
      <w:bookmarkStart w:id="15" w:name="_Toc128884465"/>
      <w:r>
        <w:rPr>
          <w:rFonts w:hint="eastAsia" w:ascii="黑体" w:eastAsia="黑体"/>
          <w:b w:val="0"/>
          <w:kern w:val="0"/>
          <w:sz w:val="24"/>
        </w:rPr>
        <w:t>三、</w:t>
      </w:r>
      <w:bookmarkEnd w:id="15"/>
      <w:r>
        <w:rPr>
          <w:rFonts w:hint="eastAsia" w:ascii="黑体" w:eastAsia="黑体"/>
          <w:b w:val="0"/>
          <w:kern w:val="0"/>
          <w:sz w:val="24"/>
        </w:rPr>
        <w:t>项目商务要求</w:t>
      </w:r>
    </w:p>
    <w:p>
      <w:pPr>
        <w:pStyle w:val="5"/>
        <w:jc w:val="center"/>
        <w:rPr>
          <w:b w:val="0"/>
          <w:bCs w:val="0"/>
          <w:sz w:val="24"/>
          <w:szCs w:val="24"/>
        </w:rPr>
      </w:pPr>
      <w:r>
        <w:rPr>
          <w:rFonts w:hint="eastAsia"/>
          <w:b w:val="0"/>
          <w:bCs w:val="0"/>
          <w:sz w:val="24"/>
          <w:szCs w:val="24"/>
        </w:rPr>
        <w:t>（一）履约保证金</w:t>
      </w:r>
    </w:p>
    <w:p>
      <w:pPr>
        <w:pStyle w:val="8"/>
        <w:spacing w:before="60" w:beforeLines="25" w:after="60" w:afterLines="25" w:line="360" w:lineRule="exact"/>
        <w:ind w:firstLine="392" w:firstLineChars="187"/>
        <w:rPr>
          <w:rFonts w:hint="eastAsia" w:ascii="宋体" w:hAnsi="宋体"/>
          <w:color w:val="000000"/>
          <w:szCs w:val="21"/>
        </w:rPr>
      </w:pPr>
      <w:r>
        <w:rPr>
          <w:rFonts w:hint="eastAsia" w:ascii="宋体" w:hAnsi="宋体"/>
          <w:color w:val="000000"/>
          <w:szCs w:val="21"/>
        </w:rPr>
        <w:t>本项目无需提供履约保证金。</w:t>
      </w:r>
    </w:p>
    <w:p>
      <w:pPr>
        <w:pStyle w:val="5"/>
        <w:spacing w:line="400" w:lineRule="exact"/>
        <w:jc w:val="center"/>
        <w:rPr>
          <w:b w:val="0"/>
          <w:bCs w:val="0"/>
          <w:sz w:val="24"/>
          <w:szCs w:val="24"/>
        </w:rPr>
      </w:pPr>
      <w:bookmarkStart w:id="16" w:name="OLE_LINK9"/>
      <w:r>
        <w:rPr>
          <w:rFonts w:hint="eastAsia"/>
          <w:b w:val="0"/>
          <w:bCs w:val="0"/>
          <w:sz w:val="24"/>
          <w:szCs w:val="24"/>
        </w:rPr>
        <w:t>（二）投标报价构成</w:t>
      </w:r>
    </w:p>
    <w:bookmarkEnd w:id="16"/>
    <w:p>
      <w:pPr>
        <w:widowControl/>
        <w:spacing w:line="360" w:lineRule="exact"/>
        <w:ind w:firstLine="420" w:firstLineChars="200"/>
        <w:jc w:val="left"/>
        <w:rPr>
          <w:rFonts w:hint="eastAsia" w:ascii="宋体" w:hAnsi="宋体" w:eastAsiaTheme="minorEastAsia" w:cstheme="minorBidi"/>
          <w:color w:val="000000"/>
          <w:szCs w:val="21"/>
        </w:rPr>
      </w:pPr>
      <w:r>
        <w:rPr>
          <w:rFonts w:hint="eastAsia" w:ascii="宋体" w:hAnsi="宋体" w:eastAsiaTheme="minorEastAsia" w:cstheme="minorBidi"/>
          <w:color w:val="000000"/>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spacing w:line="360" w:lineRule="exact"/>
        <w:ind w:firstLine="420" w:firstLineChars="200"/>
        <w:jc w:val="left"/>
        <w:rPr>
          <w:rFonts w:hint="eastAsia" w:ascii="宋体" w:hAnsi="宋体" w:eastAsiaTheme="minorEastAsia" w:cstheme="minorBidi"/>
          <w:color w:val="000000"/>
          <w:szCs w:val="21"/>
        </w:rPr>
      </w:pPr>
      <w:r>
        <w:rPr>
          <w:rFonts w:hint="eastAsia" w:ascii="宋体" w:hAnsi="宋体" w:eastAsiaTheme="minorEastAsia" w:cstheme="minorBidi"/>
          <w:color w:val="000000"/>
          <w:szCs w:val="21"/>
        </w:rPr>
        <w:t>2、投标人应充分了解项目的位置、情况、道路及任何其它足以影响投标报价的情况，任何因忽视或误解项目情况而导致的索赔或服务期限延长申请将不获批准。</w:t>
      </w:r>
    </w:p>
    <w:p>
      <w:pPr>
        <w:widowControl/>
        <w:spacing w:line="360" w:lineRule="exact"/>
        <w:ind w:firstLine="420" w:firstLineChars="200"/>
        <w:jc w:val="left"/>
        <w:rPr>
          <w:rFonts w:hint="eastAsia" w:ascii="宋体" w:hAnsi="宋体" w:eastAsiaTheme="minorEastAsia" w:cstheme="minorBidi"/>
          <w:color w:val="000000"/>
          <w:szCs w:val="21"/>
        </w:rPr>
      </w:pPr>
      <w:r>
        <w:rPr>
          <w:rFonts w:hint="eastAsia" w:ascii="宋体" w:hAnsi="宋体" w:eastAsiaTheme="minorEastAsia" w:cstheme="minorBidi"/>
          <w:color w:val="000000"/>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spacing w:line="360" w:lineRule="exact"/>
        <w:ind w:firstLine="420" w:firstLineChars="200"/>
        <w:jc w:val="left"/>
        <w:rPr>
          <w:rFonts w:hint="eastAsia" w:ascii="宋体" w:hAnsi="宋体" w:eastAsiaTheme="minorEastAsia" w:cstheme="minorBidi"/>
          <w:color w:val="000000"/>
          <w:szCs w:val="21"/>
        </w:rPr>
      </w:pPr>
      <w:r>
        <w:rPr>
          <w:rFonts w:hint="eastAsia" w:ascii="宋体" w:hAnsi="宋体" w:eastAsiaTheme="minorEastAsia" w:cstheme="minorBidi"/>
          <w:color w:val="000000"/>
          <w:szCs w:val="21"/>
        </w:rPr>
        <w:t>4、除政府采购合同继续履行将损害国家利益和社会公共利益外，双方当事人不得擅自变更、中止或者终止合同。</w:t>
      </w:r>
    </w:p>
    <w:p>
      <w:pPr>
        <w:pStyle w:val="5"/>
        <w:spacing w:line="400" w:lineRule="exact"/>
        <w:jc w:val="center"/>
        <w:rPr>
          <w:b w:val="0"/>
          <w:bCs w:val="0"/>
          <w:sz w:val="24"/>
          <w:szCs w:val="24"/>
        </w:rPr>
      </w:pPr>
      <w:bookmarkStart w:id="17" w:name="OLE_LINK37"/>
      <w:r>
        <w:rPr>
          <w:rFonts w:hint="eastAsia"/>
          <w:b w:val="0"/>
          <w:bCs w:val="0"/>
          <w:sz w:val="24"/>
          <w:szCs w:val="24"/>
        </w:rPr>
        <w:t>（三）其他重要条款</w:t>
      </w:r>
    </w:p>
    <w:p>
      <w:pPr>
        <w:widowControl/>
        <w:spacing w:line="360" w:lineRule="exact"/>
        <w:ind w:firstLine="420" w:firstLineChars="200"/>
        <w:jc w:val="left"/>
        <w:rPr>
          <w:rFonts w:hint="eastAsia" w:ascii="宋体" w:hAnsi="宋体" w:eastAsiaTheme="minorEastAsia" w:cstheme="minorBidi"/>
          <w:color w:val="000000"/>
          <w:szCs w:val="21"/>
        </w:rPr>
      </w:pPr>
      <w:r>
        <w:rPr>
          <w:rFonts w:hint="eastAsia" w:ascii="宋体" w:hAnsi="宋体" w:eastAsiaTheme="minorEastAsia" w:cstheme="minorBidi"/>
          <w:color w:val="000000"/>
          <w:szCs w:val="21"/>
        </w:rPr>
        <w:t>1、“信用中国”中“信用服务”栏的“重大税收违法失信主体”“失信被执行人”，“中国政府采购网”中的“政府采购严重违法失信行为记录名单”，“深圳市政府采购监管网”以及财政部门认可的“供应商诚信档案库”为供应商信用信息的查询渠道，相关信息以开标当日的查询结果为准</w:t>
      </w:r>
      <w:r>
        <w:rPr>
          <w:rFonts w:hint="eastAsia" w:ascii="宋体" w:hAnsi="宋体"/>
        </w:rPr>
        <w:t>；</w:t>
      </w:r>
      <w:r>
        <w:rPr>
          <w:rFonts w:hint="eastAsia" w:ascii="宋体" w:hAnsi="宋体" w:eastAsiaTheme="minorEastAsia" w:cstheme="minorBidi"/>
          <w:color w:val="000000"/>
          <w:szCs w:val="21"/>
        </w:rPr>
        <w:t>如开标当日网站出现网站无法打开的特殊情况，相关信息则以中标通知书发出前的查询结果为准。</w:t>
      </w:r>
    </w:p>
    <w:p>
      <w:pPr>
        <w:widowControl/>
        <w:spacing w:line="360" w:lineRule="exact"/>
        <w:ind w:firstLine="420" w:firstLineChars="200"/>
        <w:jc w:val="left"/>
        <w:rPr>
          <w:rFonts w:hint="eastAsia" w:ascii="宋体" w:hAnsi="宋体" w:eastAsiaTheme="minorEastAsia" w:cstheme="minorBidi"/>
          <w:color w:val="000000"/>
          <w:szCs w:val="21"/>
        </w:rPr>
      </w:pPr>
      <w:r>
        <w:rPr>
          <w:rFonts w:hint="eastAsia" w:ascii="宋体" w:hAnsi="宋体" w:eastAsiaTheme="minorEastAsia" w:cstheme="minorBidi"/>
          <w:color w:val="000000"/>
          <w:szCs w:val="21"/>
        </w:rPr>
        <w:t>2、供应商提供报价合理性、澄清、说明、补正或者错误的修正的方式，包括但不限于现场提交（地址：深圳市罗湖区深南东路1076号党群服务中心4楼）、电邮提交（邮箱：szexlhfgs@szexgrp.com）等便捷方式。</w:t>
      </w:r>
    </w:p>
    <w:bookmarkEnd w:id="17"/>
    <w:p>
      <w:pPr>
        <w:widowControl/>
        <w:spacing w:line="360" w:lineRule="exact"/>
        <w:ind w:firstLine="482" w:firstLineChars="200"/>
        <w:jc w:val="left"/>
        <w:rPr>
          <w:rFonts w:hint="eastAsia" w:ascii="黑体" w:hAnsi="宋体" w:eastAsia="黑体" w:cs="宋体"/>
          <w:kern w:val="0"/>
          <w:sz w:val="24"/>
          <w:szCs w:val="32"/>
        </w:rPr>
      </w:pPr>
      <w:r>
        <w:rPr>
          <w:rFonts w:ascii="黑体" w:eastAsia="黑体"/>
          <w:b/>
          <w:kern w:val="0"/>
          <w:sz w:val="24"/>
        </w:rPr>
        <w:br w:type="page"/>
      </w:r>
    </w:p>
    <w:p>
      <w:pPr>
        <w:pStyle w:val="4"/>
        <w:jc w:val="center"/>
        <w:rPr>
          <w:rFonts w:hint="eastAsia" w:ascii="黑体" w:eastAsia="黑体"/>
          <w:b w:val="0"/>
          <w:kern w:val="0"/>
          <w:sz w:val="24"/>
        </w:rPr>
      </w:pPr>
      <w:r>
        <w:rPr>
          <w:rFonts w:hint="eastAsia" w:ascii="黑体" w:eastAsia="黑体"/>
          <w:b w:val="0"/>
          <w:kern w:val="0"/>
          <w:sz w:val="24"/>
        </w:rPr>
        <w:t>四、投标文件组成</w:t>
      </w:r>
    </w:p>
    <w:p>
      <w:pPr>
        <w:ind w:firstLine="422" w:firstLineChars="200"/>
        <w:rPr>
          <w:rFonts w:hint="eastAsia" w:ascii="宋体" w:hAnsi="宋体"/>
          <w:b/>
          <w:snapToGrid w:val="0"/>
          <w:color w:val="FF0000"/>
          <w:kern w:val="0"/>
        </w:rPr>
      </w:pPr>
      <w:r>
        <w:rPr>
          <w:rFonts w:hint="eastAsia" w:ascii="宋体" w:hAnsi="宋体"/>
          <w:b/>
          <w:snapToGrid w:val="0"/>
          <w:color w:val="FF0000"/>
          <w:kern w:val="0"/>
          <w:highlight w:val="yellow"/>
        </w:rPr>
        <w:t>投标文件扫描成.pdf同时上传至“报名方案”、“报名附件”。（注意：投标供应商上传至“报名方案”、“报名附件”的投标文件内容需一致，上传不一致的，以“报名方案”的投标文件为准。）</w:t>
      </w:r>
    </w:p>
    <w:p>
      <w:pPr>
        <w:ind w:firstLine="422" w:firstLineChars="200"/>
        <w:rPr>
          <w:b/>
          <w:color w:val="FF0000"/>
          <w:highlight w:val="yellow"/>
        </w:rPr>
      </w:pPr>
    </w:p>
    <w:p>
      <w:pPr>
        <w:ind w:firstLine="422" w:firstLineChars="200"/>
        <w:rPr>
          <w:b/>
          <w:color w:val="FF0000"/>
        </w:rPr>
      </w:pPr>
      <w:r>
        <w:rPr>
          <w:rFonts w:hint="eastAsia"/>
          <w:b/>
          <w:color w:val="FF0000"/>
          <w:highlight w:val="yellow"/>
        </w:rPr>
        <w:t>重要提醒：投标供应商在编辑投标文件时，在投标文件目录中属于本节点内容的必须在本节点中填写，填写到其他节点将可能导致投标无效，一切后果由供应商自行承担。</w:t>
      </w:r>
    </w:p>
    <w:p>
      <w:pPr>
        <w:spacing w:line="320" w:lineRule="exact"/>
        <w:ind w:firstLine="422" w:firstLineChars="200"/>
        <w:rPr>
          <w:rFonts w:hint="eastAsia" w:ascii="宋体" w:hAnsi="宋体"/>
          <w:b/>
          <w:snapToGrid w:val="0"/>
          <w:color w:val="FF0000"/>
          <w:kern w:val="0"/>
          <w:highlight w:val="yellow"/>
        </w:rPr>
      </w:pPr>
    </w:p>
    <w:p>
      <w:pPr>
        <w:spacing w:line="400" w:lineRule="exact"/>
        <w:ind w:firstLine="420" w:firstLineChars="200"/>
        <w:rPr>
          <w:rFonts w:hint="eastAsia" w:ascii="宋体" w:hAnsi="宋体"/>
          <w:color w:val="000000"/>
          <w:szCs w:val="21"/>
        </w:rPr>
      </w:pPr>
      <w:r>
        <w:rPr>
          <w:rFonts w:hint="eastAsia" w:ascii="宋体" w:hAnsi="宋体"/>
          <w:color w:val="000000"/>
          <w:szCs w:val="21"/>
        </w:rPr>
        <w:t>投标供应商编写的投标文件应包括下列部分：</w:t>
      </w:r>
    </w:p>
    <w:p>
      <w:pPr>
        <w:spacing w:line="400" w:lineRule="exact"/>
        <w:ind w:firstLine="843" w:firstLineChars="400"/>
        <w:rPr>
          <w:rFonts w:hint="eastAsia" w:ascii="宋体" w:hAnsi="宋体"/>
          <w:b/>
          <w:color w:val="000000"/>
          <w:szCs w:val="21"/>
        </w:rPr>
      </w:pPr>
      <w:r>
        <w:rPr>
          <w:rFonts w:hint="eastAsia" w:ascii="宋体" w:hAnsi="宋体"/>
          <w:b/>
          <w:color w:val="000000"/>
          <w:szCs w:val="21"/>
        </w:rPr>
        <w:t>一、关键信息</w:t>
      </w:r>
    </w:p>
    <w:p>
      <w:pPr>
        <w:spacing w:line="400" w:lineRule="exact"/>
        <w:ind w:firstLine="840" w:firstLineChars="400"/>
        <w:rPr>
          <w:rFonts w:hint="eastAsia" w:ascii="宋体" w:hAnsi="宋体"/>
          <w:color w:val="000000"/>
          <w:szCs w:val="21"/>
        </w:rPr>
      </w:pPr>
      <w:r>
        <w:rPr>
          <w:rFonts w:hint="eastAsia" w:ascii="宋体" w:hAnsi="宋体"/>
          <w:color w:val="000000"/>
          <w:szCs w:val="21"/>
        </w:rPr>
        <w:t>（1）开标一览表</w:t>
      </w:r>
    </w:p>
    <w:p>
      <w:pPr>
        <w:spacing w:line="400" w:lineRule="exact"/>
        <w:ind w:firstLine="840" w:firstLineChars="400"/>
        <w:rPr>
          <w:rFonts w:hint="eastAsia" w:ascii="宋体" w:hAnsi="宋体"/>
          <w:color w:val="000000"/>
          <w:szCs w:val="21"/>
        </w:rPr>
      </w:pPr>
      <w:r>
        <w:rPr>
          <w:rFonts w:hint="eastAsia" w:ascii="宋体" w:hAnsi="宋体"/>
          <w:color w:val="000000"/>
          <w:szCs w:val="21"/>
        </w:rPr>
        <w:t>（2）政府采购投标及履约承诺函</w:t>
      </w:r>
    </w:p>
    <w:p>
      <w:pPr>
        <w:spacing w:line="400" w:lineRule="exact"/>
        <w:ind w:firstLine="840" w:firstLineChars="400"/>
        <w:rPr>
          <w:rFonts w:hint="eastAsia" w:ascii="宋体" w:hAnsi="宋体"/>
          <w:color w:val="000000"/>
          <w:szCs w:val="21"/>
        </w:rPr>
      </w:pPr>
      <w:r>
        <w:rPr>
          <w:rFonts w:hint="eastAsia" w:ascii="宋体" w:hAnsi="宋体"/>
          <w:color w:val="000000"/>
          <w:szCs w:val="21"/>
        </w:rPr>
        <w:t>（3）供应商资格证明文件</w:t>
      </w:r>
    </w:p>
    <w:p>
      <w:pPr>
        <w:spacing w:line="400" w:lineRule="exact"/>
        <w:ind w:firstLine="840" w:firstLineChars="400"/>
        <w:rPr>
          <w:rFonts w:hint="eastAsia" w:ascii="宋体" w:hAnsi="宋体"/>
          <w:color w:val="000000"/>
          <w:szCs w:val="21"/>
        </w:rPr>
      </w:pPr>
      <w:r>
        <w:rPr>
          <w:rFonts w:hint="eastAsia" w:ascii="宋体" w:hAnsi="宋体"/>
          <w:color w:val="000000"/>
          <w:szCs w:val="21"/>
        </w:rPr>
        <w:t>（4）实质性服务条款（以★号标注）证明文件（如有）</w:t>
      </w:r>
    </w:p>
    <w:p>
      <w:pPr>
        <w:spacing w:line="400" w:lineRule="exact"/>
        <w:ind w:firstLine="840" w:firstLineChars="400"/>
        <w:rPr>
          <w:rFonts w:hint="eastAsia" w:ascii="宋体" w:hAnsi="宋体"/>
          <w:color w:val="000000"/>
          <w:szCs w:val="21"/>
        </w:rPr>
      </w:pPr>
      <w:r>
        <w:rPr>
          <w:rFonts w:hint="eastAsia" w:ascii="宋体" w:hAnsi="宋体"/>
          <w:color w:val="000000"/>
          <w:szCs w:val="21"/>
        </w:rPr>
        <w:t>（5）法定代表人（负责人）资格证明书</w:t>
      </w:r>
    </w:p>
    <w:p>
      <w:pPr>
        <w:spacing w:line="400" w:lineRule="exact"/>
        <w:ind w:firstLine="840" w:firstLineChars="400"/>
        <w:rPr>
          <w:rFonts w:hint="eastAsia" w:ascii="宋体" w:hAnsi="宋体"/>
          <w:color w:val="000000"/>
          <w:szCs w:val="21"/>
        </w:rPr>
      </w:pPr>
      <w:r>
        <w:rPr>
          <w:rFonts w:hint="eastAsia" w:ascii="宋体" w:hAnsi="宋体"/>
          <w:color w:val="000000"/>
          <w:szCs w:val="21"/>
        </w:rPr>
        <w:t>（6）投标文件签署授权委托书</w:t>
      </w:r>
    </w:p>
    <w:p>
      <w:pPr>
        <w:spacing w:line="400" w:lineRule="exact"/>
        <w:ind w:firstLine="840" w:firstLineChars="400"/>
        <w:rPr>
          <w:rFonts w:hint="eastAsia" w:ascii="宋体" w:hAnsi="宋体"/>
          <w:color w:val="000000"/>
          <w:szCs w:val="21"/>
        </w:rPr>
      </w:pPr>
      <w:r>
        <w:rPr>
          <w:rFonts w:hint="eastAsia" w:ascii="宋体" w:hAnsi="宋体"/>
          <w:color w:val="000000"/>
          <w:szCs w:val="21"/>
        </w:rPr>
        <w:t>（7）分项报价清单</w:t>
      </w:r>
    </w:p>
    <w:p>
      <w:pPr>
        <w:spacing w:line="400" w:lineRule="exact"/>
        <w:ind w:firstLine="843" w:firstLineChars="400"/>
        <w:rPr>
          <w:rFonts w:hint="eastAsia" w:ascii="宋体" w:hAnsi="宋体"/>
          <w:b/>
          <w:color w:val="000000"/>
          <w:szCs w:val="21"/>
        </w:rPr>
      </w:pPr>
      <w:r>
        <w:rPr>
          <w:rFonts w:hint="eastAsia" w:ascii="宋体" w:hAnsi="宋体"/>
          <w:b/>
          <w:color w:val="000000"/>
          <w:szCs w:val="21"/>
        </w:rPr>
        <w:t>二、技术服务部分</w:t>
      </w:r>
    </w:p>
    <w:p>
      <w:pPr>
        <w:spacing w:line="400" w:lineRule="exact"/>
        <w:ind w:firstLine="840" w:firstLineChars="400"/>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eastAsia="zh-CN"/>
        </w:rPr>
        <w:t>项目</w:t>
      </w:r>
      <w:r>
        <w:rPr>
          <w:rFonts w:hint="eastAsia" w:ascii="宋体" w:hAnsi="宋体"/>
        </w:rPr>
        <w:t>实施方案</w:t>
      </w:r>
    </w:p>
    <w:p>
      <w:pPr>
        <w:spacing w:line="400" w:lineRule="exact"/>
        <w:ind w:firstLine="840" w:firstLineChars="400"/>
        <w:rPr>
          <w:rFonts w:hint="eastAsia" w:ascii="宋体" w:hAnsi="宋体"/>
          <w:color w:val="000000"/>
          <w:szCs w:val="21"/>
        </w:rPr>
      </w:pPr>
      <w:r>
        <w:rPr>
          <w:rFonts w:hint="eastAsia" w:ascii="宋体" w:hAnsi="宋体"/>
          <w:color w:val="000000"/>
          <w:szCs w:val="21"/>
        </w:rPr>
        <w:t>（2）</w:t>
      </w:r>
      <w:r>
        <w:rPr>
          <w:rFonts w:hint="eastAsia" w:ascii="宋体" w:hAnsi="宋体"/>
        </w:rPr>
        <w:t>项目重点难点分析、应对措施及相关的合理化建议</w:t>
      </w:r>
    </w:p>
    <w:p>
      <w:pPr>
        <w:spacing w:line="400" w:lineRule="exact"/>
        <w:ind w:firstLine="840" w:firstLineChars="400"/>
        <w:rPr>
          <w:rFonts w:hint="eastAsia" w:ascii="宋体" w:hAnsi="宋体"/>
          <w:lang w:val="en-US" w:eastAsia="zh-CN"/>
        </w:rPr>
      </w:pPr>
      <w:r>
        <w:rPr>
          <w:rFonts w:hint="eastAsia" w:ascii="宋体" w:hAnsi="宋体"/>
        </w:rPr>
        <w:t>（3）质量保障措施及方案</w:t>
      </w:r>
      <w:r>
        <w:rPr>
          <w:rFonts w:hint="eastAsia" w:ascii="宋体" w:hAnsi="宋体"/>
          <w:lang w:val="en-US" w:eastAsia="zh-CN"/>
        </w:rPr>
        <w:t xml:space="preserve"> </w:t>
      </w:r>
    </w:p>
    <w:p>
      <w:pPr>
        <w:spacing w:line="400" w:lineRule="exact"/>
        <w:ind w:firstLine="843" w:firstLineChars="400"/>
        <w:rPr>
          <w:rFonts w:hint="eastAsia" w:ascii="宋体" w:hAnsi="宋体"/>
          <w:b/>
          <w:color w:val="000000"/>
          <w:szCs w:val="21"/>
        </w:rPr>
      </w:pPr>
      <w:r>
        <w:rPr>
          <w:rFonts w:hint="eastAsia" w:ascii="宋体" w:hAnsi="宋体"/>
          <w:b/>
          <w:color w:val="000000"/>
          <w:szCs w:val="21"/>
        </w:rPr>
        <w:t>三、综合实力部分</w:t>
      </w:r>
    </w:p>
    <w:p>
      <w:pPr>
        <w:spacing w:line="400" w:lineRule="exact"/>
        <w:ind w:firstLine="840" w:firstLineChars="400"/>
        <w:rPr>
          <w:rFonts w:hint="eastAsia" w:ascii="宋体" w:hAnsi="宋体"/>
          <w:szCs w:val="21"/>
          <w:lang w:val="en-US" w:eastAsia="zh-CN"/>
        </w:rPr>
      </w:pPr>
      <w:r>
        <w:rPr>
          <w:rFonts w:hint="eastAsia" w:ascii="宋体" w:hAnsi="宋体"/>
          <w:szCs w:val="21"/>
        </w:rPr>
        <w:t>（</w:t>
      </w:r>
      <w:r>
        <w:rPr>
          <w:rFonts w:hint="eastAsia" w:ascii="宋体" w:hAnsi="宋体"/>
          <w:szCs w:val="21"/>
          <w:lang w:val="en-US" w:eastAsia="zh-CN"/>
        </w:rPr>
        <w:t>1</w:t>
      </w:r>
      <w:r>
        <w:rPr>
          <w:rFonts w:hint="eastAsia" w:ascii="宋体" w:hAnsi="宋体"/>
          <w:szCs w:val="21"/>
        </w:rPr>
        <w:t>）拟安排的项目负责人（仅限1人）情况</w:t>
      </w:r>
      <w:r>
        <w:rPr>
          <w:rFonts w:hint="eastAsia" w:ascii="宋体" w:hAnsi="宋体"/>
          <w:szCs w:val="21"/>
          <w:lang w:val="en-US" w:eastAsia="zh-CN"/>
        </w:rPr>
        <w:t xml:space="preserve"> </w:t>
      </w:r>
    </w:p>
    <w:p>
      <w:pPr>
        <w:spacing w:line="400" w:lineRule="exact"/>
        <w:ind w:firstLine="840" w:firstLineChars="400"/>
        <w:rPr>
          <w:rFonts w:hint="eastAsia" w:ascii="宋体" w:hAnsi="宋体" w:eastAsia="宋体"/>
          <w:b/>
          <w:color w:val="558ED5" w:themeColor="text2" w:themeTint="99"/>
          <w:szCs w:val="21"/>
          <w:lang w:val="en-US" w:eastAsia="zh-CN"/>
          <w14:textFill>
            <w14:solidFill>
              <w14:schemeClr w14:val="tx2">
                <w14:lumMod w14:val="60000"/>
                <w14:lumOff w14:val="40000"/>
              </w14:schemeClr>
            </w14:solidFill>
          </w14:textFill>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）拟安排的技术团队情况（项目负责人除外）</w:t>
      </w:r>
      <w:r>
        <w:rPr>
          <w:rFonts w:hint="eastAsia" w:ascii="宋体" w:hAnsi="宋体"/>
          <w:color w:val="558ED5" w:themeColor="text2" w:themeTint="99"/>
          <w:szCs w:val="21"/>
          <w:lang w:val="en-US" w:eastAsia="zh-CN"/>
          <w14:textFill>
            <w14:solidFill>
              <w14:schemeClr w14:val="tx2">
                <w14:lumMod w14:val="60000"/>
                <w14:lumOff w14:val="40000"/>
              </w14:schemeClr>
            </w14:solidFill>
          </w14:textFill>
        </w:rPr>
        <w:t xml:space="preserve"> </w:t>
      </w:r>
    </w:p>
    <w:p>
      <w:pPr>
        <w:spacing w:line="400" w:lineRule="exact"/>
        <w:ind w:firstLine="840" w:firstLineChars="400"/>
        <w:rPr>
          <w:rFonts w:hint="eastAsia"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3</w:t>
      </w:r>
      <w:r>
        <w:rPr>
          <w:rFonts w:hint="eastAsia" w:ascii="宋体" w:hAnsi="宋体"/>
          <w:color w:val="000000"/>
          <w:szCs w:val="21"/>
        </w:rPr>
        <w:t>）</w:t>
      </w:r>
      <w:r>
        <w:rPr>
          <w:rFonts w:hint="eastAsia" w:ascii="宋体" w:hAnsi="宋体"/>
          <w:szCs w:val="21"/>
        </w:rPr>
        <w:t>同类项目业绩能力</w:t>
      </w:r>
    </w:p>
    <w:p>
      <w:pPr>
        <w:spacing w:line="400" w:lineRule="exact"/>
        <w:ind w:firstLine="840" w:firstLineChars="400"/>
        <w:rPr>
          <w:rFonts w:hint="eastAsia" w:ascii="宋体" w:hAnsi="宋体"/>
          <w:szCs w:val="21"/>
        </w:rPr>
      </w:pPr>
      <w:r>
        <w:rPr>
          <w:rFonts w:hint="eastAsia" w:ascii="宋体" w:hAnsi="宋体"/>
          <w:color w:val="000000"/>
          <w:szCs w:val="21"/>
        </w:rPr>
        <w:t>（</w:t>
      </w:r>
      <w:r>
        <w:rPr>
          <w:rFonts w:hint="eastAsia" w:ascii="宋体" w:hAnsi="宋体"/>
          <w:color w:val="000000"/>
          <w:szCs w:val="21"/>
          <w:lang w:val="en-US" w:eastAsia="zh-CN"/>
        </w:rPr>
        <w:t>4</w:t>
      </w:r>
      <w:r>
        <w:rPr>
          <w:rFonts w:hint="eastAsia" w:ascii="宋体" w:hAnsi="宋体"/>
          <w:color w:val="000000"/>
          <w:szCs w:val="21"/>
        </w:rPr>
        <w:t>）</w:t>
      </w:r>
      <w:r>
        <w:rPr>
          <w:rFonts w:hint="eastAsia" w:ascii="宋体" w:hAnsi="宋体"/>
          <w:szCs w:val="21"/>
        </w:rPr>
        <w:t>履约评价</w:t>
      </w:r>
    </w:p>
    <w:p>
      <w:pPr>
        <w:spacing w:line="400" w:lineRule="exact"/>
        <w:ind w:firstLine="840" w:firstLineChars="400"/>
        <w:rPr>
          <w:rFonts w:hint="eastAsia" w:ascii="宋体" w:hAnsi="宋体"/>
          <w:szCs w:val="21"/>
        </w:rPr>
      </w:pPr>
      <w:r>
        <w:rPr>
          <w:rFonts w:hint="eastAsia" w:ascii="宋体" w:hAnsi="宋体"/>
          <w:color w:val="000000"/>
          <w:szCs w:val="21"/>
        </w:rPr>
        <w:t>（</w:t>
      </w:r>
      <w:r>
        <w:rPr>
          <w:rFonts w:hint="eastAsia" w:ascii="宋体" w:hAnsi="宋体"/>
          <w:color w:val="000000"/>
          <w:szCs w:val="21"/>
          <w:lang w:val="en-US" w:eastAsia="zh-CN"/>
        </w:rPr>
        <w:t>5</w:t>
      </w:r>
      <w:r>
        <w:rPr>
          <w:rFonts w:hint="eastAsia" w:ascii="宋体" w:hAnsi="宋体"/>
          <w:color w:val="000000"/>
          <w:szCs w:val="21"/>
        </w:rPr>
        <w:t>）</w:t>
      </w:r>
      <w:r>
        <w:rPr>
          <w:rFonts w:hint="eastAsia" w:ascii="宋体" w:hAnsi="宋体"/>
          <w:szCs w:val="21"/>
        </w:rPr>
        <w:t>企业相关认证情况</w:t>
      </w:r>
    </w:p>
    <w:p>
      <w:pPr>
        <w:spacing w:line="400" w:lineRule="exact"/>
        <w:ind w:firstLine="843" w:firstLineChars="400"/>
        <w:rPr>
          <w:rFonts w:hint="eastAsia" w:ascii="宋体" w:hAnsi="宋体"/>
          <w:b/>
          <w:color w:val="000000"/>
          <w:szCs w:val="21"/>
        </w:rPr>
      </w:pPr>
      <w:r>
        <w:rPr>
          <w:rFonts w:hint="eastAsia" w:ascii="宋体" w:hAnsi="宋体"/>
          <w:b/>
          <w:color w:val="000000"/>
          <w:szCs w:val="21"/>
        </w:rPr>
        <w:t>四、招标</w:t>
      </w:r>
      <w:r>
        <w:rPr>
          <w:rFonts w:ascii="宋体" w:hAnsi="宋体"/>
          <w:b/>
          <w:color w:val="000000"/>
          <w:szCs w:val="21"/>
        </w:rPr>
        <w:t>文件要求的其它内容及投标</w:t>
      </w:r>
      <w:r>
        <w:rPr>
          <w:rFonts w:hint="eastAsia" w:ascii="宋体" w:hAnsi="宋体"/>
          <w:b/>
          <w:color w:val="000000"/>
          <w:szCs w:val="21"/>
        </w:rPr>
        <w:t>供应商</w:t>
      </w:r>
      <w:r>
        <w:rPr>
          <w:rFonts w:ascii="宋体" w:hAnsi="宋体"/>
          <w:b/>
          <w:color w:val="000000"/>
          <w:szCs w:val="21"/>
        </w:rPr>
        <w:t>认为需要补充的内容</w:t>
      </w:r>
    </w:p>
    <w:p>
      <w:pPr>
        <w:spacing w:line="400" w:lineRule="exact"/>
        <w:ind w:firstLine="840" w:firstLineChars="400"/>
        <w:rPr>
          <w:rFonts w:hint="eastAsia" w:ascii="宋体" w:hAnsi="宋体"/>
          <w:color w:val="000000"/>
          <w:szCs w:val="21"/>
        </w:rPr>
      </w:pPr>
      <w:r>
        <w:rPr>
          <w:rFonts w:hint="eastAsia" w:ascii="宋体" w:hAnsi="宋体"/>
          <w:color w:val="000000"/>
          <w:szCs w:val="21"/>
        </w:rPr>
        <w:t>（1）政府采购违法行为风险知悉确认书</w:t>
      </w:r>
    </w:p>
    <w:p>
      <w:pPr>
        <w:rPr>
          <w:rFonts w:hint="eastAsia" w:ascii="宋体" w:hAnsi="宋体"/>
          <w:color w:val="000000"/>
          <w:szCs w:val="21"/>
        </w:rPr>
      </w:pPr>
    </w:p>
    <w:p>
      <w:pPr>
        <w:pStyle w:val="3"/>
        <w:rPr>
          <w:rFonts w:hint="eastAsia"/>
          <w:sz w:val="24"/>
        </w:rPr>
      </w:pPr>
      <w:r>
        <w:rPr>
          <w:rFonts w:hint="eastAsia"/>
        </w:rPr>
        <w:t xml:space="preserve">第二册  </w:t>
      </w:r>
      <w:r>
        <w:rPr>
          <w:rFonts w:hint="eastAsia"/>
          <w:kern w:val="2"/>
        </w:rPr>
        <w:t>投标文件的格式及合同</w:t>
      </w:r>
    </w:p>
    <w:p>
      <w:pPr>
        <w:pStyle w:val="6"/>
        <w:rPr>
          <w:rFonts w:hint="eastAsia"/>
          <w:b w:val="0"/>
          <w:color w:val="000000"/>
        </w:rPr>
      </w:pPr>
      <w:bookmarkStart w:id="18" w:name="bt附件"/>
      <w:bookmarkEnd w:id="18"/>
      <w:bookmarkStart w:id="19" w:name="bt投标书"/>
      <w:bookmarkEnd w:id="19"/>
      <w:bookmarkStart w:id="20" w:name="_Toc194467285"/>
      <w:r>
        <w:rPr>
          <w:rFonts w:hint="eastAsia"/>
          <w:kern w:val="2"/>
        </w:rPr>
        <w:t>第一章  投标文件的格式</w:t>
      </w:r>
      <w:bookmarkEnd w:id="20"/>
    </w:p>
    <w:p>
      <w:pPr>
        <w:spacing w:line="360" w:lineRule="exact"/>
        <w:ind w:firstLine="422" w:firstLineChars="200"/>
        <w:rPr>
          <w:rFonts w:hint="eastAsia" w:ascii="宋体" w:hAnsi="宋体"/>
          <w:b/>
          <w:snapToGrid w:val="0"/>
          <w:color w:val="FF0000"/>
          <w:kern w:val="0"/>
        </w:rPr>
      </w:pPr>
      <w:r>
        <w:rPr>
          <w:rFonts w:hint="eastAsia" w:ascii="宋体" w:hAnsi="宋体"/>
          <w:b/>
          <w:snapToGrid w:val="0"/>
          <w:color w:val="FF0000"/>
          <w:kern w:val="0"/>
          <w:highlight w:val="yellow"/>
        </w:rPr>
        <w:t>投标文件扫描成.pdf同时上传至“报名方案”、“报名附件”。（注意：投标供应商上传至“报名方案”、“报名附件”的投标文件内容需一致，上传不一致的，以“报名方案”的投标文件为准。）</w:t>
      </w:r>
    </w:p>
    <w:p>
      <w:pPr>
        <w:spacing w:line="360" w:lineRule="exact"/>
        <w:rPr>
          <w:rFonts w:ascii="仿宋_GB2312" w:eastAsia="仿宋_GB2312"/>
          <w:color w:val="FF0000"/>
          <w:sz w:val="24"/>
        </w:rPr>
      </w:pPr>
    </w:p>
    <w:p>
      <w:pPr>
        <w:spacing w:line="360" w:lineRule="exact"/>
        <w:ind w:firstLine="422" w:firstLineChars="200"/>
        <w:rPr>
          <w:b/>
          <w:color w:val="FF0000"/>
          <w:szCs w:val="21"/>
        </w:rPr>
      </w:pPr>
      <w:r>
        <w:rPr>
          <w:rFonts w:hint="eastAsia"/>
          <w:b/>
          <w:color w:val="FF0000"/>
          <w:szCs w:val="21"/>
        </w:rPr>
        <w:t>温馨提示：</w:t>
      </w:r>
    </w:p>
    <w:p>
      <w:pPr>
        <w:spacing w:line="360" w:lineRule="exact"/>
        <w:ind w:firstLine="422" w:firstLineChars="200"/>
        <w:rPr>
          <w:rFonts w:hint="eastAsia" w:ascii="宋体" w:hAnsi="宋体"/>
          <w:color w:val="FF0000"/>
          <w:szCs w:val="21"/>
        </w:rPr>
      </w:pPr>
      <w:r>
        <w:rPr>
          <w:rFonts w:hint="eastAsia"/>
          <w:b/>
          <w:color w:val="FF0000"/>
          <w:szCs w:val="21"/>
        </w:rPr>
        <w:t>以下内容请供应商编写投标文件时重点关注，避免因格式问题出现失误，进而导致投标无效。以下内容属于常见失误情形：</w:t>
      </w:r>
    </w:p>
    <w:p>
      <w:pPr>
        <w:spacing w:line="360" w:lineRule="exact"/>
        <w:ind w:firstLine="480"/>
        <w:rPr>
          <w:rFonts w:hint="eastAsia" w:ascii="宋体" w:hAnsi="宋体"/>
          <w:color w:val="000000"/>
          <w:szCs w:val="21"/>
        </w:rPr>
      </w:pPr>
      <w:r>
        <w:rPr>
          <w:rFonts w:hint="eastAsia" w:ascii="宋体" w:hAnsi="宋体"/>
          <w:color w:val="000000"/>
          <w:szCs w:val="21"/>
        </w:rPr>
        <w:t>1.《</w:t>
      </w:r>
      <w:bookmarkStart w:id="21" w:name="OLE_LINK28"/>
      <w:r>
        <w:rPr>
          <w:rFonts w:hint="eastAsia" w:ascii="宋体" w:hAnsi="宋体"/>
          <w:color w:val="000000"/>
          <w:szCs w:val="21"/>
        </w:rPr>
        <w:t>政府采购投标及履约承诺函</w:t>
      </w:r>
      <w:bookmarkEnd w:id="21"/>
      <w:r>
        <w:rPr>
          <w:rFonts w:hint="eastAsia" w:ascii="宋体" w:hAnsi="宋体"/>
          <w:color w:val="000000"/>
          <w:szCs w:val="21"/>
        </w:rPr>
        <w:t>》、《法定代表人（负责人）资格证明书》、《投标文件签署授权委托书》、《分项报价清单》未按照招标文件规定的样式及要求填写；</w:t>
      </w:r>
    </w:p>
    <w:p>
      <w:pPr>
        <w:spacing w:line="360" w:lineRule="exact"/>
        <w:ind w:firstLine="480"/>
        <w:rPr>
          <w:rFonts w:hint="eastAsia" w:ascii="宋体" w:hAnsi="宋体"/>
          <w:color w:val="000000"/>
          <w:szCs w:val="21"/>
        </w:rPr>
      </w:pPr>
      <w:r>
        <w:rPr>
          <w:rFonts w:hint="eastAsia" w:ascii="宋体" w:hAnsi="宋体"/>
          <w:color w:val="000000"/>
          <w:szCs w:val="21"/>
        </w:rPr>
        <w:t>2.《政府采购投标及履约承诺函》中的抬头、项目编号、项目名称、投标供应商名称、法定代表人或其委托代理人的名称、日期填写错误；</w:t>
      </w:r>
    </w:p>
    <w:p>
      <w:pPr>
        <w:spacing w:line="360" w:lineRule="exact"/>
        <w:rPr>
          <w:rFonts w:hint="eastAsia" w:ascii="宋体" w:hAnsi="宋体"/>
          <w:color w:val="000000"/>
          <w:szCs w:val="21"/>
        </w:rPr>
      </w:pPr>
      <w:r>
        <w:rPr>
          <w:rFonts w:hint="eastAsia" w:ascii="宋体" w:hAnsi="宋体"/>
          <w:color w:val="000000"/>
          <w:szCs w:val="21"/>
        </w:rPr>
        <w:t>　　3.《法定代表人（负责人）资格证明书》中的姓名、身份证号填写错误，未附法定代表人（负责人）的身份证扫描件（正反两面）；</w:t>
      </w:r>
    </w:p>
    <w:p>
      <w:pPr>
        <w:spacing w:line="360" w:lineRule="exact"/>
        <w:rPr>
          <w:rFonts w:hint="eastAsia" w:ascii="宋体" w:hAnsi="宋体"/>
          <w:color w:val="000000"/>
          <w:szCs w:val="21"/>
        </w:rPr>
      </w:pPr>
      <w:r>
        <w:rPr>
          <w:rFonts w:hint="eastAsia" w:ascii="宋体" w:hAnsi="宋体"/>
          <w:color w:val="000000"/>
          <w:szCs w:val="21"/>
        </w:rPr>
        <w:t>　　4.《投标文件签署授权委托书》中的委托人的姓名、身份证号填写错误，受托人（代理人）的姓名、身份证号填写错误，授权委托日期填写错误，未附受托人（代理人）的身份证扫描件（正反两面）。</w:t>
      </w:r>
    </w:p>
    <w:p>
      <w:pPr>
        <w:rPr>
          <w:rFonts w:ascii="仿宋_GB2312" w:eastAsia="仿宋_GB2312"/>
          <w:sz w:val="24"/>
          <w:lang w:val="en"/>
        </w:rPr>
      </w:pPr>
    </w:p>
    <w:p>
      <w:pPr>
        <w:widowControl/>
        <w:jc w:val="left"/>
        <w:rPr>
          <w:rFonts w:hint="eastAsia" w:ascii="宋体" w:hAnsi="宋体" w:cs="宋体"/>
          <w:b/>
          <w:sz w:val="28"/>
          <w:szCs w:val="32"/>
        </w:rPr>
      </w:pPr>
      <w:bookmarkStart w:id="22" w:name="_Toc194467288"/>
      <w:r>
        <w:br w:type="page"/>
      </w:r>
    </w:p>
    <w:p>
      <w:pPr>
        <w:pStyle w:val="4"/>
        <w:jc w:val="center"/>
        <w:rPr>
          <w:rFonts w:hint="eastAsia"/>
        </w:rPr>
      </w:pPr>
      <w:r>
        <w:rPr>
          <w:rFonts w:hint="eastAsia"/>
        </w:rPr>
        <w:t>一、关键信息</w:t>
      </w:r>
    </w:p>
    <w:p>
      <w:pPr>
        <w:pStyle w:val="4"/>
        <w:jc w:val="center"/>
        <w:rPr>
          <w:rFonts w:hint="eastAsia"/>
        </w:rPr>
      </w:pPr>
      <w:r>
        <w:rPr>
          <w:rFonts w:hint="eastAsia"/>
        </w:rPr>
        <w:t>（一）开标一览表</w:t>
      </w:r>
    </w:p>
    <w:tbl>
      <w:tblPr>
        <w:tblStyle w:val="33"/>
        <w:tblW w:w="83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2410"/>
        <w:gridCol w:w="1680"/>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404"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pPr>
            <w:bookmarkStart w:id="23" w:name="OLE_LINK24" w:colFirst="0" w:colLast="3"/>
            <w:r>
              <w:t>项目名称</w:t>
            </w:r>
          </w:p>
        </w:tc>
        <w:tc>
          <w:tcPr>
            <w:tcW w:w="241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t>投标总价</w:t>
            </w:r>
          </w:p>
        </w:tc>
        <w:tc>
          <w:tcPr>
            <w:tcW w:w="168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rPr>
                <w:rFonts w:hint="eastAsia"/>
              </w:rPr>
              <w:t>服务期</w:t>
            </w:r>
          </w:p>
        </w:tc>
        <w:tc>
          <w:tcPr>
            <w:tcW w:w="1849"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t>备注</w:t>
            </w:r>
            <w:r>
              <w:rPr>
                <w:rFonts w:hint="eastAsia"/>
              </w:rPr>
              <w:t>（</w:t>
            </w:r>
            <w:r>
              <w:rPr>
                <w:rFonts w:hint="eastAsia" w:ascii="宋体" w:hAnsi="宋体"/>
                <w:szCs w:val="21"/>
              </w:rPr>
              <w:t>可选填</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404"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360" w:lineRule="auto"/>
            </w:pPr>
          </w:p>
        </w:tc>
        <w:tc>
          <w:tcPr>
            <w:tcW w:w="2410"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360" w:lineRule="auto"/>
            </w:pPr>
            <w:r>
              <w:t>大写：</w:t>
            </w:r>
          </w:p>
          <w:p>
            <w:pPr>
              <w:tabs>
                <w:tab w:val="left" w:pos="654"/>
                <w:tab w:val="left" w:pos="1734"/>
                <w:tab w:val="left" w:pos="2814"/>
                <w:tab w:val="left" w:pos="3894"/>
                <w:tab w:val="left" w:pos="5334"/>
                <w:tab w:val="left" w:pos="6414"/>
                <w:tab w:val="left" w:pos="7254"/>
                <w:tab w:val="left" w:pos="8574"/>
                <w:tab w:val="left" w:pos="9654"/>
              </w:tabs>
              <w:spacing w:line="360" w:lineRule="auto"/>
            </w:pPr>
            <w:r>
              <w:t>小写：</w:t>
            </w:r>
          </w:p>
        </w:tc>
        <w:tc>
          <w:tcPr>
            <w:tcW w:w="1680"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360" w:lineRule="auto"/>
            </w:pPr>
          </w:p>
        </w:tc>
        <w:tc>
          <w:tcPr>
            <w:tcW w:w="1849"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360" w:lineRule="auto"/>
            </w:pPr>
          </w:p>
        </w:tc>
      </w:tr>
      <w:bookmarkEnd w:id="23"/>
    </w:tbl>
    <w:p/>
    <w:p>
      <w:pPr>
        <w:widowControl/>
        <w:jc w:val="left"/>
        <w:rPr>
          <w:rFonts w:ascii="Arial" w:hAnsi="Arial" w:eastAsia="黑体"/>
          <w:bCs/>
          <w:sz w:val="24"/>
        </w:rPr>
      </w:pPr>
      <w:r>
        <w:rPr>
          <w:b/>
          <w:sz w:val="24"/>
        </w:rPr>
        <w:br w:type="page"/>
      </w:r>
    </w:p>
    <w:p>
      <w:pPr>
        <w:pStyle w:val="4"/>
        <w:jc w:val="center"/>
        <w:rPr>
          <w:rFonts w:hint="eastAsia"/>
        </w:rPr>
      </w:pPr>
      <w:r>
        <w:rPr>
          <w:rFonts w:hint="eastAsia"/>
        </w:rPr>
        <w:t>（二）</w:t>
      </w:r>
      <w:bookmarkEnd w:id="22"/>
      <w:r>
        <w:rPr>
          <w:rFonts w:hint="eastAsia"/>
        </w:rPr>
        <w:t>政府采购投标及履约承诺函</w:t>
      </w:r>
    </w:p>
    <w:p>
      <w:pPr>
        <w:spacing w:line="360" w:lineRule="exact"/>
        <w:rPr>
          <w:rFonts w:hint="eastAsia" w:ascii="宋体" w:hAnsi="宋体" w:cs="宋体"/>
          <w:b/>
          <w:bCs/>
          <w:color w:val="FF0000"/>
          <w:szCs w:val="21"/>
          <w:u w:val="single"/>
        </w:rPr>
      </w:pPr>
      <w:r>
        <w:rPr>
          <w:rFonts w:hint="eastAsia" w:ascii="宋体" w:hAnsi="宋体" w:cs="宋体"/>
          <w:color w:val="FF0000"/>
          <w:szCs w:val="21"/>
        </w:rPr>
        <w:t>致：</w:t>
      </w:r>
      <w:r>
        <w:rPr>
          <w:rFonts w:hint="eastAsia" w:ascii="宋体" w:hAnsi="宋体" w:cs="宋体"/>
          <w:b/>
          <w:bCs/>
          <w:color w:val="FF0000"/>
          <w:szCs w:val="21"/>
          <w:u w:val="single"/>
        </w:rPr>
        <w:t xml:space="preserve">（采购人）            </w:t>
      </w:r>
    </w:p>
    <w:p>
      <w:pPr>
        <w:spacing w:line="360" w:lineRule="exact"/>
        <w:ind w:firstLine="420" w:firstLineChars="200"/>
        <w:rPr>
          <w:rFonts w:hint="eastAsia" w:ascii="宋体" w:hAnsi="宋体" w:cs="宋体"/>
          <w:szCs w:val="21"/>
        </w:rPr>
      </w:pPr>
      <w:r>
        <w:rPr>
          <w:rFonts w:hint="eastAsia" w:ascii="宋体" w:hAnsi="宋体" w:cs="宋体"/>
          <w:szCs w:val="21"/>
        </w:rPr>
        <w:t>我单位承诺：</w:t>
      </w:r>
    </w:p>
    <w:p>
      <w:pPr>
        <w:spacing w:line="360" w:lineRule="exact"/>
        <w:ind w:firstLine="420" w:firstLineChars="200"/>
        <w:rPr>
          <w:rFonts w:hint="eastAsia" w:ascii="宋体" w:hAnsi="宋体" w:cs="宋体"/>
          <w:szCs w:val="21"/>
        </w:rPr>
      </w:pPr>
      <w:r>
        <w:rPr>
          <w:rFonts w:hint="eastAsia" w:ascii="宋体" w:hAnsi="宋体" w:cs="宋体"/>
          <w:szCs w:val="21"/>
        </w:rPr>
        <w:t>1.我单位参与本项目符合资格条件关于联合体、进口产品的要求。</w:t>
      </w:r>
    </w:p>
    <w:p>
      <w:pPr>
        <w:spacing w:line="360" w:lineRule="exact"/>
        <w:ind w:firstLine="420" w:firstLineChars="200"/>
        <w:rPr>
          <w:rFonts w:hint="eastAsia" w:ascii="宋体" w:hAnsi="宋体" w:cs="宋体"/>
          <w:szCs w:val="21"/>
        </w:rPr>
      </w:pPr>
      <w:r>
        <w:rPr>
          <w:rFonts w:hint="eastAsia" w:ascii="宋体" w:hAnsi="宋体" w:cs="宋体"/>
          <w:szCs w:val="21"/>
        </w:rPr>
        <w:t>2.我单位参与本项目所投标（响应）的货物、工程或服务，不存在侵犯知识产权的情况。</w:t>
      </w:r>
    </w:p>
    <w:p>
      <w:pPr>
        <w:spacing w:line="360" w:lineRule="exact"/>
        <w:ind w:firstLine="420" w:firstLineChars="200"/>
        <w:rPr>
          <w:rFonts w:hint="eastAsia" w:ascii="宋体" w:hAnsi="宋体" w:cs="宋体"/>
          <w:szCs w:val="21"/>
        </w:rPr>
      </w:pPr>
      <w:r>
        <w:rPr>
          <w:rFonts w:hint="eastAsia" w:ascii="宋体" w:hAnsi="宋体" w:cs="宋体"/>
          <w:szCs w:val="21"/>
        </w:rPr>
        <w:t>3.我单位参与本项目政府采购活动时不存在被有关部门禁止参与政府采购活动且在有效期内的情况。</w:t>
      </w:r>
    </w:p>
    <w:p>
      <w:pPr>
        <w:spacing w:line="360" w:lineRule="exact"/>
        <w:ind w:firstLine="420" w:firstLineChars="200"/>
        <w:rPr>
          <w:rFonts w:hint="eastAsia" w:ascii="宋体" w:hAnsi="宋体" w:cs="宋体"/>
          <w:szCs w:val="21"/>
        </w:rPr>
      </w:pPr>
      <w:r>
        <w:rPr>
          <w:rFonts w:hint="eastAsia" w:ascii="宋体" w:hAnsi="宋体" w:cs="宋体"/>
          <w:szCs w:val="21"/>
        </w:rPr>
        <w:t>4.我单位具备《中华人民共和国政府采购法》第二十二条第一款规定的六项条件。</w:t>
      </w:r>
    </w:p>
    <w:p>
      <w:pPr>
        <w:spacing w:line="360" w:lineRule="exact"/>
        <w:ind w:firstLine="420" w:firstLineChars="200"/>
        <w:rPr>
          <w:rFonts w:hint="eastAsia" w:ascii="宋体" w:hAnsi="宋体" w:cs="宋体"/>
          <w:szCs w:val="21"/>
        </w:rPr>
      </w:pPr>
      <w:r>
        <w:rPr>
          <w:rFonts w:hint="eastAsia" w:ascii="宋体" w:hAnsi="宋体" w:cs="宋体"/>
          <w:szCs w:val="21"/>
        </w:rPr>
        <w:t>5.我单位未被列入失信被执行人、重大税收违法案件当事人名单、政府采购严重违法失信行为记录名单。</w:t>
      </w:r>
    </w:p>
    <w:p>
      <w:pPr>
        <w:spacing w:line="360" w:lineRule="exact"/>
        <w:ind w:firstLine="420" w:firstLineChars="200"/>
        <w:rPr>
          <w:rFonts w:hint="eastAsia" w:ascii="宋体" w:hAnsi="宋体" w:cs="宋体"/>
          <w:szCs w:val="21"/>
        </w:rPr>
      </w:pPr>
      <w:r>
        <w:rPr>
          <w:rFonts w:hint="eastAsia" w:ascii="宋体" w:hAnsi="宋体" w:cs="宋体"/>
          <w:szCs w:val="21"/>
        </w:rPr>
        <w:t>6.我单位不存在《深圳市财政局政府采购供应商信用信息管理办法》（深财规〔2023〕3号）列明的严重违法失信行为。</w:t>
      </w:r>
    </w:p>
    <w:p>
      <w:pPr>
        <w:spacing w:line="360" w:lineRule="exact"/>
        <w:ind w:firstLine="420" w:firstLineChars="200"/>
        <w:rPr>
          <w:rFonts w:hint="eastAsia" w:ascii="宋体" w:hAnsi="宋体" w:cs="宋体"/>
          <w:szCs w:val="21"/>
        </w:rPr>
      </w:pPr>
      <w:r>
        <w:rPr>
          <w:rFonts w:hint="eastAsia" w:ascii="宋体" w:hAnsi="宋体" w:cs="宋体"/>
          <w:szCs w:val="21"/>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line="360" w:lineRule="exact"/>
        <w:ind w:firstLine="420" w:firstLineChars="200"/>
        <w:rPr>
          <w:rFonts w:hint="eastAsia" w:ascii="宋体" w:hAnsi="宋体" w:cs="宋体"/>
          <w:szCs w:val="21"/>
        </w:rPr>
      </w:pPr>
      <w:r>
        <w:rPr>
          <w:rFonts w:hint="eastAsia" w:ascii="宋体" w:hAnsi="宋体" w:cs="宋体"/>
          <w:szCs w:val="21"/>
        </w:rPr>
        <w:t>8.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spacing w:line="360" w:lineRule="exact"/>
        <w:ind w:firstLine="420" w:firstLineChars="200"/>
        <w:rPr>
          <w:rFonts w:hint="eastAsia" w:ascii="宋体" w:hAnsi="宋体" w:cs="宋体"/>
          <w:szCs w:val="21"/>
        </w:rPr>
      </w:pPr>
      <w:r>
        <w:rPr>
          <w:rFonts w:hint="eastAsia" w:ascii="宋体" w:hAnsi="宋体" w:cs="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exact"/>
        <w:ind w:firstLine="420" w:firstLineChars="200"/>
        <w:rPr>
          <w:rFonts w:hint="eastAsia" w:ascii="宋体" w:hAnsi="宋体" w:cs="宋体"/>
          <w:szCs w:val="21"/>
        </w:rPr>
      </w:pPr>
      <w:r>
        <w:rPr>
          <w:rFonts w:hint="eastAsia" w:ascii="宋体" w:hAnsi="宋体" w:cs="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360" w:lineRule="exact"/>
        <w:ind w:firstLine="420" w:firstLineChars="200"/>
        <w:rPr>
          <w:rFonts w:hint="eastAsia" w:ascii="宋体" w:hAnsi="宋体" w:cs="宋体"/>
          <w:szCs w:val="21"/>
        </w:rPr>
      </w:pPr>
      <w:r>
        <w:rPr>
          <w:rFonts w:hint="eastAsia" w:ascii="宋体" w:hAnsi="宋体" w:cs="宋体"/>
          <w:szCs w:val="21"/>
        </w:rPr>
        <w:t>10.我单位承诺中标后项目不转包，未经采购人同意不进行分包。</w:t>
      </w:r>
    </w:p>
    <w:p>
      <w:pPr>
        <w:spacing w:line="360" w:lineRule="exact"/>
        <w:ind w:firstLine="420" w:firstLineChars="200"/>
        <w:rPr>
          <w:rFonts w:hint="eastAsia" w:ascii="宋体" w:hAnsi="宋体" w:cs="宋体"/>
          <w:szCs w:val="21"/>
        </w:rPr>
      </w:pPr>
      <w:r>
        <w:rPr>
          <w:rFonts w:hint="eastAsia" w:ascii="宋体" w:hAnsi="宋体" w:cs="宋体"/>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360" w:lineRule="exact"/>
        <w:ind w:firstLine="420" w:firstLineChars="200"/>
        <w:rPr>
          <w:rFonts w:hint="eastAsia" w:ascii="宋体" w:hAnsi="宋体" w:cs="宋体"/>
          <w:szCs w:val="21"/>
        </w:rPr>
      </w:pPr>
      <w:r>
        <w:rPr>
          <w:rFonts w:hint="eastAsia" w:ascii="宋体" w:hAnsi="宋体" w:cs="宋体"/>
          <w:szCs w:val="21"/>
        </w:rPr>
        <w:t>12.我单位保证，若所投货物涉及《关于印发节能产品政府采购品目清单的通知》（财库〔2019〕19号）列明的政府采购强制产品，则所投该产品符合节能产品的认证要求。若所投产品包括数据中心相关设备的，应满足《财政部 生态环境部 工业和信息化部关于印发&lt;绿色数据中心政府采购需求标准（试行）&gt;的通知》（财库〔2023〕7号）要求。若所投产品涉及国家强制性标准的，所投产品应符合国家强制性标准相关要求。</w:t>
      </w:r>
    </w:p>
    <w:p>
      <w:pPr>
        <w:spacing w:line="360" w:lineRule="exact"/>
        <w:ind w:firstLine="420" w:firstLineChars="200"/>
        <w:rPr>
          <w:rFonts w:hint="eastAsia" w:ascii="宋体" w:hAnsi="宋体" w:cs="宋体"/>
          <w:szCs w:val="21"/>
        </w:rPr>
      </w:pPr>
      <w:r>
        <w:rPr>
          <w:rFonts w:hint="eastAsia" w:ascii="宋体" w:hAnsi="宋体" w:cs="宋体"/>
          <w:szCs w:val="21"/>
        </w:rPr>
        <w:t>13.我单位已知悉并同意中标（成交）结果信息公示（公开）的内容。</w:t>
      </w:r>
    </w:p>
    <w:p>
      <w:pPr>
        <w:spacing w:line="360" w:lineRule="exact"/>
        <w:ind w:firstLine="420" w:firstLineChars="200"/>
        <w:rPr>
          <w:rFonts w:hint="eastAsia" w:ascii="宋体" w:hAnsi="宋体" w:cs="宋体"/>
          <w:szCs w:val="21"/>
        </w:rPr>
      </w:pPr>
      <w:r>
        <w:rPr>
          <w:rFonts w:hint="eastAsia" w:ascii="宋体" w:hAnsi="宋体" w:cs="宋体"/>
          <w:szCs w:val="21"/>
        </w:rPr>
        <w:t>14.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pPr>
        <w:spacing w:line="360" w:lineRule="exact"/>
        <w:ind w:firstLine="422" w:firstLineChars="200"/>
        <w:rPr>
          <w:rFonts w:hint="eastAsia" w:ascii="宋体" w:hAnsi="宋体" w:cs="宋体"/>
          <w:b/>
          <w:bCs/>
          <w:szCs w:val="21"/>
        </w:rPr>
      </w:pPr>
      <w:r>
        <w:rPr>
          <w:rFonts w:hint="eastAsia" w:ascii="宋体" w:hAnsi="宋体" w:cs="宋体"/>
          <w:b/>
          <w:bCs/>
          <w:szCs w:val="21"/>
        </w:rPr>
        <w:t>15.我单位清楚，如存在违反投标承诺行为情节严重的，将根据《深圳市财政局关于印发&lt;深圳市财政局政府采购供应商信用信息管理办法&gt;的通知》，依法被列入失信信息。</w:t>
      </w:r>
    </w:p>
    <w:p>
      <w:pPr>
        <w:spacing w:line="360" w:lineRule="exact"/>
        <w:ind w:firstLine="420" w:firstLineChars="200"/>
        <w:rPr>
          <w:rFonts w:hint="eastAsia" w:ascii="宋体" w:hAnsi="宋体" w:cs="宋体"/>
          <w:szCs w:val="21"/>
        </w:rPr>
      </w:pPr>
    </w:p>
    <w:p>
      <w:pPr>
        <w:spacing w:line="360" w:lineRule="exact"/>
        <w:ind w:firstLine="420" w:firstLineChars="200"/>
        <w:rPr>
          <w:rFonts w:hint="eastAsia" w:ascii="宋体" w:hAnsi="宋体" w:cs="宋体"/>
          <w:szCs w:val="21"/>
        </w:rPr>
      </w:pPr>
      <w:r>
        <w:rPr>
          <w:rFonts w:hint="eastAsia" w:ascii="宋体" w:hAnsi="宋体" w:cs="宋体"/>
          <w:szCs w:val="21"/>
        </w:rPr>
        <w:t>以上承诺，如有违反，愿依照国家相关法律法规处理，并承担由此给采购人带来的损失。</w:t>
      </w:r>
    </w:p>
    <w:p>
      <w:pPr>
        <w:spacing w:line="360" w:lineRule="exact"/>
        <w:ind w:firstLine="420" w:firstLineChars="200"/>
        <w:rPr>
          <w:rFonts w:hint="eastAsia" w:ascii="宋体" w:hAnsi="宋体" w:cs="宋体"/>
          <w:szCs w:val="21"/>
        </w:rPr>
      </w:pPr>
    </w:p>
    <w:p>
      <w:pPr>
        <w:spacing w:line="360" w:lineRule="exact"/>
        <w:ind w:firstLine="420" w:firstLineChars="200"/>
        <w:jc w:val="center"/>
        <w:rPr>
          <w:rFonts w:hint="eastAsia" w:ascii="宋体" w:hAnsi="宋体" w:cs="宋体"/>
          <w:color w:val="FF0000"/>
          <w:szCs w:val="21"/>
          <w:u w:val="single"/>
        </w:rPr>
      </w:pPr>
      <w:r>
        <w:rPr>
          <w:rFonts w:hint="eastAsia" w:ascii="宋体" w:hAnsi="宋体" w:cs="宋体"/>
          <w:szCs w:val="21"/>
        </w:rPr>
        <w:t xml:space="preserve">                          </w:t>
      </w:r>
      <w:r>
        <w:rPr>
          <w:rFonts w:hint="eastAsia" w:ascii="宋体" w:hAnsi="宋体" w:cs="宋体"/>
          <w:color w:val="FF0000"/>
          <w:szCs w:val="21"/>
        </w:rPr>
        <w:t xml:space="preserve"> 投标供应商名称：</w:t>
      </w:r>
      <w:r>
        <w:rPr>
          <w:rFonts w:hint="eastAsia" w:ascii="宋体" w:hAnsi="宋体" w:cs="宋体"/>
          <w:color w:val="FF0000"/>
          <w:szCs w:val="21"/>
          <w:u w:val="single"/>
        </w:rPr>
        <w:t xml:space="preserve">                 </w:t>
      </w:r>
    </w:p>
    <w:p>
      <w:pPr>
        <w:widowControl/>
        <w:spacing w:line="360" w:lineRule="exact"/>
        <w:ind w:firstLine="420" w:firstLineChars="200"/>
        <w:jc w:val="right"/>
        <w:rPr>
          <w:rFonts w:hint="eastAsia" w:ascii="宋体" w:hAnsi="宋体" w:cs="宋体"/>
          <w:spacing w:val="-6"/>
          <w:szCs w:val="21"/>
        </w:rPr>
      </w:pPr>
      <w:r>
        <w:rPr>
          <w:rFonts w:hint="eastAsia" w:ascii="宋体" w:hAnsi="宋体" w:cs="宋体"/>
          <w:color w:val="FF0000"/>
          <w:szCs w:val="21"/>
        </w:rPr>
        <w:t>日期：    年   月   日</w:t>
      </w:r>
    </w:p>
    <w:p>
      <w:pPr>
        <w:spacing w:line="320" w:lineRule="exact"/>
        <w:rPr>
          <w:color w:val="FF0000"/>
          <w:szCs w:val="21"/>
        </w:rPr>
      </w:pPr>
    </w:p>
    <w:p>
      <w:pPr>
        <w:ind w:left="257"/>
        <w:jc w:val="right"/>
        <w:rPr>
          <w:rFonts w:hint="eastAsia" w:ascii="宋体" w:hAnsi="宋体"/>
          <w:szCs w:val="21"/>
        </w:rPr>
      </w:pPr>
    </w:p>
    <w:p>
      <w:pPr>
        <w:widowControl/>
        <w:jc w:val="left"/>
        <w:rPr>
          <w:rFonts w:ascii="Arial" w:hAnsi="Arial" w:eastAsia="黑体"/>
          <w:bCs/>
          <w:sz w:val="24"/>
        </w:rPr>
      </w:pPr>
      <w:r>
        <w:rPr>
          <w:b/>
          <w:sz w:val="24"/>
        </w:rPr>
        <w:br w:type="page"/>
      </w:r>
    </w:p>
    <w:p>
      <w:pPr>
        <w:pStyle w:val="4"/>
        <w:jc w:val="center"/>
        <w:rPr>
          <w:rFonts w:hint="eastAsia"/>
        </w:rPr>
      </w:pPr>
      <w:r>
        <w:rPr>
          <w:rFonts w:hint="eastAsia"/>
          <w:szCs w:val="24"/>
        </w:rPr>
        <w:t>（三）</w:t>
      </w:r>
      <w:r>
        <w:rPr>
          <w:rFonts w:hint="eastAsia"/>
        </w:rPr>
        <w:t>供应商资格证明文件</w:t>
      </w:r>
    </w:p>
    <w:p>
      <w:pPr>
        <w:spacing w:before="120" w:beforeLines="50"/>
        <w:ind w:firstLine="422" w:firstLineChars="200"/>
        <w:rPr>
          <w:b/>
          <w:bCs/>
          <w:color w:val="FF0000"/>
        </w:rPr>
      </w:pPr>
      <w:bookmarkStart w:id="24" w:name="OLE_LINK38"/>
      <w:r>
        <w:rPr>
          <w:rFonts w:hint="eastAsia"/>
          <w:b/>
          <w:bCs/>
          <w:color w:val="FF0000"/>
        </w:rPr>
        <w:t>（特别提示：投标人须按本招标文件第一册第一章招标公告 “投标供应商资格要求”提供相关的资格证明资料，未提供或提供不完整、不符合要求的，将作投标无效处理，其中要求提供《政府采购投标及履约承诺函》《供应商基本情况表》且已在规定章节中提供的，此处不重复提供。）</w:t>
      </w:r>
    </w:p>
    <w:bookmarkEnd w:id="24"/>
    <w:p>
      <w:pPr>
        <w:spacing w:before="120" w:beforeLines="50"/>
        <w:ind w:firstLine="422" w:firstLineChars="200"/>
        <w:rPr>
          <w:bCs/>
        </w:rPr>
      </w:pPr>
      <w:r>
        <w:rPr>
          <w:rFonts w:hint="eastAsia"/>
          <w:b/>
          <w:bCs/>
          <w:color w:val="FF0000"/>
        </w:rPr>
        <w:t>1、资格证明材料：</w:t>
      </w:r>
      <w:r>
        <w:rPr>
          <w:bCs/>
        </w:rPr>
        <w:t xml:space="preserve"> </w:t>
      </w:r>
    </w:p>
    <w:p>
      <w:pPr>
        <w:pStyle w:val="5"/>
        <w:jc w:val="center"/>
        <w:rPr>
          <w:b w:val="0"/>
        </w:rPr>
      </w:pPr>
      <w:r>
        <w:rPr>
          <w:rFonts w:hint="eastAsia"/>
          <w:b w:val="0"/>
        </w:rPr>
        <w:t>（1）供应商基本情况表</w:t>
      </w:r>
    </w:p>
    <w:tbl>
      <w:tblPr>
        <w:tblStyle w:val="34"/>
        <w:tblW w:w="9292"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072"/>
        <w:gridCol w:w="773"/>
        <w:gridCol w:w="1420"/>
        <w:gridCol w:w="1792"/>
        <w:gridCol w:w="1898"/>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7" w:hRule="atLeast"/>
        </w:trPr>
        <w:tc>
          <w:tcPr>
            <w:tcW w:w="163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bookmarkStart w:id="25" w:name="OLE_LINK25"/>
            <w:r>
              <w:rPr>
                <w:rFonts w:hint="eastAsia" w:ascii="宋体" w:hAnsi="宋体" w:cs="宋体"/>
                <w:b/>
                <w:bCs/>
                <w:szCs w:val="21"/>
              </w:rPr>
              <w:t>投标（响应）供应商</w:t>
            </w:r>
          </w:p>
        </w:tc>
        <w:tc>
          <w:tcPr>
            <w:tcW w:w="2193"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c>
          <w:tcPr>
            <w:tcW w:w="1792"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b/>
                <w:bCs/>
                <w:szCs w:val="21"/>
              </w:rPr>
              <w:t>采购项目名称及编号</w:t>
            </w:r>
          </w:p>
        </w:tc>
        <w:tc>
          <w:tcPr>
            <w:tcW w:w="3677"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9292"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b/>
                <w:bCs/>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55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b/>
                <w:bCs/>
                <w:szCs w:val="21"/>
              </w:rPr>
            </w:pPr>
            <w:r>
              <w:rPr>
                <w:rFonts w:hint="eastAsia" w:ascii="宋体" w:hAnsi="宋体" w:cs="宋体"/>
                <w:b/>
                <w:bCs/>
                <w:szCs w:val="21"/>
              </w:rPr>
              <w:t>序号</w:t>
            </w:r>
          </w:p>
        </w:tc>
        <w:tc>
          <w:tcPr>
            <w:tcW w:w="1845"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b/>
                <w:bCs/>
                <w:szCs w:val="21"/>
              </w:rPr>
            </w:pPr>
            <w:r>
              <w:rPr>
                <w:rFonts w:hint="eastAsia" w:ascii="宋体" w:hAnsi="宋体" w:cs="宋体"/>
                <w:b/>
                <w:bCs/>
                <w:szCs w:val="21"/>
              </w:rPr>
              <w:t>职务</w:t>
            </w:r>
          </w:p>
        </w:tc>
        <w:tc>
          <w:tcPr>
            <w:tcW w:w="14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b/>
                <w:bCs/>
                <w:szCs w:val="21"/>
              </w:rPr>
            </w:pPr>
            <w:r>
              <w:rPr>
                <w:rFonts w:hint="eastAsia" w:ascii="宋体" w:hAnsi="宋体" w:cs="宋体"/>
                <w:b/>
                <w:bCs/>
                <w:szCs w:val="21"/>
              </w:rPr>
              <w:t>姓名</w:t>
            </w:r>
          </w:p>
        </w:tc>
        <w:tc>
          <w:tcPr>
            <w:tcW w:w="1792"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b/>
                <w:bCs/>
                <w:szCs w:val="21"/>
              </w:rPr>
            </w:pPr>
            <w:r>
              <w:rPr>
                <w:rFonts w:hint="eastAsia" w:ascii="宋体" w:hAnsi="宋体" w:cs="宋体"/>
                <w:b/>
                <w:bCs/>
                <w:szCs w:val="21"/>
              </w:rPr>
              <w:t>身份证号码</w:t>
            </w:r>
          </w:p>
        </w:tc>
        <w:tc>
          <w:tcPr>
            <w:tcW w:w="1898" w:type="dxa"/>
            <w:tcBorders>
              <w:top w:val="single" w:color="auto" w:sz="4" w:space="0"/>
              <w:left w:val="nil"/>
              <w:bottom w:val="single" w:color="auto" w:sz="4" w:space="0"/>
              <w:right w:val="single" w:color="auto" w:sz="4" w:space="0"/>
            </w:tcBorders>
            <w:vAlign w:val="center"/>
          </w:tcPr>
          <w:p>
            <w:pPr>
              <w:snapToGrid w:val="0"/>
              <w:jc w:val="center"/>
              <w:rPr>
                <w:rFonts w:hint="eastAsia" w:ascii="宋体" w:hAnsi="宋体" w:cs="宋体"/>
                <w:b/>
                <w:bCs/>
                <w:szCs w:val="21"/>
              </w:rPr>
            </w:pPr>
            <w:r>
              <w:rPr>
                <w:rFonts w:hint="eastAsia" w:ascii="宋体" w:hAnsi="宋体" w:cs="宋体"/>
                <w:b/>
                <w:bCs/>
                <w:szCs w:val="21"/>
              </w:rPr>
              <w:t>劳动合同</w:t>
            </w:r>
          </w:p>
          <w:p>
            <w:pPr>
              <w:snapToGrid w:val="0"/>
              <w:jc w:val="center"/>
              <w:rPr>
                <w:rFonts w:hint="eastAsia" w:ascii="宋体" w:hAnsi="宋体" w:cs="宋体"/>
                <w:b/>
                <w:bCs/>
                <w:szCs w:val="21"/>
              </w:rPr>
            </w:pPr>
            <w:r>
              <w:rPr>
                <w:rFonts w:hint="eastAsia" w:ascii="宋体" w:hAnsi="宋体" w:cs="宋体"/>
                <w:b/>
                <w:bCs/>
                <w:szCs w:val="21"/>
              </w:rPr>
              <w:t>关系单位</w:t>
            </w:r>
          </w:p>
        </w:tc>
        <w:tc>
          <w:tcPr>
            <w:tcW w:w="1779" w:type="dxa"/>
            <w:tcBorders>
              <w:top w:val="single" w:color="auto" w:sz="4" w:space="0"/>
              <w:left w:val="nil"/>
              <w:bottom w:val="single" w:color="auto" w:sz="4" w:space="0"/>
              <w:right w:val="single" w:color="auto" w:sz="4" w:space="0"/>
            </w:tcBorders>
            <w:vAlign w:val="center"/>
          </w:tcPr>
          <w:p>
            <w:pPr>
              <w:snapToGrid w:val="0"/>
              <w:jc w:val="center"/>
              <w:rPr>
                <w:rFonts w:hint="eastAsia" w:ascii="宋体" w:hAnsi="宋体" w:cs="宋体"/>
                <w:b/>
                <w:bCs/>
                <w:szCs w:val="21"/>
              </w:rPr>
            </w:pPr>
            <w:r>
              <w:rPr>
                <w:rFonts w:hint="eastAsia" w:ascii="宋体" w:hAnsi="宋体" w:cs="宋体"/>
                <w:b/>
                <w:bCs/>
                <w:szCs w:val="21"/>
              </w:rPr>
              <w:t>缴纳社会</w:t>
            </w:r>
          </w:p>
          <w:p>
            <w:pPr>
              <w:snapToGrid w:val="0"/>
              <w:jc w:val="center"/>
              <w:rPr>
                <w:rFonts w:hint="eastAsia" w:ascii="宋体" w:hAnsi="宋体" w:cs="宋体"/>
                <w:b/>
                <w:bCs/>
                <w:szCs w:val="21"/>
              </w:rPr>
            </w:pPr>
            <w:r>
              <w:rPr>
                <w:rFonts w:hint="eastAsia" w:ascii="宋体" w:hAnsi="宋体" w:cs="宋体"/>
                <w:b/>
                <w:bCs/>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5" w:hRule="atLeast"/>
        </w:trPr>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1</w:t>
            </w:r>
          </w:p>
        </w:tc>
        <w:tc>
          <w:tcPr>
            <w:tcW w:w="1845" w:type="dxa"/>
            <w:gridSpan w:val="2"/>
            <w:tcBorders>
              <w:top w:val="single" w:color="auto" w:sz="4" w:space="0"/>
              <w:left w:val="nil"/>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法定代表人/单位负责人/主要经营负责人</w:t>
            </w:r>
          </w:p>
        </w:tc>
        <w:tc>
          <w:tcPr>
            <w:tcW w:w="14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c>
          <w:tcPr>
            <w:tcW w:w="1792"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c>
          <w:tcPr>
            <w:tcW w:w="1898"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c>
          <w:tcPr>
            <w:tcW w:w="1779"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2</w:t>
            </w:r>
          </w:p>
        </w:tc>
        <w:tc>
          <w:tcPr>
            <w:tcW w:w="1845" w:type="dxa"/>
            <w:gridSpan w:val="2"/>
            <w:tcBorders>
              <w:top w:val="single" w:color="auto" w:sz="4" w:space="0"/>
              <w:left w:val="nil"/>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项目投标授权代表人</w:t>
            </w:r>
          </w:p>
        </w:tc>
        <w:tc>
          <w:tcPr>
            <w:tcW w:w="14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c>
          <w:tcPr>
            <w:tcW w:w="1792"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c>
          <w:tcPr>
            <w:tcW w:w="1898"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c>
          <w:tcPr>
            <w:tcW w:w="1779"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3</w:t>
            </w:r>
          </w:p>
        </w:tc>
        <w:tc>
          <w:tcPr>
            <w:tcW w:w="1845" w:type="dxa"/>
            <w:gridSpan w:val="2"/>
            <w:tcBorders>
              <w:top w:val="single" w:color="auto" w:sz="4" w:space="0"/>
              <w:left w:val="nil"/>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项目负责人</w:t>
            </w:r>
          </w:p>
        </w:tc>
        <w:tc>
          <w:tcPr>
            <w:tcW w:w="14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c>
          <w:tcPr>
            <w:tcW w:w="1792"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c>
          <w:tcPr>
            <w:tcW w:w="1898"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c>
          <w:tcPr>
            <w:tcW w:w="1779"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4</w:t>
            </w:r>
          </w:p>
        </w:tc>
        <w:tc>
          <w:tcPr>
            <w:tcW w:w="1845" w:type="dxa"/>
            <w:gridSpan w:val="2"/>
            <w:tcBorders>
              <w:top w:val="single" w:color="auto" w:sz="4" w:space="0"/>
              <w:left w:val="nil"/>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主要技术人员</w:t>
            </w:r>
          </w:p>
        </w:tc>
        <w:tc>
          <w:tcPr>
            <w:tcW w:w="14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c>
          <w:tcPr>
            <w:tcW w:w="1792"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c>
          <w:tcPr>
            <w:tcW w:w="1898"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c>
          <w:tcPr>
            <w:tcW w:w="1779"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trPr>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5</w:t>
            </w:r>
          </w:p>
        </w:tc>
        <w:tc>
          <w:tcPr>
            <w:tcW w:w="1845" w:type="dxa"/>
            <w:gridSpan w:val="2"/>
            <w:tcBorders>
              <w:top w:val="single" w:color="auto" w:sz="4" w:space="0"/>
              <w:left w:val="nil"/>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投标文件编制人员</w:t>
            </w:r>
          </w:p>
        </w:tc>
        <w:tc>
          <w:tcPr>
            <w:tcW w:w="142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c>
          <w:tcPr>
            <w:tcW w:w="1792"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c>
          <w:tcPr>
            <w:tcW w:w="1898"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c>
          <w:tcPr>
            <w:tcW w:w="1779"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9292" w:type="dxa"/>
            <w:gridSpan w:val="7"/>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b/>
                <w:bCs/>
                <w:szCs w:val="21"/>
              </w:rPr>
            </w:pPr>
            <w:r>
              <w:rPr>
                <w:rFonts w:hint="eastAsia" w:ascii="宋体" w:hAnsi="宋体" w:cs="宋体"/>
                <w:b/>
                <w:bCs/>
                <w:szCs w:val="21"/>
              </w:rPr>
              <w:t>说明：1.同一职务有多人担任（如主要技术人员），应分行填写。</w:t>
            </w:r>
          </w:p>
          <w:p>
            <w:pPr>
              <w:rPr>
                <w:rFonts w:hint="eastAsia" w:ascii="宋体" w:hAnsi="宋体" w:cs="宋体"/>
                <w:szCs w:val="21"/>
              </w:rPr>
            </w:pPr>
            <w:r>
              <w:rPr>
                <w:rFonts w:hint="eastAsia" w:ascii="宋体" w:hAnsi="宋体" w:cs="宋体"/>
                <w:b/>
                <w:bCs/>
                <w:szCs w:val="21"/>
              </w:rPr>
              <w:t>2.投标供应商成立不满一个月或上述人员社保缴纳不满一个月的，应提供承诺函，格式自拟。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9292"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szCs w:val="21"/>
              </w:rPr>
            </w:pPr>
            <w:r>
              <w:rPr>
                <w:rFonts w:hint="eastAsia" w:ascii="宋体" w:hAnsi="宋体" w:cs="宋体"/>
                <w:b/>
                <w:bCs/>
                <w:szCs w:val="21"/>
              </w:rPr>
              <w:t>序号</w:t>
            </w:r>
          </w:p>
        </w:tc>
        <w:tc>
          <w:tcPr>
            <w:tcW w:w="1845"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b/>
                <w:bCs/>
                <w:szCs w:val="21"/>
              </w:rPr>
            </w:pPr>
            <w:r>
              <w:rPr>
                <w:rFonts w:hint="eastAsia" w:ascii="宋体" w:hAnsi="宋体" w:cs="宋体"/>
                <w:b/>
                <w:bCs/>
                <w:szCs w:val="21"/>
              </w:rPr>
              <w:t>关联关系类型</w:t>
            </w:r>
          </w:p>
        </w:tc>
        <w:tc>
          <w:tcPr>
            <w:tcW w:w="3212"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b/>
                <w:bCs/>
                <w:szCs w:val="21"/>
              </w:rPr>
            </w:pPr>
            <w:r>
              <w:rPr>
                <w:rFonts w:hint="eastAsia" w:ascii="宋体" w:hAnsi="宋体" w:cs="宋体"/>
                <w:b/>
                <w:bCs/>
                <w:szCs w:val="21"/>
              </w:rPr>
              <w:t>关联主体名称</w:t>
            </w:r>
          </w:p>
        </w:tc>
        <w:tc>
          <w:tcPr>
            <w:tcW w:w="3677"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b/>
                <w:bCs/>
                <w:szCs w:val="21"/>
              </w:rPr>
            </w:pPr>
            <w:r>
              <w:rPr>
                <w:rFonts w:hint="eastAsia" w:ascii="宋体" w:hAnsi="宋体" w:cs="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4" w:hRule="atLeast"/>
        </w:trPr>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1</w:t>
            </w:r>
          </w:p>
        </w:tc>
        <w:tc>
          <w:tcPr>
            <w:tcW w:w="1845"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控股股东</w:t>
            </w:r>
          </w:p>
        </w:tc>
        <w:tc>
          <w:tcPr>
            <w:tcW w:w="3212"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c>
          <w:tcPr>
            <w:tcW w:w="3677" w:type="dxa"/>
            <w:gridSpan w:val="2"/>
            <w:tcBorders>
              <w:top w:val="single" w:color="auto" w:sz="4" w:space="0"/>
              <w:left w:val="nil"/>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szCs w:val="21"/>
              </w:rPr>
              <w:t>是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2</w:t>
            </w:r>
          </w:p>
        </w:tc>
        <w:tc>
          <w:tcPr>
            <w:tcW w:w="1845"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管理关系</w:t>
            </w:r>
          </w:p>
        </w:tc>
        <w:tc>
          <w:tcPr>
            <w:tcW w:w="3212"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1"/>
              </w:rPr>
            </w:pPr>
          </w:p>
        </w:tc>
        <w:tc>
          <w:tcPr>
            <w:tcW w:w="3677" w:type="dxa"/>
            <w:gridSpan w:val="2"/>
            <w:tcBorders>
              <w:top w:val="single" w:color="auto" w:sz="4" w:space="0"/>
              <w:left w:val="nil"/>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szCs w:val="21"/>
              </w:rPr>
              <w:t>是指对投标（响应）供应商不具有出资持股关系，但对其存在管理关系的主体。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9292" w:type="dxa"/>
            <w:gridSpan w:val="7"/>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b/>
                <w:bCs/>
                <w:szCs w:val="21"/>
              </w:rPr>
              <w:t>说明：同一关联关系类型有多个主体的，应分行填写。</w:t>
            </w:r>
          </w:p>
        </w:tc>
      </w:tr>
      <w:bookmarkEnd w:id="25"/>
    </w:tbl>
    <w:p/>
    <w:p>
      <w:pPr>
        <w:jc w:val="center"/>
      </w:pPr>
    </w:p>
    <w:p>
      <w:pPr>
        <w:jc w:val="center"/>
      </w:pPr>
    </w:p>
    <w:p>
      <w:pPr>
        <w:pStyle w:val="4"/>
        <w:jc w:val="center"/>
        <w:rPr>
          <w:rFonts w:hint="eastAsia"/>
        </w:rPr>
      </w:pPr>
      <w:r>
        <w:rPr>
          <w:rFonts w:hint="eastAsia"/>
          <w:szCs w:val="24"/>
        </w:rPr>
        <w:t>（四）</w:t>
      </w:r>
      <w:r>
        <w:rPr>
          <w:rFonts w:hint="eastAsia"/>
        </w:rPr>
        <w:t>实质性服务条款（以★号标注）证明文件（如有）</w:t>
      </w:r>
    </w:p>
    <w:p>
      <w:pPr>
        <w:ind w:firstLine="420" w:firstLineChars="200"/>
        <w:rPr>
          <w:color w:val="FF0000"/>
        </w:rPr>
      </w:pPr>
      <w:r>
        <w:rPr>
          <w:rFonts w:hint="eastAsia"/>
          <w:color w:val="FF0000"/>
        </w:rPr>
        <w:t>备注：</w:t>
      </w:r>
    </w:p>
    <w:p>
      <w:pPr>
        <w:spacing w:line="320" w:lineRule="exact"/>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1、如本项目没有设置实质性服务条款（以★号标注），该部分无需填写。</w:t>
      </w:r>
    </w:p>
    <w:p>
      <w:pPr>
        <w:spacing w:line="320" w:lineRule="exact"/>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2、如本项目设置了实质性服务条款（以★号标注），投标供应商须按要求提供相关证明文件，如未提供或出现负偏离的，投标文件作投标无效处理。</w:t>
      </w:r>
    </w:p>
    <w:tbl>
      <w:tblPr>
        <w:tblStyle w:val="3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774"/>
        <w:gridCol w:w="1530"/>
        <w:gridCol w:w="1275"/>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hint="eastAsia" w:ascii="宋体" w:hAnsi="宋体"/>
                <w:kern w:val="0"/>
                <w:szCs w:val="21"/>
              </w:rPr>
            </w:pPr>
            <w:bookmarkStart w:id="26" w:name="_Hlk72092651"/>
            <w:r>
              <w:rPr>
                <w:rFonts w:hint="eastAsia" w:ascii="宋体" w:hAnsi="宋体"/>
                <w:kern w:val="0"/>
                <w:szCs w:val="21"/>
              </w:rPr>
              <w:t>序号</w:t>
            </w:r>
          </w:p>
        </w:tc>
        <w:tc>
          <w:tcPr>
            <w:tcW w:w="3774" w:type="dxa"/>
            <w:vAlign w:val="center"/>
          </w:tcPr>
          <w:p>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c>
          <w:tcPr>
            <w:tcW w:w="1530" w:type="dxa"/>
            <w:vAlign w:val="center"/>
          </w:tcPr>
          <w:p>
            <w:pPr>
              <w:adjustRightInd w:val="0"/>
              <w:snapToGrid w:val="0"/>
              <w:spacing w:line="360" w:lineRule="auto"/>
              <w:jc w:val="center"/>
              <w:rPr>
                <w:rFonts w:hint="eastAsia" w:ascii="宋体" w:hAnsi="宋体"/>
                <w:kern w:val="0"/>
                <w:szCs w:val="21"/>
              </w:rPr>
            </w:pPr>
            <w:r>
              <w:rPr>
                <w:rFonts w:hint="eastAsia"/>
              </w:rPr>
              <w:t>投标响应</w:t>
            </w:r>
          </w:p>
        </w:tc>
        <w:tc>
          <w:tcPr>
            <w:tcW w:w="1275" w:type="dxa"/>
            <w:vAlign w:val="center"/>
          </w:tcPr>
          <w:p>
            <w:pPr>
              <w:adjustRightInd w:val="0"/>
              <w:snapToGrid w:val="0"/>
              <w:spacing w:line="360" w:lineRule="auto"/>
              <w:jc w:val="center"/>
              <w:rPr>
                <w:rFonts w:hint="eastAsia" w:ascii="宋体" w:hAnsi="宋体"/>
                <w:kern w:val="0"/>
                <w:szCs w:val="21"/>
              </w:rPr>
            </w:pPr>
            <w:r>
              <w:rPr>
                <w:rFonts w:hint="eastAsia"/>
              </w:rPr>
              <w:t>偏离情况</w:t>
            </w:r>
          </w:p>
        </w:tc>
        <w:tc>
          <w:tcPr>
            <w:tcW w:w="933" w:type="dxa"/>
            <w:vAlign w:val="center"/>
          </w:tcPr>
          <w:p>
            <w:pPr>
              <w:adjustRightInd w:val="0"/>
              <w:snapToGrid w:val="0"/>
              <w:spacing w:line="360" w:lineRule="auto"/>
              <w:jc w:val="center"/>
              <w:rPr>
                <w:rFonts w:hint="eastAsia" w:ascii="宋体" w:hAnsi="宋体"/>
                <w:kern w:val="0"/>
                <w:szCs w:val="21"/>
              </w:rPr>
            </w:pPr>
            <w:r>
              <w:rPr>
                <w:rFonts w:hint="eastAsia"/>
              </w:rPr>
              <w:t>说明</w:t>
            </w:r>
          </w:p>
        </w:tc>
      </w:tr>
      <w:bookmark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tcPr>
          <w:p>
            <w:pPr>
              <w:adjustRightInd w:val="0"/>
              <w:snapToGrid w:val="0"/>
              <w:spacing w:line="360" w:lineRule="auto"/>
              <w:rPr>
                <w:rFonts w:hint="eastAsia" w:ascii="宋体" w:hAnsi="宋体"/>
                <w:kern w:val="0"/>
                <w:szCs w:val="21"/>
              </w:rPr>
            </w:pPr>
            <w:r>
              <w:rPr>
                <w:rFonts w:hint="eastAsia" w:ascii="宋体" w:hAnsi="宋体"/>
                <w:kern w:val="0"/>
                <w:szCs w:val="21"/>
              </w:rPr>
              <w:t>1</w:t>
            </w:r>
          </w:p>
        </w:tc>
        <w:tc>
          <w:tcPr>
            <w:tcW w:w="3774" w:type="dxa"/>
          </w:tcPr>
          <w:p>
            <w:pPr>
              <w:rPr>
                <w:rFonts w:hint="eastAsia" w:hAnsi="宋体"/>
                <w:kern w:val="0"/>
                <w:szCs w:val="21"/>
              </w:rPr>
            </w:pPr>
            <w:r>
              <w:rPr>
                <w:rFonts w:hint="eastAsia"/>
                <w:color w:val="FF0000"/>
                <w:szCs w:val="21"/>
              </w:rPr>
              <w:t>★</w:t>
            </w:r>
            <w:r>
              <w:rPr>
                <w:rFonts w:hint="eastAsia"/>
                <w:color w:val="FF0000"/>
              </w:rPr>
              <w:t>完全满足本项目服务期限的要求。</w:t>
            </w:r>
          </w:p>
        </w:tc>
        <w:tc>
          <w:tcPr>
            <w:tcW w:w="1530" w:type="dxa"/>
          </w:tcPr>
          <w:p>
            <w:pPr>
              <w:adjustRightInd w:val="0"/>
              <w:snapToGrid w:val="0"/>
              <w:spacing w:line="360" w:lineRule="auto"/>
              <w:rPr>
                <w:rFonts w:hint="eastAsia" w:ascii="宋体" w:hAnsi="宋体"/>
                <w:kern w:val="0"/>
                <w:szCs w:val="21"/>
              </w:rPr>
            </w:pPr>
          </w:p>
        </w:tc>
        <w:tc>
          <w:tcPr>
            <w:tcW w:w="1275" w:type="dxa"/>
          </w:tcPr>
          <w:p>
            <w:pPr>
              <w:adjustRightInd w:val="0"/>
              <w:snapToGrid w:val="0"/>
              <w:spacing w:line="360" w:lineRule="auto"/>
              <w:rPr>
                <w:rFonts w:hint="eastAsia" w:ascii="宋体" w:hAnsi="宋体"/>
                <w:kern w:val="0"/>
                <w:szCs w:val="21"/>
              </w:rPr>
            </w:pPr>
          </w:p>
        </w:tc>
        <w:tc>
          <w:tcPr>
            <w:tcW w:w="933" w:type="dxa"/>
          </w:tcPr>
          <w:p>
            <w:pPr>
              <w:adjustRightInd w:val="0"/>
              <w:snapToGrid w:val="0"/>
              <w:spacing w:line="360" w:lineRule="auto"/>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tcPr>
          <w:p>
            <w:pPr>
              <w:adjustRightInd w:val="0"/>
              <w:snapToGrid w:val="0"/>
              <w:spacing w:line="360" w:lineRule="auto"/>
              <w:rPr>
                <w:rFonts w:hint="eastAsia" w:ascii="宋体" w:hAnsi="宋体"/>
                <w:kern w:val="0"/>
                <w:szCs w:val="21"/>
              </w:rPr>
            </w:pPr>
            <w:r>
              <w:rPr>
                <w:rFonts w:hint="eastAsia" w:ascii="宋体" w:hAnsi="宋体"/>
                <w:kern w:val="0"/>
                <w:szCs w:val="21"/>
              </w:rPr>
              <w:t>2</w:t>
            </w:r>
          </w:p>
        </w:tc>
        <w:tc>
          <w:tcPr>
            <w:tcW w:w="3774" w:type="dxa"/>
            <w:vAlign w:val="center"/>
          </w:tcPr>
          <w:p>
            <w:pPr>
              <w:adjustRightInd w:val="0"/>
              <w:snapToGrid w:val="0"/>
              <w:spacing w:line="360" w:lineRule="auto"/>
              <w:jc w:val="center"/>
              <w:rPr>
                <w:rFonts w:hint="eastAsia" w:hAnsi="宋体"/>
                <w:kern w:val="0"/>
                <w:szCs w:val="21"/>
              </w:rPr>
            </w:pPr>
            <w:r>
              <w:rPr>
                <w:rFonts w:hint="eastAsia"/>
                <w:color w:val="FF0000"/>
                <w:szCs w:val="21"/>
              </w:rPr>
              <w:t>★</w:t>
            </w:r>
            <w:r>
              <w:rPr>
                <w:rFonts w:hint="eastAsia" w:ascii="宋体" w:hAnsi="宋体"/>
                <w:color w:val="FF0000"/>
              </w:rPr>
              <w:t>完全满足本项目其他★标记条款的要求。</w:t>
            </w:r>
          </w:p>
        </w:tc>
        <w:tc>
          <w:tcPr>
            <w:tcW w:w="1530" w:type="dxa"/>
          </w:tcPr>
          <w:p>
            <w:pPr>
              <w:adjustRightInd w:val="0"/>
              <w:snapToGrid w:val="0"/>
              <w:spacing w:line="360" w:lineRule="auto"/>
              <w:rPr>
                <w:rFonts w:hint="eastAsia" w:ascii="宋体" w:hAnsi="宋体"/>
                <w:kern w:val="0"/>
                <w:szCs w:val="21"/>
              </w:rPr>
            </w:pPr>
          </w:p>
        </w:tc>
        <w:tc>
          <w:tcPr>
            <w:tcW w:w="1275" w:type="dxa"/>
          </w:tcPr>
          <w:p>
            <w:pPr>
              <w:adjustRightInd w:val="0"/>
              <w:snapToGrid w:val="0"/>
              <w:spacing w:line="360" w:lineRule="auto"/>
              <w:rPr>
                <w:rFonts w:hint="eastAsia" w:ascii="宋体" w:hAnsi="宋体"/>
                <w:kern w:val="0"/>
                <w:szCs w:val="21"/>
              </w:rPr>
            </w:pPr>
          </w:p>
        </w:tc>
        <w:tc>
          <w:tcPr>
            <w:tcW w:w="933" w:type="dxa"/>
          </w:tcPr>
          <w:p>
            <w:pPr>
              <w:adjustRightInd w:val="0"/>
              <w:snapToGrid w:val="0"/>
              <w:spacing w:line="360" w:lineRule="auto"/>
              <w:rPr>
                <w:rFonts w:hint="eastAsia" w:ascii="宋体" w:hAnsi="宋体"/>
                <w:kern w:val="0"/>
                <w:szCs w:val="21"/>
              </w:rPr>
            </w:pPr>
          </w:p>
        </w:tc>
      </w:tr>
    </w:tbl>
    <w:p>
      <w:pPr>
        <w:ind w:firstLine="420" w:firstLineChars="200"/>
      </w:pPr>
      <w:r>
        <w:rPr>
          <w:rFonts w:hint="eastAsia"/>
        </w:rPr>
        <w:t>注：</w:t>
      </w:r>
    </w:p>
    <w:p>
      <w:pPr>
        <w:ind w:firstLine="420" w:firstLineChars="200"/>
      </w:pPr>
      <w:r>
        <w:rPr>
          <w:rFonts w:hint="eastAsia"/>
        </w:rPr>
        <w:t>1.上表所列各项均为不可负偏离条款。</w:t>
      </w:r>
    </w:p>
    <w:p>
      <w:pPr>
        <w:ind w:firstLine="420" w:firstLineChars="200"/>
      </w:pPr>
      <w:r>
        <w:rPr>
          <w:rFonts w:hint="eastAsia"/>
        </w:rPr>
        <w:t>2.“投标响应”一栏应当详细填写投标人自身响应情况，而不能不合理照搬照抄招实质性条款具体内容。</w:t>
      </w:r>
    </w:p>
    <w:p>
      <w:pPr>
        <w:ind w:firstLine="420" w:firstLineChars="200"/>
      </w:pPr>
      <w:r>
        <w:rPr>
          <w:rFonts w:hint="eastAsia"/>
        </w:rPr>
        <w:t>3</w:t>
      </w:r>
      <w:r>
        <w:t>.</w:t>
      </w:r>
      <w:r>
        <w:rPr>
          <w:rFonts w:hint="eastAsia"/>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20" w:firstLineChars="200"/>
      </w:pPr>
      <w:r>
        <w:t>4.</w:t>
      </w:r>
      <w:r>
        <w:rPr>
          <w:rFonts w:hint="eastAsia"/>
        </w:rPr>
        <w:t>评审委员会有权对投标响应情况作出判断（作出评审结论）。</w:t>
      </w:r>
    </w:p>
    <w:p>
      <w:pPr>
        <w:ind w:firstLine="420" w:firstLineChars="200"/>
      </w:pPr>
      <w:r>
        <w:t>5</w:t>
      </w:r>
      <w:r>
        <w:rPr>
          <w:rFonts w:hint="eastAsia"/>
        </w:rPr>
        <w:t>.实质性响应条款“投标响应情况”与投标文件其它内容冲突的，以实质性响应条款“投标响应情况”为准。</w:t>
      </w:r>
    </w:p>
    <w:p>
      <w:pPr>
        <w:ind w:firstLine="420" w:firstLineChars="200"/>
      </w:pPr>
      <w:r>
        <w:rPr>
          <w:rFonts w:hint="eastAsia"/>
        </w:rPr>
        <w:t>6.要求提供证明资料，在“说明”一栏中列明证明资料的位置,以便评审；未要求提供证明材料的，投标人可以不提供。</w:t>
      </w:r>
    </w:p>
    <w:p>
      <w:pPr>
        <w:ind w:firstLine="420" w:firstLineChars="200"/>
      </w:pPr>
    </w:p>
    <w:p>
      <w:pPr>
        <w:ind w:firstLine="420" w:firstLineChars="200"/>
        <w:rPr>
          <w:rFonts w:hint="eastAsia" w:ascii="黑体" w:hAnsi="宋体" w:eastAsia="黑体"/>
          <w:bCs/>
          <w:color w:val="FF0000"/>
          <w:kern w:val="0"/>
          <w:szCs w:val="21"/>
        </w:rPr>
      </w:pPr>
    </w:p>
    <w:p>
      <w:pPr>
        <w:ind w:firstLine="420" w:firstLineChars="200"/>
        <w:rPr>
          <w:rFonts w:hint="eastAsia" w:ascii="黑体" w:hAnsi="宋体" w:eastAsia="黑体"/>
          <w:bCs/>
          <w:color w:val="FF0000"/>
          <w:kern w:val="0"/>
          <w:szCs w:val="21"/>
        </w:rPr>
      </w:pPr>
    </w:p>
    <w:p>
      <w:pPr>
        <w:pStyle w:val="4"/>
        <w:jc w:val="center"/>
        <w:rPr>
          <w:rFonts w:hint="eastAsia"/>
        </w:rPr>
      </w:pPr>
      <w:r>
        <w:rPr>
          <w:rFonts w:hint="eastAsia"/>
          <w:szCs w:val="24"/>
        </w:rPr>
        <w:t>（五）</w:t>
      </w:r>
      <w:r>
        <w:rPr>
          <w:rFonts w:hint="eastAsia"/>
        </w:rPr>
        <w:t>法定代表人（负责人）资格证明书</w:t>
      </w:r>
    </w:p>
    <w:p>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特此证明。</w:t>
      </w:r>
    </w:p>
    <w:p>
      <w:pPr>
        <w:spacing w:line="360" w:lineRule="auto"/>
        <w:ind w:firstLine="420" w:firstLineChars="200"/>
        <w:rPr>
          <w:szCs w:val="21"/>
        </w:rPr>
      </w:pPr>
      <w:r>
        <w:rPr>
          <w:rFonts w:hint="eastAsia"/>
          <w:szCs w:val="21"/>
        </w:rPr>
        <w:t>说明：1、法定代表人为投标人（企业事业单位、国家机关、社会团体）的主要行政负责人。</w:t>
      </w:r>
    </w:p>
    <w:p>
      <w:pPr>
        <w:numPr>
          <w:ilvl w:val="0"/>
          <w:numId w:val="2"/>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pPr>
        <w:numPr>
          <w:ilvl w:val="0"/>
          <w:numId w:val="2"/>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pPr>
        <w:numPr>
          <w:ilvl w:val="0"/>
          <w:numId w:val="2"/>
        </w:numPr>
        <w:spacing w:line="360" w:lineRule="auto"/>
        <w:ind w:firstLine="420" w:firstLineChars="200"/>
        <w:rPr>
          <w:szCs w:val="21"/>
        </w:rPr>
      </w:pPr>
      <w:r>
        <w:rPr>
          <w:rFonts w:hint="eastAsia"/>
          <w:szCs w:val="21"/>
        </w:rPr>
        <w:t>内容必须填写真实、清楚，涂改无效，不得转让、买卖。</w:t>
      </w:r>
    </w:p>
    <w:tbl>
      <w:tblPr>
        <w:tblStyle w:val="3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85" w:hRule="atLeast"/>
        </w:trPr>
        <w:tc>
          <w:tcPr>
            <w:tcW w:w="4264" w:type="dxa"/>
          </w:tcPr>
          <w:p>
            <w:pPr>
              <w:jc w:val="center"/>
            </w:pPr>
            <w:r>
              <w:rPr>
                <w:rFonts w:hint="eastAsia"/>
              </w:rPr>
              <w:t>证件扫描件正面</w:t>
            </w:r>
          </w:p>
          <w:p>
            <w:pPr>
              <w:spacing w:line="360" w:lineRule="auto"/>
              <w:jc w:val="center"/>
              <w:rPr>
                <w:b/>
                <w:bCs/>
                <w:sz w:val="24"/>
              </w:rPr>
            </w:pPr>
          </w:p>
          <w:p>
            <w:pPr>
              <w:spacing w:line="360" w:lineRule="auto"/>
              <w:jc w:val="center"/>
              <w:rPr>
                <w:sz w:val="24"/>
              </w:rPr>
            </w:pPr>
          </w:p>
        </w:tc>
        <w:tc>
          <w:tcPr>
            <w:tcW w:w="4265" w:type="dxa"/>
          </w:tcPr>
          <w:p>
            <w:pPr>
              <w:jc w:val="center"/>
            </w:pPr>
            <w:r>
              <w:rPr>
                <w:rFonts w:hint="eastAsia"/>
              </w:rPr>
              <w:t>证件扫描件反面</w:t>
            </w:r>
          </w:p>
          <w:p>
            <w:pPr>
              <w:spacing w:line="360" w:lineRule="auto"/>
              <w:jc w:val="center"/>
              <w:rPr>
                <w:b/>
                <w:bCs/>
                <w:sz w:val="24"/>
              </w:rPr>
            </w:pPr>
          </w:p>
          <w:p>
            <w:pPr>
              <w:spacing w:line="360" w:lineRule="auto"/>
              <w:jc w:val="center"/>
              <w:rPr>
                <w:sz w:val="24"/>
              </w:rPr>
            </w:pPr>
          </w:p>
        </w:tc>
      </w:tr>
    </w:tbl>
    <w:p>
      <w:pPr>
        <w:spacing w:after="120"/>
        <w:ind w:firstLine="422" w:firstLineChars="200"/>
        <w:rPr>
          <w:rFonts w:asciiTheme="minorHAnsi" w:hAnsiTheme="minorHAnsi" w:eastAsiaTheme="minorEastAsia" w:cstheme="minorBidi"/>
          <w:b/>
          <w:color w:val="FF0000"/>
        </w:rPr>
      </w:pPr>
    </w:p>
    <w:p>
      <w:pPr>
        <w:spacing w:after="120"/>
        <w:ind w:firstLine="422" w:firstLineChars="200"/>
        <w:rPr>
          <w:rFonts w:asciiTheme="minorHAnsi" w:hAnsiTheme="minorHAnsi" w:eastAsiaTheme="minorEastAsia" w:cstheme="minorBidi"/>
          <w:b/>
          <w:color w:val="FF0000"/>
        </w:rPr>
      </w:pPr>
      <w:r>
        <w:rPr>
          <w:rFonts w:hint="eastAsia" w:asciiTheme="minorHAnsi" w:hAnsiTheme="minorHAnsi" w:eastAsiaTheme="minorEastAsia" w:cstheme="minorBidi"/>
          <w:b/>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rPr>
          <w:sz w:val="24"/>
        </w:rPr>
      </w:pPr>
    </w:p>
    <w:p>
      <w:pPr>
        <w:widowControl/>
        <w:jc w:val="left"/>
        <w:rPr>
          <w:rFonts w:hint="eastAsia" w:ascii="黑体" w:hAnsi="宋体" w:eastAsia="黑体"/>
          <w:bCs/>
          <w:sz w:val="24"/>
          <w:szCs w:val="32"/>
        </w:rPr>
      </w:pPr>
      <w:r>
        <w:rPr>
          <w:rFonts w:ascii="黑体" w:eastAsia="黑体"/>
          <w:b/>
          <w:sz w:val="24"/>
        </w:rPr>
        <w:br w:type="page"/>
      </w:r>
    </w:p>
    <w:p>
      <w:pPr>
        <w:pStyle w:val="4"/>
        <w:jc w:val="center"/>
        <w:rPr>
          <w:rFonts w:hint="eastAsia"/>
        </w:rPr>
      </w:pPr>
      <w:r>
        <w:rPr>
          <w:rFonts w:hint="eastAsia"/>
          <w:szCs w:val="24"/>
        </w:rPr>
        <w:t>（六）</w:t>
      </w:r>
      <w:r>
        <w:rPr>
          <w:rFonts w:hint="eastAsia"/>
        </w:rPr>
        <w:t>投标文件签署授权委托书</w:t>
      </w: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szCs w:val="21"/>
        </w:rPr>
      </w:pPr>
      <w:r>
        <w:rPr>
          <w:rFonts w:hint="eastAsia"/>
          <w:szCs w:val="21"/>
        </w:rPr>
        <w:t>代理人无转委托权，特此委托。</w:t>
      </w:r>
    </w:p>
    <w:p>
      <w:pPr>
        <w:spacing w:line="360" w:lineRule="auto"/>
        <w:ind w:firstLine="420" w:firstLineChars="200"/>
        <w:rPr>
          <w:szCs w:val="21"/>
        </w:rPr>
      </w:pPr>
    </w:p>
    <w:p>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3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05" w:hRule="atLeast"/>
        </w:trPr>
        <w:tc>
          <w:tcPr>
            <w:tcW w:w="4264" w:type="dxa"/>
          </w:tcPr>
          <w:p>
            <w:pPr>
              <w:jc w:val="center"/>
            </w:pPr>
            <w:r>
              <w:rPr>
                <w:rFonts w:hint="eastAsia"/>
              </w:rPr>
              <w:t>证件扫描件正面</w:t>
            </w:r>
          </w:p>
          <w:p>
            <w:pPr>
              <w:spacing w:line="360" w:lineRule="auto"/>
              <w:jc w:val="center"/>
              <w:rPr>
                <w:b/>
                <w:bCs/>
                <w:sz w:val="24"/>
              </w:rPr>
            </w:pPr>
          </w:p>
          <w:p>
            <w:pPr>
              <w:spacing w:line="360" w:lineRule="auto"/>
              <w:jc w:val="center"/>
              <w:rPr>
                <w:sz w:val="24"/>
              </w:rPr>
            </w:pPr>
          </w:p>
        </w:tc>
        <w:tc>
          <w:tcPr>
            <w:tcW w:w="4265" w:type="dxa"/>
          </w:tcPr>
          <w:p>
            <w:pPr>
              <w:jc w:val="center"/>
            </w:pPr>
            <w:r>
              <w:rPr>
                <w:rFonts w:hint="eastAsia"/>
              </w:rPr>
              <w:t>证件扫描件反面</w:t>
            </w:r>
          </w:p>
          <w:p>
            <w:pPr>
              <w:spacing w:line="360" w:lineRule="auto"/>
              <w:jc w:val="center"/>
              <w:rPr>
                <w:b/>
                <w:bCs/>
                <w:sz w:val="24"/>
              </w:rPr>
            </w:pPr>
          </w:p>
          <w:p>
            <w:pPr>
              <w:spacing w:line="360" w:lineRule="auto"/>
              <w:jc w:val="center"/>
              <w:rPr>
                <w:sz w:val="24"/>
              </w:rPr>
            </w:pPr>
          </w:p>
        </w:tc>
      </w:tr>
    </w:tbl>
    <w:p/>
    <w:p>
      <w:pPr>
        <w:spacing w:after="120"/>
        <w:ind w:firstLine="422" w:firstLineChars="200"/>
        <w:rPr>
          <w:rFonts w:asciiTheme="minorHAnsi" w:hAnsiTheme="minorHAnsi" w:eastAsiaTheme="minorEastAsia" w:cstheme="minorBidi"/>
          <w:b/>
          <w:color w:val="FF0000"/>
        </w:rPr>
      </w:pPr>
      <w:r>
        <w:rPr>
          <w:rFonts w:hint="eastAsia" w:asciiTheme="minorHAnsi" w:hAnsiTheme="minorHAnsi" w:eastAsiaTheme="minorEastAsia" w:cstheme="minorBidi"/>
          <w:b/>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pStyle w:val="32"/>
      </w:pPr>
    </w:p>
    <w:p>
      <w:pPr>
        <w:widowControl/>
        <w:jc w:val="left"/>
        <w:rPr>
          <w:rFonts w:hint="eastAsia" w:ascii="黑体" w:hAnsi="宋体" w:eastAsia="黑体"/>
          <w:bCs/>
          <w:kern w:val="0"/>
          <w:sz w:val="24"/>
        </w:rPr>
      </w:pPr>
      <w:r>
        <w:rPr>
          <w:rFonts w:ascii="黑体" w:eastAsia="黑体"/>
          <w:b/>
          <w:kern w:val="0"/>
          <w:sz w:val="24"/>
        </w:rPr>
        <w:br w:type="page"/>
      </w:r>
    </w:p>
    <w:p>
      <w:pPr>
        <w:pStyle w:val="4"/>
        <w:jc w:val="center"/>
        <w:rPr>
          <w:rFonts w:hint="eastAsia"/>
        </w:rPr>
      </w:pPr>
      <w:r>
        <w:rPr>
          <w:rFonts w:hint="eastAsia"/>
        </w:rPr>
        <w:t>（七）分项报价清单</w:t>
      </w:r>
    </w:p>
    <w:tbl>
      <w:tblPr>
        <w:tblStyle w:val="33"/>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tblPrEx>
          <w:tblLayout w:type="fixed"/>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说明</w:t>
            </w:r>
          </w:p>
        </w:tc>
      </w:tr>
      <w:tr>
        <w:tblPrEx>
          <w:tblLayout w:type="fixed"/>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vAlign w:val="center"/>
          </w:tcPr>
          <w:p>
            <w:pPr>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vAlign w:val="center"/>
          </w:tcPr>
          <w:p>
            <w:pPr>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vAlign w:val="center"/>
          </w:tcPr>
          <w:p>
            <w:pPr>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vAlign w:val="center"/>
          </w:tcPr>
          <w:p>
            <w:pPr>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hint="eastAsia"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以上各项之和</w:t>
            </w:r>
          </w:p>
        </w:tc>
      </w:tr>
    </w:tbl>
    <w:p>
      <w:pPr>
        <w:ind w:firstLine="420" w:firstLineChars="200"/>
        <w:rPr>
          <w:rFonts w:hint="eastAsia" w:ascii="宋体" w:hAnsi="宋体"/>
        </w:rPr>
      </w:pPr>
      <w:r>
        <w:rPr>
          <w:rFonts w:hint="eastAsia" w:ascii="宋体" w:hAnsi="宋体"/>
        </w:rPr>
        <w:t>注：1、所有价格应按“招标文件”中规定的货币单位填写；</w:t>
      </w:r>
    </w:p>
    <w:p>
      <w:pPr>
        <w:numPr>
          <w:ilvl w:val="0"/>
          <w:numId w:val="3"/>
        </w:numPr>
        <w:ind w:firstLine="840" w:firstLineChars="400"/>
        <w:rPr>
          <w:rFonts w:hint="eastAsia" w:ascii="宋体" w:hAnsi="宋体"/>
        </w:rPr>
      </w:pPr>
      <w:r>
        <w:rPr>
          <w:rFonts w:hint="eastAsia" w:ascii="宋体" w:hAnsi="宋体"/>
        </w:rPr>
        <w:t>本表格仅为指导性范本，供应商可根据项目具体情况对各分项内容进行调整提供详细分项报价。</w:t>
      </w:r>
    </w:p>
    <w:p>
      <w:pPr>
        <w:pStyle w:val="32"/>
      </w:pPr>
    </w:p>
    <w:p>
      <w:pPr>
        <w:pStyle w:val="32"/>
      </w:pPr>
    </w:p>
    <w:p>
      <w:pPr>
        <w:ind w:firstLine="420" w:firstLineChars="200"/>
        <w:jc w:val="center"/>
        <w:rPr>
          <w:szCs w:val="21"/>
        </w:rPr>
      </w:pPr>
    </w:p>
    <w:p>
      <w:pPr>
        <w:widowControl/>
        <w:jc w:val="left"/>
        <w:rPr>
          <w:rFonts w:ascii="Arial" w:hAnsi="Arial" w:eastAsia="黑体"/>
          <w:bCs/>
          <w:sz w:val="24"/>
        </w:rPr>
      </w:pPr>
      <w:r>
        <w:rPr>
          <w:b/>
          <w:sz w:val="24"/>
        </w:rPr>
        <w:br w:type="page"/>
      </w:r>
    </w:p>
    <w:p>
      <w:pPr>
        <w:pStyle w:val="4"/>
        <w:jc w:val="center"/>
        <w:rPr>
          <w:rFonts w:hint="eastAsia" w:ascii="黑体" w:eastAsia="黑体"/>
          <w:szCs w:val="28"/>
        </w:rPr>
      </w:pPr>
      <w:r>
        <w:rPr>
          <w:rFonts w:hint="eastAsia" w:ascii="黑体" w:eastAsia="黑体"/>
          <w:szCs w:val="28"/>
        </w:rPr>
        <w:t>二、技术服务部分</w:t>
      </w:r>
    </w:p>
    <w:p/>
    <w:p>
      <w:pPr>
        <w:pStyle w:val="5"/>
        <w:jc w:val="left"/>
        <w:rPr>
          <w:rFonts w:ascii="黑体"/>
          <w:b w:val="0"/>
          <w:sz w:val="24"/>
        </w:rPr>
      </w:pPr>
      <w:r>
        <w:rPr>
          <w:rFonts w:hint="eastAsia" w:ascii="黑体"/>
          <w:b w:val="0"/>
          <w:sz w:val="24"/>
        </w:rPr>
        <w:t>（一）项目实施方案</w:t>
      </w:r>
    </w:p>
    <w:p>
      <w:pPr>
        <w:jc w:val="left"/>
      </w:pPr>
      <w:r>
        <w:rPr>
          <w:rFonts w:hint="eastAsia"/>
        </w:rPr>
        <w:t>请按照招标文件要求提供相关证明文件。</w:t>
      </w:r>
    </w:p>
    <w:p>
      <w:pPr>
        <w:pStyle w:val="32"/>
        <w:jc w:val="left"/>
      </w:pPr>
    </w:p>
    <w:p>
      <w:pPr>
        <w:pStyle w:val="32"/>
        <w:jc w:val="left"/>
      </w:pPr>
    </w:p>
    <w:p>
      <w:pPr>
        <w:pStyle w:val="5"/>
        <w:jc w:val="left"/>
        <w:rPr>
          <w:rFonts w:ascii="黑体"/>
          <w:b w:val="0"/>
          <w:sz w:val="24"/>
        </w:rPr>
      </w:pPr>
      <w:r>
        <w:rPr>
          <w:rFonts w:hint="eastAsia" w:ascii="黑体"/>
          <w:b w:val="0"/>
          <w:sz w:val="24"/>
        </w:rPr>
        <w:t>（二）项目重点难点分析、应对措施及相关的合理化建议</w:t>
      </w:r>
    </w:p>
    <w:p>
      <w:pPr>
        <w:jc w:val="left"/>
      </w:pPr>
      <w:r>
        <w:rPr>
          <w:rFonts w:hint="eastAsia"/>
        </w:rPr>
        <w:t>请按照招标文件要求提供相关证明文件。</w:t>
      </w:r>
    </w:p>
    <w:p>
      <w:pPr>
        <w:pStyle w:val="32"/>
        <w:jc w:val="left"/>
      </w:pPr>
    </w:p>
    <w:p>
      <w:pPr>
        <w:pStyle w:val="32"/>
        <w:jc w:val="left"/>
      </w:pPr>
    </w:p>
    <w:p>
      <w:pPr>
        <w:pStyle w:val="5"/>
        <w:jc w:val="left"/>
        <w:rPr>
          <w:rFonts w:hint="eastAsia" w:ascii="黑体"/>
          <w:b w:val="0"/>
          <w:sz w:val="24"/>
          <w:lang w:val="en-US" w:eastAsia="zh-CN"/>
        </w:rPr>
      </w:pPr>
      <w:r>
        <w:rPr>
          <w:rFonts w:hint="eastAsia" w:ascii="黑体"/>
          <w:b w:val="0"/>
          <w:sz w:val="24"/>
        </w:rPr>
        <w:t>（三）质量保障措施及方案</w:t>
      </w:r>
      <w:r>
        <w:rPr>
          <w:rFonts w:hint="eastAsia" w:ascii="黑体"/>
          <w:b w:val="0"/>
          <w:sz w:val="24"/>
          <w:lang w:val="en-US" w:eastAsia="zh-CN"/>
        </w:rPr>
        <w:t xml:space="preserve"> </w:t>
      </w:r>
    </w:p>
    <w:p>
      <w:pPr>
        <w:jc w:val="left"/>
      </w:pPr>
      <w:r>
        <w:rPr>
          <w:rFonts w:hint="eastAsia"/>
        </w:rPr>
        <w:t>请按照招标文件要求提供相关证明文件。</w:t>
      </w:r>
    </w:p>
    <w:p>
      <w:pPr>
        <w:pStyle w:val="32"/>
        <w:jc w:val="left"/>
      </w:pPr>
    </w:p>
    <w:p>
      <w:pPr>
        <w:pStyle w:val="32"/>
        <w:ind w:left="0" w:leftChars="0" w:firstLine="0" w:firstLineChars="0"/>
        <w:jc w:val="left"/>
      </w:pPr>
    </w:p>
    <w:p>
      <w:pPr>
        <w:widowControl/>
        <w:jc w:val="left"/>
      </w:pPr>
    </w:p>
    <w:p>
      <w:pPr>
        <w:pStyle w:val="4"/>
        <w:jc w:val="center"/>
        <w:rPr>
          <w:rFonts w:hint="eastAsia" w:ascii="黑体" w:eastAsia="黑体"/>
          <w:szCs w:val="28"/>
        </w:rPr>
      </w:pPr>
      <w:r>
        <w:rPr>
          <w:rFonts w:hint="eastAsia" w:ascii="黑体" w:eastAsia="黑体"/>
          <w:szCs w:val="28"/>
        </w:rPr>
        <w:t>三、综合实力部分</w:t>
      </w:r>
    </w:p>
    <w:p>
      <w:pPr>
        <w:pStyle w:val="5"/>
        <w:jc w:val="left"/>
        <w:rPr>
          <w:rFonts w:hint="eastAsia" w:ascii="黑体"/>
          <w:b w:val="0"/>
          <w:sz w:val="24"/>
          <w:lang w:val="en-US" w:eastAsia="zh-CN"/>
        </w:rPr>
      </w:pPr>
      <w:r>
        <w:rPr>
          <w:rFonts w:hint="eastAsia" w:ascii="黑体"/>
          <w:b w:val="0"/>
          <w:sz w:val="24"/>
        </w:rPr>
        <w:t>（</w:t>
      </w:r>
      <w:r>
        <w:rPr>
          <w:rFonts w:hint="eastAsia" w:ascii="黑体"/>
          <w:b w:val="0"/>
          <w:sz w:val="24"/>
          <w:lang w:eastAsia="zh-CN"/>
        </w:rPr>
        <w:t>一</w:t>
      </w:r>
      <w:r>
        <w:rPr>
          <w:rFonts w:hint="eastAsia" w:ascii="黑体"/>
          <w:b w:val="0"/>
          <w:sz w:val="24"/>
        </w:rPr>
        <w:t>）拟安排的项目负责人（仅限1人）情况</w:t>
      </w:r>
      <w:r>
        <w:rPr>
          <w:rFonts w:hint="eastAsia" w:ascii="黑体"/>
          <w:b w:val="0"/>
          <w:sz w:val="24"/>
          <w:lang w:val="en-US" w:eastAsia="zh-CN"/>
        </w:rPr>
        <w:t xml:space="preserve"> </w:t>
      </w:r>
    </w:p>
    <w:p>
      <w:pPr>
        <w:jc w:val="left"/>
      </w:pPr>
      <w:r>
        <w:rPr>
          <w:rFonts w:hint="eastAsia"/>
        </w:rPr>
        <w:t>请按照招标文件要求提供相关证明文件。</w:t>
      </w:r>
    </w:p>
    <w:p>
      <w:pPr>
        <w:pStyle w:val="32"/>
        <w:ind w:left="0" w:leftChars="0" w:firstLine="0" w:firstLineChars="0"/>
        <w:jc w:val="left"/>
      </w:pPr>
    </w:p>
    <w:p>
      <w:pPr>
        <w:pStyle w:val="5"/>
        <w:jc w:val="left"/>
        <w:rPr>
          <w:rFonts w:hint="eastAsia" w:ascii="黑体"/>
          <w:b w:val="0"/>
          <w:sz w:val="24"/>
          <w:lang w:val="en-US" w:eastAsia="zh-CN"/>
        </w:rPr>
      </w:pPr>
      <w:r>
        <w:rPr>
          <w:rFonts w:hint="eastAsia" w:ascii="黑体"/>
          <w:b w:val="0"/>
          <w:sz w:val="24"/>
        </w:rPr>
        <w:t>（</w:t>
      </w:r>
      <w:r>
        <w:rPr>
          <w:rFonts w:hint="eastAsia" w:ascii="黑体"/>
          <w:b w:val="0"/>
          <w:sz w:val="24"/>
          <w:lang w:eastAsia="zh-CN"/>
        </w:rPr>
        <w:t>二</w:t>
      </w:r>
      <w:r>
        <w:rPr>
          <w:rFonts w:hint="eastAsia" w:ascii="黑体"/>
          <w:b w:val="0"/>
          <w:sz w:val="24"/>
        </w:rPr>
        <w:t>）拟安排的技术团队情况（项目负责人除外）</w:t>
      </w:r>
      <w:r>
        <w:rPr>
          <w:rFonts w:hint="eastAsia" w:ascii="黑体"/>
          <w:b w:val="0"/>
          <w:sz w:val="24"/>
          <w:lang w:val="en-US" w:eastAsia="zh-CN"/>
        </w:rPr>
        <w:t xml:space="preserve"> </w:t>
      </w:r>
    </w:p>
    <w:p>
      <w:pPr>
        <w:jc w:val="left"/>
      </w:pPr>
      <w:r>
        <w:rPr>
          <w:rFonts w:hint="eastAsia"/>
        </w:rPr>
        <w:t>请按照招标文件要求提供相关证明文件。</w:t>
      </w:r>
    </w:p>
    <w:p>
      <w:pPr>
        <w:rPr>
          <w:rFonts w:hint="eastAsia"/>
        </w:rPr>
      </w:pPr>
    </w:p>
    <w:p>
      <w:pPr>
        <w:pStyle w:val="5"/>
        <w:jc w:val="left"/>
        <w:rPr>
          <w:rFonts w:ascii="黑体"/>
          <w:b w:val="0"/>
          <w:sz w:val="24"/>
        </w:rPr>
      </w:pPr>
      <w:r>
        <w:rPr>
          <w:rFonts w:hint="eastAsia" w:ascii="黑体"/>
          <w:b w:val="0"/>
          <w:sz w:val="24"/>
        </w:rPr>
        <w:t>（</w:t>
      </w:r>
      <w:r>
        <w:rPr>
          <w:rFonts w:hint="eastAsia" w:ascii="黑体"/>
          <w:b w:val="0"/>
          <w:sz w:val="24"/>
          <w:lang w:eastAsia="zh-CN"/>
        </w:rPr>
        <w:t>三</w:t>
      </w:r>
      <w:r>
        <w:rPr>
          <w:rFonts w:hint="eastAsia" w:ascii="黑体"/>
          <w:b w:val="0"/>
          <w:sz w:val="24"/>
        </w:rPr>
        <w:t>）同类项目业绩能力</w:t>
      </w:r>
    </w:p>
    <w:tbl>
      <w:tblPr>
        <w:tblStyle w:val="33"/>
        <w:tblW w:w="7922"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942"/>
        <w:gridCol w:w="1000"/>
        <w:gridCol w:w="1701"/>
        <w:gridCol w:w="1625"/>
        <w:gridCol w:w="1750"/>
        <w:gridCol w:w="90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4" w:type="dxa"/>
            <w:bottom w:w="0" w:type="dxa"/>
            <w:right w:w="54" w:type="dxa"/>
          </w:tblCellMar>
        </w:tblPrEx>
        <w:trPr>
          <w:cantSplit/>
          <w:trHeight w:val="731" w:hRule="atLeast"/>
          <w:jc w:val="center"/>
        </w:trPr>
        <w:tc>
          <w:tcPr>
            <w:tcW w:w="942" w:type="dxa"/>
            <w:tcBorders>
              <w:bottom w:val="single" w:color="auto" w:sz="4" w:space="0"/>
            </w:tcBorders>
            <w:vAlign w:val="center"/>
          </w:tcPr>
          <w:p>
            <w:pPr>
              <w:jc w:val="center"/>
            </w:pPr>
            <w:r>
              <w:rPr>
                <w:rFonts w:hint="eastAsia"/>
              </w:rPr>
              <w:t>序号</w:t>
            </w:r>
          </w:p>
        </w:tc>
        <w:tc>
          <w:tcPr>
            <w:tcW w:w="1000" w:type="dxa"/>
            <w:vAlign w:val="center"/>
          </w:tcPr>
          <w:p>
            <w:pPr>
              <w:jc w:val="center"/>
            </w:pPr>
            <w:r>
              <w:rPr>
                <w:rFonts w:hint="eastAsia"/>
                <w:szCs w:val="21"/>
              </w:rPr>
              <w:t>采购单位</w:t>
            </w:r>
          </w:p>
        </w:tc>
        <w:tc>
          <w:tcPr>
            <w:tcW w:w="1701" w:type="dxa"/>
            <w:vAlign w:val="center"/>
          </w:tcPr>
          <w:p>
            <w:pPr>
              <w:jc w:val="center"/>
            </w:pPr>
            <w:r>
              <w:rPr>
                <w:rFonts w:hint="eastAsia"/>
              </w:rPr>
              <w:t>项目名称</w:t>
            </w:r>
          </w:p>
        </w:tc>
        <w:tc>
          <w:tcPr>
            <w:tcW w:w="1625" w:type="dxa"/>
            <w:vAlign w:val="center"/>
          </w:tcPr>
          <w:p>
            <w:pPr>
              <w:jc w:val="center"/>
            </w:pPr>
            <w:r>
              <w:rPr>
                <w:rFonts w:hint="eastAsia"/>
                <w:szCs w:val="21"/>
              </w:rPr>
              <w:t>合同签订日期</w:t>
            </w:r>
          </w:p>
        </w:tc>
        <w:tc>
          <w:tcPr>
            <w:tcW w:w="1750" w:type="dxa"/>
            <w:vAlign w:val="center"/>
          </w:tcPr>
          <w:p>
            <w:pPr>
              <w:jc w:val="center"/>
            </w:pPr>
            <w:r>
              <w:rPr>
                <w:rFonts w:hint="eastAsia"/>
                <w:szCs w:val="21"/>
              </w:rPr>
              <w:t>履约评价情况</w:t>
            </w:r>
          </w:p>
        </w:tc>
        <w:tc>
          <w:tcPr>
            <w:tcW w:w="904" w:type="dxa"/>
            <w:vAlign w:val="center"/>
          </w:tcPr>
          <w:p>
            <w:pPr>
              <w:jc w:val="center"/>
            </w:pPr>
            <w:r>
              <w:rPr>
                <w:rFonts w:hint="eastAsia"/>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4" w:type="dxa"/>
            <w:bottom w:w="0" w:type="dxa"/>
            <w:right w:w="54" w:type="dxa"/>
          </w:tblCellMar>
        </w:tblPrEx>
        <w:trPr>
          <w:cantSplit/>
          <w:trHeight w:val="731" w:hRule="atLeast"/>
          <w:jc w:val="center"/>
        </w:trPr>
        <w:tc>
          <w:tcPr>
            <w:tcW w:w="942" w:type="dxa"/>
            <w:tcBorders>
              <w:top w:val="single" w:color="auto" w:sz="4" w:space="0"/>
            </w:tcBorders>
            <w:vAlign w:val="center"/>
          </w:tcPr>
          <w:p>
            <w:pPr>
              <w:jc w:val="center"/>
            </w:pPr>
          </w:p>
        </w:tc>
        <w:tc>
          <w:tcPr>
            <w:tcW w:w="1000" w:type="dxa"/>
            <w:vAlign w:val="center"/>
          </w:tcPr>
          <w:p>
            <w:pPr>
              <w:jc w:val="center"/>
            </w:pPr>
          </w:p>
        </w:tc>
        <w:tc>
          <w:tcPr>
            <w:tcW w:w="1701" w:type="dxa"/>
            <w:vAlign w:val="center"/>
          </w:tcPr>
          <w:p>
            <w:pPr>
              <w:jc w:val="center"/>
            </w:pPr>
          </w:p>
        </w:tc>
        <w:tc>
          <w:tcPr>
            <w:tcW w:w="1625" w:type="dxa"/>
            <w:vAlign w:val="center"/>
          </w:tcPr>
          <w:p>
            <w:pPr>
              <w:jc w:val="center"/>
            </w:pPr>
          </w:p>
        </w:tc>
        <w:tc>
          <w:tcPr>
            <w:tcW w:w="1750" w:type="dxa"/>
            <w:vAlign w:val="center"/>
          </w:tcPr>
          <w:p>
            <w:pPr>
              <w:jc w:val="center"/>
            </w:pPr>
          </w:p>
        </w:tc>
        <w:tc>
          <w:tcPr>
            <w:tcW w:w="904" w:type="dxa"/>
            <w:vAlign w:val="center"/>
          </w:tcPr>
          <w:p>
            <w:pPr>
              <w:jc w:val="cente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4" w:type="dxa"/>
            <w:bottom w:w="0" w:type="dxa"/>
            <w:right w:w="54" w:type="dxa"/>
          </w:tblCellMar>
        </w:tblPrEx>
        <w:trPr>
          <w:cantSplit/>
          <w:trHeight w:val="731" w:hRule="atLeast"/>
          <w:jc w:val="center"/>
        </w:trPr>
        <w:tc>
          <w:tcPr>
            <w:tcW w:w="942" w:type="dxa"/>
            <w:vAlign w:val="center"/>
          </w:tcPr>
          <w:p>
            <w:pPr>
              <w:jc w:val="center"/>
            </w:pPr>
          </w:p>
        </w:tc>
        <w:tc>
          <w:tcPr>
            <w:tcW w:w="1000" w:type="dxa"/>
            <w:vAlign w:val="center"/>
          </w:tcPr>
          <w:p>
            <w:pPr>
              <w:jc w:val="center"/>
            </w:pPr>
          </w:p>
        </w:tc>
        <w:tc>
          <w:tcPr>
            <w:tcW w:w="1701" w:type="dxa"/>
            <w:vAlign w:val="center"/>
          </w:tcPr>
          <w:p>
            <w:pPr>
              <w:jc w:val="center"/>
            </w:pPr>
          </w:p>
        </w:tc>
        <w:tc>
          <w:tcPr>
            <w:tcW w:w="1625" w:type="dxa"/>
            <w:vAlign w:val="center"/>
          </w:tcPr>
          <w:p>
            <w:pPr>
              <w:jc w:val="center"/>
            </w:pPr>
          </w:p>
        </w:tc>
        <w:tc>
          <w:tcPr>
            <w:tcW w:w="1750" w:type="dxa"/>
            <w:vAlign w:val="center"/>
          </w:tcPr>
          <w:p>
            <w:pPr>
              <w:jc w:val="center"/>
            </w:pPr>
          </w:p>
        </w:tc>
        <w:tc>
          <w:tcPr>
            <w:tcW w:w="904" w:type="dxa"/>
            <w:vAlign w:val="center"/>
          </w:tcPr>
          <w:p>
            <w:pPr>
              <w:jc w:val="cente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4" w:type="dxa"/>
            <w:bottom w:w="0" w:type="dxa"/>
            <w:right w:w="54" w:type="dxa"/>
          </w:tblCellMar>
        </w:tblPrEx>
        <w:trPr>
          <w:cantSplit/>
          <w:trHeight w:val="731" w:hRule="atLeast"/>
          <w:jc w:val="center"/>
        </w:trPr>
        <w:tc>
          <w:tcPr>
            <w:tcW w:w="942" w:type="dxa"/>
            <w:vAlign w:val="center"/>
          </w:tcPr>
          <w:p>
            <w:pPr>
              <w:jc w:val="center"/>
            </w:pPr>
          </w:p>
        </w:tc>
        <w:tc>
          <w:tcPr>
            <w:tcW w:w="1000" w:type="dxa"/>
            <w:vAlign w:val="center"/>
          </w:tcPr>
          <w:p>
            <w:pPr>
              <w:jc w:val="center"/>
            </w:pPr>
          </w:p>
        </w:tc>
        <w:tc>
          <w:tcPr>
            <w:tcW w:w="1701" w:type="dxa"/>
            <w:vAlign w:val="center"/>
          </w:tcPr>
          <w:p>
            <w:pPr>
              <w:jc w:val="center"/>
            </w:pPr>
          </w:p>
        </w:tc>
        <w:tc>
          <w:tcPr>
            <w:tcW w:w="1625" w:type="dxa"/>
            <w:vAlign w:val="center"/>
          </w:tcPr>
          <w:p>
            <w:pPr>
              <w:jc w:val="center"/>
            </w:pPr>
          </w:p>
        </w:tc>
        <w:tc>
          <w:tcPr>
            <w:tcW w:w="1750" w:type="dxa"/>
            <w:vAlign w:val="center"/>
          </w:tcPr>
          <w:p>
            <w:pPr>
              <w:jc w:val="center"/>
            </w:pPr>
          </w:p>
        </w:tc>
        <w:tc>
          <w:tcPr>
            <w:tcW w:w="904" w:type="dxa"/>
            <w:vAlign w:val="center"/>
          </w:tcPr>
          <w:p>
            <w:pPr>
              <w:jc w:val="cente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4" w:type="dxa"/>
            <w:bottom w:w="0" w:type="dxa"/>
            <w:right w:w="54" w:type="dxa"/>
          </w:tblCellMar>
        </w:tblPrEx>
        <w:trPr>
          <w:cantSplit/>
          <w:trHeight w:val="731" w:hRule="atLeast"/>
          <w:jc w:val="center"/>
        </w:trPr>
        <w:tc>
          <w:tcPr>
            <w:tcW w:w="942" w:type="dxa"/>
            <w:vAlign w:val="center"/>
          </w:tcPr>
          <w:p>
            <w:pPr>
              <w:jc w:val="center"/>
            </w:pPr>
          </w:p>
        </w:tc>
        <w:tc>
          <w:tcPr>
            <w:tcW w:w="1000" w:type="dxa"/>
            <w:vAlign w:val="center"/>
          </w:tcPr>
          <w:p>
            <w:pPr>
              <w:jc w:val="center"/>
            </w:pPr>
          </w:p>
        </w:tc>
        <w:tc>
          <w:tcPr>
            <w:tcW w:w="1701" w:type="dxa"/>
            <w:vAlign w:val="center"/>
          </w:tcPr>
          <w:p>
            <w:pPr>
              <w:jc w:val="center"/>
            </w:pPr>
          </w:p>
        </w:tc>
        <w:tc>
          <w:tcPr>
            <w:tcW w:w="1625" w:type="dxa"/>
            <w:vAlign w:val="center"/>
          </w:tcPr>
          <w:p>
            <w:pPr>
              <w:jc w:val="center"/>
            </w:pPr>
          </w:p>
        </w:tc>
        <w:tc>
          <w:tcPr>
            <w:tcW w:w="1750" w:type="dxa"/>
            <w:vAlign w:val="center"/>
          </w:tcPr>
          <w:p>
            <w:pPr>
              <w:jc w:val="center"/>
            </w:pPr>
          </w:p>
        </w:tc>
        <w:tc>
          <w:tcPr>
            <w:tcW w:w="904" w:type="dxa"/>
            <w:vAlign w:val="center"/>
          </w:tcPr>
          <w:p>
            <w:pPr>
              <w:jc w:val="cente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4" w:type="dxa"/>
            <w:bottom w:w="0" w:type="dxa"/>
            <w:right w:w="54" w:type="dxa"/>
          </w:tblCellMar>
        </w:tblPrEx>
        <w:trPr>
          <w:cantSplit/>
          <w:trHeight w:val="731" w:hRule="atLeast"/>
          <w:jc w:val="center"/>
        </w:trPr>
        <w:tc>
          <w:tcPr>
            <w:tcW w:w="942" w:type="dxa"/>
            <w:vAlign w:val="center"/>
          </w:tcPr>
          <w:p>
            <w:pPr>
              <w:jc w:val="center"/>
            </w:pPr>
          </w:p>
        </w:tc>
        <w:tc>
          <w:tcPr>
            <w:tcW w:w="1000" w:type="dxa"/>
            <w:vAlign w:val="center"/>
          </w:tcPr>
          <w:p>
            <w:pPr>
              <w:jc w:val="center"/>
            </w:pPr>
          </w:p>
        </w:tc>
        <w:tc>
          <w:tcPr>
            <w:tcW w:w="1701" w:type="dxa"/>
            <w:vAlign w:val="center"/>
          </w:tcPr>
          <w:p>
            <w:pPr>
              <w:jc w:val="center"/>
            </w:pPr>
          </w:p>
        </w:tc>
        <w:tc>
          <w:tcPr>
            <w:tcW w:w="1625" w:type="dxa"/>
            <w:vAlign w:val="center"/>
          </w:tcPr>
          <w:p>
            <w:pPr>
              <w:jc w:val="center"/>
            </w:pPr>
          </w:p>
        </w:tc>
        <w:tc>
          <w:tcPr>
            <w:tcW w:w="1750" w:type="dxa"/>
            <w:vAlign w:val="center"/>
          </w:tcPr>
          <w:p>
            <w:pPr>
              <w:jc w:val="center"/>
            </w:pPr>
          </w:p>
        </w:tc>
        <w:tc>
          <w:tcPr>
            <w:tcW w:w="904" w:type="dxa"/>
            <w:vAlign w:val="center"/>
          </w:tcPr>
          <w:p>
            <w:pPr>
              <w:jc w:val="center"/>
            </w:pPr>
          </w:p>
        </w:tc>
      </w:tr>
    </w:tbl>
    <w:p>
      <w:pPr>
        <w:rPr>
          <w:b/>
        </w:rPr>
      </w:pPr>
      <w:bookmarkStart w:id="27" w:name="bt项目管理班子配备情况"/>
      <w:bookmarkEnd w:id="27"/>
    </w:p>
    <w:p>
      <w:pPr>
        <w:pStyle w:val="5"/>
        <w:jc w:val="left"/>
        <w:rPr>
          <w:rFonts w:ascii="黑体"/>
          <w:b w:val="0"/>
          <w:sz w:val="24"/>
        </w:rPr>
      </w:pPr>
      <w:r>
        <w:rPr>
          <w:rFonts w:hint="eastAsia" w:ascii="黑体"/>
          <w:b w:val="0"/>
          <w:sz w:val="24"/>
        </w:rPr>
        <w:t>（</w:t>
      </w:r>
      <w:r>
        <w:rPr>
          <w:rFonts w:hint="eastAsia" w:ascii="黑体"/>
          <w:b w:val="0"/>
          <w:sz w:val="24"/>
          <w:lang w:eastAsia="zh-CN"/>
        </w:rPr>
        <w:t>四</w:t>
      </w:r>
      <w:r>
        <w:rPr>
          <w:rFonts w:hint="eastAsia" w:ascii="黑体"/>
          <w:b w:val="0"/>
          <w:sz w:val="24"/>
        </w:rPr>
        <w:t>）履约评价</w:t>
      </w:r>
    </w:p>
    <w:p>
      <w:pPr>
        <w:jc w:val="left"/>
      </w:pPr>
      <w:r>
        <w:rPr>
          <w:rFonts w:hint="eastAsia"/>
        </w:rPr>
        <w:t>请按照招标文件要求提供相关证明文件。</w:t>
      </w:r>
    </w:p>
    <w:p>
      <w:pPr>
        <w:pStyle w:val="32"/>
        <w:jc w:val="left"/>
      </w:pPr>
    </w:p>
    <w:p>
      <w:pPr>
        <w:pStyle w:val="5"/>
        <w:jc w:val="left"/>
        <w:rPr>
          <w:rFonts w:hint="eastAsia" w:ascii="黑体"/>
          <w:b w:val="0"/>
          <w:sz w:val="24"/>
          <w:lang w:val="en-US" w:eastAsia="zh-CN"/>
        </w:rPr>
      </w:pPr>
      <w:r>
        <w:rPr>
          <w:rFonts w:hint="eastAsia" w:ascii="黑体"/>
          <w:b w:val="0"/>
          <w:sz w:val="24"/>
        </w:rPr>
        <w:t>（</w:t>
      </w:r>
      <w:r>
        <w:rPr>
          <w:rFonts w:hint="eastAsia" w:ascii="黑体"/>
          <w:b w:val="0"/>
          <w:sz w:val="24"/>
          <w:lang w:eastAsia="zh-CN"/>
        </w:rPr>
        <w:t>五</w:t>
      </w:r>
      <w:r>
        <w:rPr>
          <w:rFonts w:hint="eastAsia" w:ascii="黑体"/>
          <w:b w:val="0"/>
          <w:sz w:val="24"/>
        </w:rPr>
        <w:t>）企业相关认证情况</w:t>
      </w:r>
      <w:r>
        <w:rPr>
          <w:rFonts w:hint="eastAsia" w:ascii="黑体"/>
          <w:b w:val="0"/>
          <w:sz w:val="24"/>
          <w:lang w:val="en-US" w:eastAsia="zh-CN"/>
        </w:rPr>
        <w:t xml:space="preserve"> </w:t>
      </w:r>
    </w:p>
    <w:p>
      <w:r>
        <w:rPr>
          <w:rFonts w:hint="eastAsia"/>
        </w:rPr>
        <w:t>请按照招标文件要求提供相关证明文件。</w:t>
      </w:r>
    </w:p>
    <w:p>
      <w:pPr>
        <w:pStyle w:val="2"/>
      </w:pPr>
    </w:p>
    <w:p>
      <w:pPr>
        <w:pStyle w:val="2"/>
      </w:pPr>
    </w:p>
    <w:p>
      <w:pPr>
        <w:pStyle w:val="4"/>
        <w:jc w:val="center"/>
        <w:rPr>
          <w:rFonts w:hint="eastAsia" w:ascii="黑体" w:eastAsia="黑体"/>
          <w:szCs w:val="28"/>
        </w:rPr>
      </w:pPr>
      <w:r>
        <w:rPr>
          <w:rFonts w:hint="eastAsia" w:ascii="黑体" w:eastAsia="黑体"/>
          <w:szCs w:val="28"/>
        </w:rPr>
        <w:t>四、招标</w:t>
      </w:r>
      <w:r>
        <w:rPr>
          <w:rFonts w:ascii="黑体" w:eastAsia="黑体"/>
          <w:szCs w:val="28"/>
        </w:rPr>
        <w:t>文件要求的其它内容及投标</w:t>
      </w:r>
      <w:r>
        <w:rPr>
          <w:rFonts w:hint="eastAsia" w:ascii="黑体" w:eastAsia="黑体"/>
          <w:szCs w:val="28"/>
        </w:rPr>
        <w:t>供应商</w:t>
      </w:r>
      <w:r>
        <w:rPr>
          <w:rFonts w:ascii="黑体" w:eastAsia="黑体"/>
          <w:szCs w:val="28"/>
        </w:rPr>
        <w:t>认为需要补充的内容</w:t>
      </w:r>
    </w:p>
    <w:p>
      <w:pPr>
        <w:rPr>
          <w:color w:val="000000"/>
        </w:rPr>
      </w:pPr>
    </w:p>
    <w:p>
      <w:pPr>
        <w:widowControl/>
        <w:jc w:val="center"/>
        <w:rPr>
          <w:rFonts w:hint="eastAsia"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pPr>
        <w:spacing w:after="120" w:afterLines="50" w:line="360" w:lineRule="exact"/>
        <w:ind w:firstLine="482" w:firstLineChars="200"/>
        <w:rPr>
          <w:rFonts w:ascii="Calibri" w:hAnsi="Calibri"/>
          <w:b/>
          <w:bCs/>
          <w:sz w:val="24"/>
        </w:rPr>
      </w:pPr>
      <w:r>
        <w:rPr>
          <w:rFonts w:hint="eastAsia" w:ascii="Calibri" w:hAnsi="Calibri"/>
          <w:b/>
          <w:bCs/>
          <w:sz w:val="24"/>
        </w:rPr>
        <w:t>我单位在投标前已充分知悉以下情形为参与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8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711" w:type="dxa"/>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7811" w:type="dxa"/>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7811" w:type="dxa"/>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与其他投标供应商的法定代表人、主要经营负责人、投标授权代表人、项目负责人、主要技术人员为同一人、属同一单位或者在同一单位缴纳社会保险。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11" w:type="dxa"/>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7811" w:type="dxa"/>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参与本项目采购活动时，与其他投标供应商存在单位负责人为同一人或直接控股、管理关系。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7811" w:type="dxa"/>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与其他投标供应商的投标文件或部分投标文件相互混装或存在非正常一致。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7811" w:type="dxa"/>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与其他投标供应商的投标文件由同一单位或者同一人编制，或者使用同一设备编制（“文件制作机器码”“文件创建标识码”一致）。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11" w:type="dxa"/>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7811" w:type="dxa"/>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提供未经出具机构核实的虚假的检验检测报告、业绩材料、社保缴纳证明、学历学位证书、职称认证证书等材料。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7811" w:type="dxa"/>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擅自将投标密钥或电子营业执照出借他人使用或未妥善保管。</w:t>
            </w:r>
          </w:p>
        </w:tc>
      </w:tr>
    </w:tbl>
    <w:p>
      <w:pPr>
        <w:spacing w:before="120" w:beforeLines="50" w:line="380" w:lineRule="exact"/>
        <w:ind w:firstLine="422" w:firstLineChars="200"/>
        <w:rPr>
          <w:rFonts w:ascii="Calibri" w:hAnsi="Calibri"/>
          <w:b/>
        </w:rPr>
      </w:pPr>
      <w:r>
        <w:rPr>
          <w:rFonts w:hint="eastAsia" w:ascii="Calibri" w:hAnsi="Calibri"/>
          <w:b/>
        </w:rPr>
        <w:t>一、我单位已充分知悉“隐瞒真实情况，提供虚假资料”的法定情形，包括但不限于：</w:t>
      </w:r>
    </w:p>
    <w:p>
      <w:pPr>
        <w:spacing w:line="380" w:lineRule="exact"/>
        <w:ind w:firstLine="420" w:firstLineChars="200"/>
        <w:rPr>
          <w:rFonts w:ascii="Calibri" w:hAnsi="Calibri"/>
        </w:rPr>
      </w:pPr>
      <w:r>
        <w:rPr>
          <w:rFonts w:hint="eastAsia" w:ascii="Calibri" w:hAnsi="Calibri"/>
        </w:rPr>
        <w:t>（一）通过转让或者租借等方式从其他单位获取资格或者资质证书投标的。</w:t>
      </w:r>
    </w:p>
    <w:p>
      <w:pPr>
        <w:spacing w:line="380" w:lineRule="exact"/>
        <w:ind w:firstLine="420" w:firstLineChars="200"/>
        <w:rPr>
          <w:rFonts w:ascii="Calibri" w:hAnsi="Calibri"/>
        </w:rPr>
      </w:pPr>
      <w:r>
        <w:rPr>
          <w:rFonts w:hint="eastAsia" w:ascii="Calibri" w:hAnsi="Calibri"/>
        </w:rPr>
        <w:t>（二）由其他单位或者其他单位负责人在投标供应商编制的投标文件上加盖印章或者签字的。</w:t>
      </w:r>
    </w:p>
    <w:p>
      <w:pPr>
        <w:spacing w:line="380" w:lineRule="exact"/>
        <w:ind w:firstLine="420" w:firstLineChars="200"/>
        <w:rPr>
          <w:rFonts w:ascii="Calibri" w:hAnsi="Calibri"/>
        </w:rPr>
      </w:pPr>
      <w:r>
        <w:rPr>
          <w:rFonts w:hint="eastAsia" w:ascii="Calibri" w:hAnsi="Calibri"/>
        </w:rPr>
        <w:t>（三）项目负责人或者主要技术人员不是本单位人员的。</w:t>
      </w:r>
    </w:p>
    <w:p>
      <w:pPr>
        <w:spacing w:line="380" w:lineRule="exact"/>
        <w:ind w:firstLine="420" w:firstLineChars="200"/>
        <w:rPr>
          <w:rFonts w:ascii="Calibri" w:hAnsi="Calibri"/>
        </w:rPr>
      </w:pPr>
      <w:r>
        <w:rPr>
          <w:rFonts w:hint="eastAsia" w:ascii="Calibri" w:hAnsi="Calibri"/>
        </w:rPr>
        <w:t>（四）投标保证金不是从投标供应商基本账户转出的。</w:t>
      </w:r>
    </w:p>
    <w:p>
      <w:pPr>
        <w:spacing w:line="380" w:lineRule="exact"/>
        <w:ind w:firstLine="420" w:firstLineChars="200"/>
        <w:rPr>
          <w:rFonts w:ascii="Calibri" w:hAnsi="Calibri"/>
        </w:rPr>
      </w:pPr>
      <w:r>
        <w:rPr>
          <w:rFonts w:hint="eastAsia" w:ascii="Calibri" w:hAnsi="Calibri"/>
        </w:rPr>
        <w:t>（五）其他隐瞒真实情况、提供虚假资料的行为。</w:t>
      </w:r>
    </w:p>
    <w:p>
      <w:pPr>
        <w:spacing w:line="380" w:lineRule="exact"/>
        <w:ind w:firstLine="422" w:firstLineChars="200"/>
        <w:rPr>
          <w:rFonts w:ascii="Calibri" w:hAnsi="Calibri"/>
          <w:b/>
        </w:rPr>
      </w:pPr>
      <w:r>
        <w:rPr>
          <w:rFonts w:hint="eastAsia" w:ascii="Calibri" w:hAnsi="Calibri"/>
          <w:b/>
        </w:rPr>
        <w:t>二、我单位已充分知悉“与其他采购参加人串通投标”的法定情形，包括但不限于：</w:t>
      </w:r>
    </w:p>
    <w:p>
      <w:pPr>
        <w:spacing w:line="380" w:lineRule="exact"/>
        <w:ind w:firstLine="420" w:firstLineChars="200"/>
        <w:rPr>
          <w:rFonts w:ascii="Calibri" w:hAnsi="Calibri"/>
        </w:rPr>
      </w:pPr>
      <w:r>
        <w:rPr>
          <w:rFonts w:hint="eastAsia" w:ascii="Calibri" w:hAnsi="Calibri"/>
        </w:rPr>
        <w:t>（一）投标供应商之间相互约定给予未中标的供应商利益补偿。</w:t>
      </w:r>
    </w:p>
    <w:p>
      <w:pPr>
        <w:spacing w:line="380" w:lineRule="exact"/>
        <w:ind w:firstLine="420" w:firstLineChars="200"/>
        <w:rPr>
          <w:rFonts w:ascii="Calibri" w:hAnsi="Calibri"/>
        </w:rPr>
      </w:pPr>
      <w:r>
        <w:rPr>
          <w:rFonts w:hint="eastAsia" w:ascii="Calibri" w:hAnsi="Calibri"/>
        </w:rPr>
        <w:t>（二）不同投标供应商的法定代表人、主要经营负责人、项目投标授权代表人、项目负责人、主要技术人员为同一人、属同一单位或者在同一单位缴纳社会保险。</w:t>
      </w:r>
    </w:p>
    <w:p>
      <w:pPr>
        <w:spacing w:line="340" w:lineRule="exact"/>
        <w:ind w:firstLine="420" w:firstLineChars="200"/>
        <w:rPr>
          <w:rFonts w:ascii="Calibri" w:hAnsi="Calibri"/>
        </w:rPr>
      </w:pPr>
      <w:r>
        <w:rPr>
          <w:rFonts w:hint="eastAsia" w:ascii="Calibri" w:hAnsi="Calibri"/>
        </w:rPr>
        <w:t>（三）不同投标供应商的投标文件由同一单位或者同一人编制，或者由同一人分阶段参与编制的。</w:t>
      </w:r>
    </w:p>
    <w:p>
      <w:pPr>
        <w:spacing w:line="340" w:lineRule="exact"/>
        <w:ind w:firstLine="420" w:firstLineChars="200"/>
        <w:rPr>
          <w:rFonts w:ascii="Calibri" w:hAnsi="Calibri"/>
        </w:rPr>
      </w:pPr>
      <w:r>
        <w:rPr>
          <w:rFonts w:hint="eastAsia" w:ascii="Calibri" w:hAnsi="Calibri"/>
        </w:rPr>
        <w:t>（四）不同投标供应商的投标文件或部分投标文件相互混装。</w:t>
      </w:r>
    </w:p>
    <w:p>
      <w:pPr>
        <w:spacing w:line="340" w:lineRule="exact"/>
        <w:ind w:firstLine="420" w:firstLineChars="200"/>
        <w:rPr>
          <w:rFonts w:ascii="Calibri" w:hAnsi="Calibri"/>
        </w:rPr>
      </w:pPr>
      <w:r>
        <w:rPr>
          <w:rFonts w:hint="eastAsia" w:ascii="Calibri" w:hAnsi="Calibri"/>
        </w:rPr>
        <w:t>（五）不同投标供应商的投标文件内容存在非正常一致。</w:t>
      </w:r>
    </w:p>
    <w:p>
      <w:pPr>
        <w:spacing w:line="340" w:lineRule="exact"/>
        <w:ind w:firstLine="420" w:firstLineChars="200"/>
        <w:rPr>
          <w:rFonts w:ascii="Calibri" w:hAnsi="Calibri"/>
        </w:rPr>
      </w:pPr>
      <w:r>
        <w:rPr>
          <w:rFonts w:hint="eastAsia" w:ascii="Calibri" w:hAnsi="Calibri"/>
        </w:rPr>
        <w:t>（六）由同一单位工作人员为两家以上（含两家）供应商进行同一项投标活动的。</w:t>
      </w:r>
    </w:p>
    <w:p>
      <w:pPr>
        <w:spacing w:line="340" w:lineRule="exact"/>
        <w:ind w:firstLine="420" w:firstLineChars="200"/>
        <w:rPr>
          <w:rFonts w:ascii="Calibri" w:hAnsi="Calibri"/>
        </w:rPr>
      </w:pPr>
      <w:r>
        <w:rPr>
          <w:rFonts w:hint="eastAsia" w:ascii="Calibri" w:hAnsi="Calibri"/>
        </w:rPr>
        <w:t>（七）不同投标人的投标报价呈规律性差异。</w:t>
      </w:r>
    </w:p>
    <w:p>
      <w:pPr>
        <w:spacing w:line="340" w:lineRule="exact"/>
        <w:ind w:firstLine="420" w:firstLineChars="200"/>
        <w:rPr>
          <w:rFonts w:ascii="Calibri" w:hAnsi="Calibri"/>
        </w:rPr>
      </w:pPr>
      <w:r>
        <w:rPr>
          <w:rFonts w:hint="eastAsia" w:ascii="Calibri" w:hAnsi="Calibri"/>
        </w:rPr>
        <w:t>（八）不同投标人的投标保证金从同一单位或者个人的账户转出。</w:t>
      </w:r>
    </w:p>
    <w:p>
      <w:pPr>
        <w:spacing w:line="340" w:lineRule="exact"/>
        <w:ind w:firstLine="420" w:firstLineChars="200"/>
        <w:rPr>
          <w:rFonts w:ascii="Calibri" w:hAnsi="Calibri"/>
        </w:rPr>
      </w:pPr>
      <w:r>
        <w:rPr>
          <w:rFonts w:hint="eastAsia" w:ascii="Calibri" w:hAnsi="Calibri"/>
        </w:rPr>
        <w:t>（九）主管部门依照法律、法规认定的其他情形。</w:t>
      </w:r>
    </w:p>
    <w:p>
      <w:pPr>
        <w:spacing w:line="340" w:lineRule="exact"/>
        <w:ind w:firstLine="422" w:firstLineChars="200"/>
        <w:rPr>
          <w:rFonts w:ascii="Calibri" w:hAnsi="Calibri"/>
          <w:b/>
        </w:rPr>
      </w:pPr>
      <w:r>
        <w:rPr>
          <w:rFonts w:hint="eastAsia" w:ascii="Calibri" w:hAnsi="Calibri"/>
          <w:b/>
        </w:rPr>
        <w:t>三、我单位已充分知悉下列情形存在法律风险，在投标前已对相关风险事项进行排查。</w:t>
      </w:r>
    </w:p>
    <w:p>
      <w:pPr>
        <w:spacing w:line="340" w:lineRule="exact"/>
        <w:ind w:firstLine="420" w:firstLineChars="200"/>
        <w:rPr>
          <w:rFonts w:ascii="Calibri" w:hAnsi="Calibri"/>
          <w:b/>
        </w:rPr>
      </w:pPr>
      <w:r>
        <w:rPr>
          <w:rFonts w:hint="eastAsia" w:ascii="Calibri" w:hAnsi="Calibri"/>
        </w:rPr>
        <w:t>（一）对于从其他主体获取的投标资料，我单位应审慎核查，确保其真实性。</w:t>
      </w:r>
      <w:r>
        <w:rPr>
          <w:rFonts w:hint="eastAsia" w:ascii="Calibri" w:hAnsi="Calibri"/>
          <w:b/>
        </w:rPr>
        <w:t>如主管部门查实投标文件中存在虚假资料的，无论相关资料是否由第三方或本公司员工提供，均不影响主管部门对供应商存在“隐瞒真实情况，提供虚假资料”违法行为的认定。</w:t>
      </w:r>
    </w:p>
    <w:p>
      <w:pPr>
        <w:spacing w:line="340" w:lineRule="exact"/>
        <w:ind w:firstLine="420" w:firstLineChars="200"/>
        <w:rPr>
          <w:rFonts w:ascii="Calibri" w:hAnsi="Calibri"/>
        </w:rPr>
      </w:pPr>
      <w:r>
        <w:rPr>
          <w:rFonts w:hint="eastAsia" w:ascii="Calibri" w:hAnsi="Calibri"/>
        </w:rPr>
        <w:t>（二）对于涉及国家机关出具的公文、证件、证明材料等文件，一旦涉嫌虚假，经查实，主管部门将依法从严处理，并移送有关部门追究法律责任；涉嫌犯罪的，移送司法机关处理。</w:t>
      </w:r>
    </w:p>
    <w:p>
      <w:pPr>
        <w:spacing w:line="340" w:lineRule="exact"/>
        <w:ind w:firstLine="420" w:firstLineChars="200"/>
        <w:rPr>
          <w:rFonts w:ascii="Calibri" w:hAnsi="Calibri"/>
        </w:rPr>
      </w:pPr>
      <w:r>
        <w:rPr>
          <w:rFonts w:hint="eastAsia" w:ascii="Calibri" w:hAnsi="Calibri"/>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Calibri" w:hAnsi="Calibri"/>
          <w:b/>
          <w:bCs/>
        </w:rPr>
        <w:t>擅自将投标密钥或电子营业执照出借他人使用所造成的法律后果，由我单位自行承担</w:t>
      </w:r>
      <w:r>
        <w:rPr>
          <w:rFonts w:hint="eastAsia" w:ascii="Calibri" w:hAnsi="Calibri"/>
        </w:rPr>
        <w:t>。</w:t>
      </w:r>
    </w:p>
    <w:p>
      <w:pPr>
        <w:spacing w:line="340" w:lineRule="exact"/>
        <w:ind w:firstLine="422" w:firstLineChars="200"/>
        <w:rPr>
          <w:rFonts w:ascii="Calibri" w:hAnsi="Calibri"/>
          <w:b/>
        </w:rPr>
      </w:pPr>
      <w:r>
        <w:rPr>
          <w:rFonts w:hint="eastAsia" w:ascii="Calibri" w:hAnsi="Calibri"/>
          <w:b/>
        </w:rPr>
        <w:t>四、我单位已充分知悉政府采购违法、违规行为的法律后果。</w:t>
      </w:r>
    </w:p>
    <w:p>
      <w:pPr>
        <w:spacing w:line="340" w:lineRule="exact"/>
        <w:ind w:firstLine="420" w:firstLineChars="200"/>
        <w:rPr>
          <w:rFonts w:ascii="Calibri" w:hAnsi="Calibri"/>
        </w:rPr>
      </w:pPr>
      <w:r>
        <w:rPr>
          <w:rFonts w:hint="eastAsia" w:ascii="Calibri" w:hAnsi="Calibri"/>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line="340" w:lineRule="exact"/>
        <w:ind w:firstLine="420" w:firstLineChars="200"/>
        <w:rPr>
          <w:rFonts w:ascii="Calibri" w:hAnsi="Calibri"/>
        </w:rPr>
      </w:pPr>
      <w:r>
        <w:rPr>
          <w:rFonts w:hint="eastAsia" w:ascii="Calibri" w:hAnsi="Calibri"/>
        </w:rPr>
        <w:t>以下文字请投标供应商抄写并确认：“我单位已仔细阅读《政府采购违法行为风险知悉确认书》，充分知悉违法行为的法律后果，并承诺将严谨、诚信、依法依规参与政府采购活动”。</w:t>
      </w:r>
    </w:p>
    <w:tbl>
      <w:tblPr>
        <w:tblStyle w:val="8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340" w:lineRule="exact"/>
              <w:ind w:firstLine="1866"/>
              <w:rPr>
                <w:rFonts w:hint="eastAsia" w:ascii="宋体" w:hAnsi="宋体"/>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340" w:lineRule="exact"/>
              <w:ind w:firstLine="1866"/>
              <w:rPr>
                <w:rFonts w:hint="eastAsia" w:ascii="宋体" w:hAnsi="宋体"/>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340" w:lineRule="exact"/>
              <w:ind w:firstLine="1866"/>
              <w:rPr>
                <w:rFonts w:hint="eastAsia" w:ascii="宋体" w:hAnsi="宋体"/>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340" w:lineRule="exact"/>
              <w:ind w:firstLine="1866"/>
              <w:rPr>
                <w:rFonts w:hint="eastAsia" w:ascii="宋体" w:hAnsi="宋体"/>
                <w:spacing w:val="-4"/>
                <w:kern w:val="0"/>
                <w:szCs w:val="21"/>
              </w:rPr>
            </w:pPr>
          </w:p>
        </w:tc>
      </w:tr>
    </w:tbl>
    <w:p>
      <w:pPr>
        <w:widowControl/>
        <w:wordWrap w:val="0"/>
        <w:autoSpaceDE w:val="0"/>
        <w:autoSpaceDN w:val="0"/>
        <w:spacing w:line="340" w:lineRule="exact"/>
        <w:ind w:right="808" w:firstLine="404" w:firstLineChars="200"/>
        <w:jc w:val="right"/>
        <w:rPr>
          <w:rFonts w:hint="eastAsia" w:ascii="宋体" w:hAnsi="宋体"/>
          <w:spacing w:val="-4"/>
          <w:kern w:val="0"/>
          <w:szCs w:val="21"/>
        </w:rPr>
      </w:pPr>
    </w:p>
    <w:p>
      <w:pPr>
        <w:widowControl/>
        <w:wordWrap w:val="0"/>
        <w:autoSpaceDE w:val="0"/>
        <w:autoSpaceDN w:val="0"/>
        <w:spacing w:line="340" w:lineRule="exact"/>
        <w:ind w:right="808" w:firstLine="404" w:firstLineChars="200"/>
        <w:jc w:val="right"/>
        <w:rPr>
          <w:rFonts w:hint="eastAsia" w:ascii="宋体" w:hAnsi="宋体"/>
          <w:spacing w:val="-4"/>
          <w:kern w:val="0"/>
          <w:szCs w:val="21"/>
          <w:u w:val="single"/>
        </w:rPr>
      </w:pPr>
      <w:r>
        <w:rPr>
          <w:rFonts w:hint="eastAsia" w:ascii="宋体" w:hAnsi="宋体"/>
          <w:spacing w:val="-4"/>
          <w:kern w:val="0"/>
          <w:szCs w:val="21"/>
          <w:highlight w:val="yellow"/>
        </w:rPr>
        <w:t>单位负责人签名：</w:t>
      </w:r>
      <w:r>
        <w:rPr>
          <w:rFonts w:hint="eastAsia" w:ascii="宋体" w:hAnsi="宋体"/>
          <w:spacing w:val="-4"/>
          <w:kern w:val="0"/>
          <w:szCs w:val="21"/>
          <w:u w:val="single"/>
        </w:rPr>
        <w:t xml:space="preserve">              </w:t>
      </w:r>
    </w:p>
    <w:p>
      <w:pPr>
        <w:widowControl/>
        <w:wordWrap w:val="0"/>
        <w:autoSpaceDE w:val="0"/>
        <w:autoSpaceDN w:val="0"/>
        <w:spacing w:line="340" w:lineRule="exact"/>
        <w:ind w:right="808" w:firstLine="404" w:firstLineChars="200"/>
        <w:jc w:val="center"/>
        <w:rPr>
          <w:rFonts w:hint="eastAsia" w:ascii="宋体" w:hAnsi="宋体"/>
          <w:spacing w:val="-4"/>
          <w:kern w:val="0"/>
          <w:szCs w:val="21"/>
          <w:u w:val="single"/>
        </w:rPr>
      </w:pPr>
      <w:r>
        <w:rPr>
          <w:rFonts w:hint="eastAsia" w:ascii="宋体" w:hAnsi="宋体"/>
          <w:spacing w:val="-4"/>
          <w:kern w:val="0"/>
          <w:szCs w:val="21"/>
        </w:rPr>
        <w:t xml:space="preserve">                                 </w:t>
      </w:r>
      <w:r>
        <w:rPr>
          <w:rFonts w:hint="eastAsia" w:ascii="宋体" w:hAnsi="宋体"/>
          <w:spacing w:val="-4"/>
          <w:kern w:val="0"/>
          <w:szCs w:val="21"/>
          <w:highlight w:val="yellow"/>
        </w:rPr>
        <w:t>（加盖公章）</w:t>
      </w:r>
    </w:p>
    <w:p>
      <w:pPr>
        <w:widowControl/>
        <w:wordWrap w:val="0"/>
        <w:autoSpaceDE w:val="0"/>
        <w:autoSpaceDN w:val="0"/>
        <w:spacing w:line="340" w:lineRule="exact"/>
        <w:ind w:right="808" w:firstLine="404" w:firstLineChars="200"/>
        <w:jc w:val="right"/>
        <w:rPr>
          <w:rFonts w:hint="eastAsia" w:ascii="宋体" w:hAnsi="宋体"/>
          <w:spacing w:val="-4"/>
          <w:kern w:val="0"/>
          <w:szCs w:val="21"/>
          <w:u w:val="single"/>
        </w:rPr>
      </w:pPr>
      <w:r>
        <w:rPr>
          <w:rFonts w:hint="eastAsia" w:ascii="宋体" w:hAnsi="宋体"/>
          <w:spacing w:val="-4"/>
          <w:kern w:val="0"/>
          <w:szCs w:val="21"/>
        </w:rPr>
        <w:t xml:space="preserve">     日期：</w:t>
      </w:r>
      <w:r>
        <w:rPr>
          <w:rFonts w:hint="eastAsia" w:ascii="宋体" w:hAnsi="宋体"/>
          <w:spacing w:val="-4"/>
          <w:kern w:val="0"/>
          <w:szCs w:val="21"/>
          <w:u w:val="single"/>
        </w:rPr>
        <w:t xml:space="preserve">              </w:t>
      </w:r>
    </w:p>
    <w:p>
      <w:pPr>
        <w:widowControl/>
        <w:autoSpaceDE w:val="0"/>
        <w:autoSpaceDN w:val="0"/>
        <w:spacing w:line="340" w:lineRule="exact"/>
        <w:ind w:firstLine="406" w:firstLineChars="200"/>
        <w:jc w:val="left"/>
        <w:rPr>
          <w:rFonts w:hint="eastAsia" w:ascii="宋体" w:hAnsi="宋体"/>
          <w:b/>
          <w:bCs/>
          <w:spacing w:val="-4"/>
          <w:kern w:val="0"/>
          <w:szCs w:val="21"/>
        </w:rPr>
      </w:pPr>
    </w:p>
    <w:p>
      <w:pPr>
        <w:widowControl/>
        <w:autoSpaceDE w:val="0"/>
        <w:autoSpaceDN w:val="0"/>
        <w:spacing w:line="400" w:lineRule="exact"/>
        <w:ind w:firstLine="406" w:firstLineChars="200"/>
        <w:jc w:val="left"/>
        <w:rPr>
          <w:rFonts w:hint="eastAsia" w:ascii="宋体" w:hAnsi="宋体"/>
          <w:b/>
          <w:bCs/>
          <w:color w:val="FF0000"/>
          <w:spacing w:val="-4"/>
          <w:szCs w:val="21"/>
          <w:lang w:bidi="ar"/>
        </w:rPr>
      </w:pPr>
      <w:r>
        <w:rPr>
          <w:rFonts w:hint="eastAsia" w:ascii="宋体" w:hAnsi="宋体"/>
          <w:b/>
          <w:bCs/>
          <w:color w:val="FF0000"/>
          <w:spacing w:val="-4"/>
          <w:szCs w:val="21"/>
          <w:lang w:bidi="ar"/>
        </w:rPr>
        <w:t>注：</w:t>
      </w:r>
    </w:p>
    <w:p>
      <w:pPr>
        <w:widowControl/>
        <w:autoSpaceDE w:val="0"/>
        <w:autoSpaceDN w:val="0"/>
        <w:spacing w:line="400" w:lineRule="exact"/>
        <w:ind w:firstLine="406" w:firstLineChars="200"/>
        <w:jc w:val="left"/>
        <w:rPr>
          <w:rFonts w:hint="eastAsia" w:ascii="宋体" w:hAnsi="宋体"/>
          <w:b/>
          <w:bCs/>
          <w:color w:val="FF0000"/>
          <w:spacing w:val="-4"/>
          <w:szCs w:val="21"/>
          <w:lang w:bidi="ar"/>
        </w:rPr>
      </w:pPr>
      <w:r>
        <w:rPr>
          <w:rFonts w:hint="eastAsia" w:ascii="宋体" w:hAnsi="宋体"/>
          <w:b/>
          <w:bCs/>
          <w:color w:val="FF0000"/>
          <w:spacing w:val="-4"/>
          <w:szCs w:val="21"/>
          <w:lang w:bidi="ar"/>
        </w:rPr>
        <w:t>1.《政府采购违法行为风险知悉确认书》需由</w:t>
      </w:r>
      <w:r>
        <w:rPr>
          <w:rFonts w:hint="eastAsia" w:ascii="宋体" w:hAnsi="宋体"/>
          <w:b/>
          <w:bCs/>
          <w:color w:val="FF0000"/>
          <w:spacing w:val="-4"/>
          <w:szCs w:val="21"/>
          <w:highlight w:val="yellow"/>
          <w:lang w:bidi="ar"/>
        </w:rPr>
        <w:t>投标供应商负责人签字并加盖单位公章</w:t>
      </w:r>
      <w:r>
        <w:rPr>
          <w:rFonts w:hint="eastAsia" w:ascii="宋体" w:hAnsi="宋体"/>
          <w:b/>
          <w:bCs/>
          <w:color w:val="FF0000"/>
          <w:spacing w:val="-4"/>
          <w:szCs w:val="21"/>
          <w:lang w:bidi="ar"/>
        </w:rPr>
        <w:t>后，扫描上传至投标文件一并提交。</w:t>
      </w:r>
    </w:p>
    <w:p>
      <w:pPr>
        <w:widowControl/>
        <w:autoSpaceDE w:val="0"/>
        <w:autoSpaceDN w:val="0"/>
        <w:spacing w:line="400" w:lineRule="exact"/>
        <w:ind w:firstLine="406" w:firstLineChars="200"/>
        <w:jc w:val="left"/>
        <w:rPr>
          <w:rFonts w:hint="eastAsia" w:ascii="宋体" w:hAnsi="宋体"/>
          <w:b/>
          <w:bCs/>
          <w:color w:val="FF0000"/>
          <w:spacing w:val="-4"/>
          <w:szCs w:val="21"/>
          <w:lang w:bidi="ar"/>
        </w:rPr>
      </w:pPr>
      <w:r>
        <w:rPr>
          <w:rFonts w:hint="eastAsia" w:ascii="宋体" w:hAnsi="宋体"/>
          <w:b/>
          <w:bCs/>
          <w:color w:val="FF0000"/>
          <w:spacing w:val="-4"/>
          <w:szCs w:val="21"/>
          <w:lang w:bidi="ar"/>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pPr>
        <w:widowControl/>
        <w:wordWrap w:val="0"/>
        <w:autoSpaceDE w:val="0"/>
        <w:autoSpaceDN w:val="0"/>
        <w:spacing w:line="400" w:lineRule="exact"/>
        <w:ind w:right="1414" w:firstLine="404" w:firstLineChars="200"/>
        <w:jc w:val="right"/>
        <w:rPr>
          <w:rFonts w:eastAsiaTheme="minorEastAsia"/>
          <w:kern w:val="0"/>
          <w:sz w:val="24"/>
        </w:rPr>
      </w:pPr>
      <w:r>
        <w:rPr>
          <w:rFonts w:hint="eastAsia" w:ascii="宋体" w:hAnsi="宋体" w:eastAsiaTheme="minorEastAsia"/>
          <w:spacing w:val="-4"/>
          <w:kern w:val="0"/>
          <w:szCs w:val="21"/>
        </w:rPr>
        <w:t xml:space="preserve">     </w:t>
      </w:r>
    </w:p>
    <w:p>
      <w:pPr>
        <w:pStyle w:val="32"/>
      </w:pPr>
    </w:p>
    <w:p>
      <w:pPr>
        <w:pStyle w:val="32"/>
      </w:pPr>
    </w:p>
    <w:p>
      <w:pPr>
        <w:widowControl/>
        <w:jc w:val="center"/>
        <w:rPr>
          <w:rFonts w:hint="eastAsia" w:ascii="黑体" w:hAnsi="宋体" w:eastAsia="黑体"/>
          <w:kern w:val="0"/>
          <w:sz w:val="24"/>
          <w:szCs w:val="20"/>
        </w:rPr>
      </w:pPr>
      <w:r>
        <w:rPr>
          <w:rFonts w:hint="eastAsia" w:ascii="黑体" w:hAnsi="宋体" w:eastAsia="黑体"/>
          <w:kern w:val="0"/>
          <w:sz w:val="24"/>
          <w:szCs w:val="20"/>
        </w:rPr>
        <w:t>（二）投标供应商认为需要加以说明的其他内容（格式自定）</w:t>
      </w:r>
    </w:p>
    <w:p>
      <w:pPr>
        <w:pStyle w:val="32"/>
      </w:pPr>
    </w:p>
    <w:p>
      <w:pPr>
        <w:pStyle w:val="32"/>
        <w:ind w:left="0" w:leftChars="0" w:firstLine="0" w:firstLineChars="0"/>
      </w:pPr>
    </w:p>
    <w:p/>
    <w:p>
      <w:pPr>
        <w:widowControl/>
        <w:jc w:val="left"/>
      </w:pPr>
      <w:r>
        <w:br w:type="page"/>
      </w:r>
    </w:p>
    <w:p>
      <w:pPr>
        <w:pStyle w:val="6"/>
        <w:rPr>
          <w:rFonts w:hint="eastAsia"/>
          <w:kern w:val="2"/>
        </w:rPr>
      </w:pPr>
      <w:bookmarkStart w:id="28" w:name="_Toc194467284"/>
      <w:r>
        <w:rPr>
          <w:rFonts w:hint="eastAsia"/>
          <w:kern w:val="2"/>
        </w:rPr>
        <w:t>第二章</w:t>
      </w:r>
      <w:r>
        <w:rPr>
          <w:kern w:val="2"/>
        </w:rPr>
        <w:t xml:space="preserve"> </w:t>
      </w:r>
      <w:r>
        <w:rPr>
          <w:rFonts w:hint="eastAsia"/>
          <w:kern w:val="2"/>
        </w:rPr>
        <w:t xml:space="preserve"> 合同格式（详询采购单位）</w:t>
      </w:r>
      <w:bookmarkEnd w:id="28"/>
      <w:r>
        <w:rPr>
          <w:kern w:val="2"/>
        </w:rPr>
        <w:t xml:space="preserve"> </w:t>
      </w:r>
    </w:p>
    <w:p>
      <w:pPr>
        <w:widowControl/>
        <w:jc w:val="left"/>
      </w:pPr>
      <w:r>
        <w:br w:type="page"/>
      </w:r>
    </w:p>
    <w:p>
      <w:pPr>
        <w:pStyle w:val="3"/>
        <w:rPr>
          <w:rFonts w:hint="eastAsia"/>
        </w:rPr>
      </w:pPr>
      <w:bookmarkStart w:id="29" w:name="bt招标文件"/>
      <w:bookmarkEnd w:id="29"/>
      <w:bookmarkStart w:id="30" w:name="bt投标须知前附表"/>
      <w:bookmarkEnd w:id="30"/>
      <w:bookmarkStart w:id="31" w:name="bt投标须知"/>
      <w:bookmarkEnd w:id="31"/>
      <w:bookmarkStart w:id="32" w:name="bt授予合同"/>
      <w:bookmarkEnd w:id="32"/>
      <w:bookmarkStart w:id="33" w:name="bt图纸"/>
      <w:bookmarkEnd w:id="33"/>
      <w:bookmarkStart w:id="34" w:name="bt开标与评标"/>
      <w:bookmarkEnd w:id="34"/>
      <w:bookmarkStart w:id="35" w:name="bt投标文件的编制"/>
      <w:bookmarkEnd w:id="35"/>
      <w:bookmarkStart w:id="36" w:name="bt总则"/>
      <w:bookmarkEnd w:id="36"/>
      <w:bookmarkStart w:id="37" w:name="OLE_LINK26"/>
      <w:bookmarkStart w:id="38" w:name="_Toc73518118"/>
      <w:bookmarkStart w:id="39" w:name="_Toc194467300"/>
      <w:bookmarkStart w:id="40" w:name="_Toc73521548"/>
      <w:bookmarkStart w:id="41" w:name="_Toc100052365"/>
      <w:bookmarkStart w:id="42" w:name="_Toc73517640"/>
      <w:bookmarkStart w:id="43" w:name="_Toc101074877"/>
      <w:bookmarkStart w:id="44" w:name="_Toc73521636"/>
      <w:r>
        <w:rPr>
          <w:rFonts w:hint="eastAsia"/>
        </w:rPr>
        <w:t>第三册  投标供应商须知</w:t>
      </w:r>
    </w:p>
    <w:bookmarkEnd w:id="37"/>
    <w:p>
      <w:pPr>
        <w:pStyle w:val="6"/>
        <w:rPr>
          <w:rFonts w:hint="eastAsia"/>
        </w:rPr>
      </w:pPr>
      <w:r>
        <w:rPr>
          <w:rFonts w:hint="eastAsia"/>
        </w:rPr>
        <w:t>第一章 总则</w:t>
      </w:r>
      <w:bookmarkEnd w:id="38"/>
      <w:bookmarkEnd w:id="39"/>
      <w:bookmarkEnd w:id="40"/>
      <w:bookmarkEnd w:id="41"/>
      <w:bookmarkEnd w:id="42"/>
      <w:bookmarkEnd w:id="43"/>
      <w:bookmarkEnd w:id="44"/>
    </w:p>
    <w:p>
      <w:pPr>
        <w:spacing w:line="360" w:lineRule="auto"/>
        <w:rPr>
          <w:rFonts w:hint="eastAsia" w:ascii="黑体" w:hAnsi="宋体" w:eastAsia="黑体"/>
          <w:sz w:val="24"/>
        </w:rPr>
      </w:pPr>
      <w:bookmarkStart w:id="45" w:name="_Toc60560627"/>
      <w:bookmarkStart w:id="46" w:name="_Toc100052366"/>
      <w:bookmarkStart w:id="47" w:name="_Toc73518119"/>
      <w:bookmarkStart w:id="48" w:name="_Toc73521549"/>
      <w:bookmarkStart w:id="49" w:name="_Toc73521637"/>
      <w:bookmarkStart w:id="50" w:name="_Toc60631622"/>
      <w:bookmarkStart w:id="51" w:name="_Toc73517641"/>
      <w:r>
        <w:rPr>
          <w:rFonts w:ascii="黑体" w:hAnsi="宋体" w:eastAsia="黑体"/>
          <w:sz w:val="24"/>
        </w:rPr>
        <w:t>1．</w:t>
      </w:r>
      <w:r>
        <w:rPr>
          <w:rFonts w:hint="eastAsia" w:ascii="黑体" w:hAnsi="宋体" w:eastAsia="黑体"/>
          <w:sz w:val="24"/>
        </w:rPr>
        <w:t>招标说明</w:t>
      </w:r>
      <w:bookmarkEnd w:id="45"/>
      <w:bookmarkEnd w:id="46"/>
      <w:bookmarkEnd w:id="47"/>
      <w:bookmarkEnd w:id="48"/>
      <w:bookmarkEnd w:id="49"/>
      <w:bookmarkEnd w:id="50"/>
      <w:bookmarkEnd w:id="51"/>
    </w:p>
    <w:p>
      <w:pPr>
        <w:ind w:firstLine="411" w:firstLineChars="196"/>
        <w:rPr>
          <w:rFonts w:hint="eastAsia" w:ascii="宋体" w:hAnsi="宋体"/>
          <w:szCs w:val="21"/>
        </w:rPr>
      </w:pPr>
      <w:r>
        <w:rPr>
          <w:rFonts w:hint="eastAsia" w:ascii="宋体" w:hAnsi="宋体"/>
          <w:szCs w:val="21"/>
        </w:rPr>
        <w:t>本项目参照《深圳经济特区政府采购条例》及其实施细则等有关文件的规定，通过</w:t>
      </w:r>
      <w:r>
        <w:rPr>
          <w:rStyle w:val="39"/>
          <w:rFonts w:hint="eastAsia"/>
        </w:rPr>
        <w:t>评审定标</w:t>
      </w:r>
      <w:r>
        <w:rPr>
          <w:rFonts w:hint="eastAsia"/>
          <w:szCs w:val="21"/>
        </w:rPr>
        <w:t>方式确定成交供应商</w:t>
      </w:r>
      <w:r>
        <w:rPr>
          <w:rStyle w:val="39"/>
          <w:rFonts w:hint="eastAsia"/>
        </w:rPr>
        <w:t>。</w:t>
      </w:r>
    </w:p>
    <w:p>
      <w:pPr>
        <w:spacing w:line="360" w:lineRule="auto"/>
        <w:rPr>
          <w:rFonts w:hint="eastAsia" w:ascii="黑体" w:hAnsi="宋体" w:eastAsia="黑体"/>
          <w:sz w:val="24"/>
        </w:rPr>
      </w:pPr>
      <w:bookmarkStart w:id="52" w:name="_Toc73521550"/>
      <w:bookmarkStart w:id="53" w:name="_Toc73517642"/>
      <w:bookmarkStart w:id="54" w:name="_Toc60631623"/>
      <w:bookmarkStart w:id="55" w:name="_Toc73518120"/>
      <w:bookmarkStart w:id="56" w:name="_Toc100052367"/>
      <w:bookmarkStart w:id="57" w:name="_Toc73521638"/>
      <w:bookmarkStart w:id="58" w:name="_Toc60560628"/>
      <w:r>
        <w:rPr>
          <w:rFonts w:ascii="黑体" w:hAnsi="宋体" w:eastAsia="黑体"/>
          <w:sz w:val="24"/>
        </w:rPr>
        <w:t>2</w:t>
      </w:r>
      <w:r>
        <w:rPr>
          <w:rFonts w:hint="eastAsia" w:ascii="黑体" w:hAnsi="宋体" w:eastAsia="黑体"/>
          <w:sz w:val="24"/>
        </w:rPr>
        <w:t>．定义</w:t>
      </w:r>
      <w:bookmarkEnd w:id="52"/>
      <w:bookmarkEnd w:id="53"/>
      <w:bookmarkEnd w:id="54"/>
      <w:bookmarkEnd w:id="55"/>
      <w:bookmarkEnd w:id="56"/>
      <w:bookmarkEnd w:id="57"/>
      <w:bookmarkEnd w:id="58"/>
    </w:p>
    <w:p>
      <w:pPr>
        <w:ind w:firstLine="420" w:firstLineChars="200"/>
        <w:rPr>
          <w:rFonts w:hint="eastAsia" w:ascii="宋体" w:hAnsi="宋体"/>
          <w:szCs w:val="21"/>
        </w:rPr>
      </w:pPr>
      <w:r>
        <w:rPr>
          <w:rFonts w:ascii="宋体" w:hAnsi="宋体"/>
          <w:szCs w:val="21"/>
        </w:rPr>
        <w:t>招标文件中下列术语应解释为：</w:t>
      </w:r>
    </w:p>
    <w:p>
      <w:pPr>
        <w:ind w:firstLine="411" w:firstLineChars="196"/>
        <w:rPr>
          <w:rFonts w:hint="eastAsia" w:ascii="宋体" w:hAnsi="宋体"/>
          <w:szCs w:val="21"/>
        </w:rPr>
      </w:pPr>
      <w:r>
        <w:rPr>
          <w:rFonts w:ascii="宋体" w:hAnsi="宋体"/>
          <w:szCs w:val="21"/>
        </w:rPr>
        <w:t>2</w:t>
      </w:r>
      <w:r>
        <w:rPr>
          <w:rFonts w:hint="eastAsia" w:ascii="宋体" w:hAnsi="宋体"/>
          <w:szCs w:val="21"/>
        </w:rPr>
        <w:t>.1“日期”</w:t>
      </w:r>
      <w:r>
        <w:rPr>
          <w:rFonts w:ascii="宋体" w:hAnsi="宋体"/>
          <w:szCs w:val="21"/>
        </w:rPr>
        <w:t>指</w:t>
      </w:r>
      <w:r>
        <w:rPr>
          <w:rFonts w:hint="eastAsia" w:ascii="宋体" w:hAnsi="宋体"/>
          <w:szCs w:val="21"/>
        </w:rPr>
        <w:t>公历日；</w:t>
      </w:r>
    </w:p>
    <w:p>
      <w:pPr>
        <w:ind w:firstLine="411" w:firstLineChars="196"/>
        <w:rPr>
          <w:rFonts w:hint="eastAsia" w:ascii="宋体" w:hAnsi="宋体"/>
          <w:szCs w:val="21"/>
        </w:rPr>
      </w:pPr>
      <w:r>
        <w:rPr>
          <w:rFonts w:hint="eastAsia" w:ascii="宋体" w:hAnsi="宋体"/>
          <w:szCs w:val="21"/>
        </w:rPr>
        <w:t>2.2“</w:t>
      </w:r>
      <w:r>
        <w:rPr>
          <w:rFonts w:hint="eastAsia"/>
        </w:rPr>
        <w:t>招标文件</w:t>
      </w:r>
      <w:r>
        <w:rPr>
          <w:rFonts w:hint="eastAsia" w:ascii="宋体" w:hAnsi="宋体"/>
          <w:szCs w:val="21"/>
        </w:rPr>
        <w:t>”指采购文件；</w:t>
      </w:r>
    </w:p>
    <w:p>
      <w:pPr>
        <w:ind w:firstLine="411" w:firstLineChars="196"/>
        <w:rPr>
          <w:rFonts w:hint="eastAsia" w:ascii="宋体" w:hAnsi="宋体"/>
          <w:szCs w:val="21"/>
        </w:rPr>
      </w:pPr>
      <w:r>
        <w:rPr>
          <w:rFonts w:ascii="宋体" w:hAnsi="宋体"/>
          <w:szCs w:val="21"/>
        </w:rPr>
        <w:t>2.</w:t>
      </w:r>
      <w:r>
        <w:rPr>
          <w:rFonts w:hint="eastAsia" w:ascii="宋体" w:hAnsi="宋体"/>
          <w:szCs w:val="21"/>
        </w:rPr>
        <w:t>3“应答文件”指投标文件；</w:t>
      </w:r>
    </w:p>
    <w:p>
      <w:pPr>
        <w:ind w:firstLine="411" w:firstLineChars="196"/>
        <w:rPr>
          <w:rFonts w:hint="eastAsia" w:ascii="宋体" w:hAnsi="宋体"/>
          <w:szCs w:val="21"/>
        </w:rPr>
      </w:pPr>
      <w:r>
        <w:rPr>
          <w:rFonts w:hint="eastAsia" w:ascii="宋体" w:hAnsi="宋体"/>
          <w:szCs w:val="21"/>
        </w:rPr>
        <w:t>2.4 “成交”指中标；</w:t>
      </w:r>
    </w:p>
    <w:p>
      <w:pPr>
        <w:ind w:firstLine="411" w:firstLineChars="196"/>
        <w:rPr>
          <w:rFonts w:hint="eastAsia" w:ascii="宋体" w:hAnsi="宋体"/>
          <w:szCs w:val="21"/>
        </w:rPr>
      </w:pPr>
      <w:r>
        <w:rPr>
          <w:rFonts w:hint="eastAsia" w:ascii="宋体" w:hAnsi="宋体"/>
          <w:szCs w:val="21"/>
        </w:rPr>
        <w:t>2.5“合同”指由本次招标所产生的合同或合约文件；</w:t>
      </w:r>
    </w:p>
    <w:p>
      <w:pPr>
        <w:ind w:firstLine="411" w:firstLineChars="196"/>
        <w:rPr>
          <w:rFonts w:hint="eastAsia" w:ascii="宋体" w:hAnsi="宋体"/>
          <w:szCs w:val="21"/>
        </w:rPr>
      </w:pPr>
      <w:r>
        <w:rPr>
          <w:rFonts w:ascii="宋体" w:hAnsi="宋体"/>
          <w:szCs w:val="21"/>
        </w:rPr>
        <w:t>2.</w:t>
      </w:r>
      <w:r>
        <w:rPr>
          <w:rFonts w:hint="eastAsia" w:ascii="宋体" w:hAnsi="宋体"/>
          <w:szCs w:val="21"/>
        </w:rPr>
        <w:t>6</w:t>
      </w:r>
      <w:r>
        <w:rPr>
          <w:rFonts w:ascii="宋体" w:hAnsi="宋体"/>
          <w:szCs w:val="21"/>
        </w:rPr>
        <w:t>“网上投标”指按照招标文件的规定并遵循相应的技术要求，通过深圳公共资源交易中心（深圳交易集团有限公司罗湖分公司）网站上传电子投标文件的行为；</w:t>
      </w:r>
    </w:p>
    <w:p>
      <w:pPr>
        <w:ind w:firstLine="411" w:firstLineChars="196"/>
        <w:rPr>
          <w:rFonts w:hint="eastAsia" w:ascii="宋体" w:hAnsi="宋体"/>
          <w:szCs w:val="21"/>
        </w:rPr>
      </w:pPr>
      <w:r>
        <w:rPr>
          <w:rFonts w:hint="eastAsia" w:ascii="宋体" w:hAnsi="宋体"/>
          <w:szCs w:val="21"/>
        </w:rPr>
        <w:t>2.7招标文件中的标题或题名仅起引导作用，而不应视为对招标文件内容的理解和解释；</w:t>
      </w:r>
    </w:p>
    <w:p>
      <w:pPr>
        <w:ind w:firstLine="411" w:firstLineChars="196"/>
        <w:rPr>
          <w:rFonts w:hint="eastAsia" w:ascii="宋体" w:hAnsi="宋体"/>
          <w:szCs w:val="21"/>
        </w:rPr>
      </w:pPr>
      <w:r>
        <w:rPr>
          <w:rFonts w:ascii="宋体" w:hAnsi="宋体"/>
          <w:szCs w:val="21"/>
        </w:rPr>
        <w:t>2.</w:t>
      </w:r>
      <w:r>
        <w:rPr>
          <w:rFonts w:hint="eastAsia" w:ascii="宋体" w:hAnsi="宋体"/>
          <w:szCs w:val="21"/>
        </w:rPr>
        <w:t>8除特别声明外，</w:t>
      </w:r>
      <w:bookmarkStart w:id="59" w:name="OLE_LINK4"/>
      <w:r>
        <w:rPr>
          <w:rFonts w:hint="eastAsia" w:ascii="宋体" w:hAnsi="宋体"/>
          <w:szCs w:val="21"/>
        </w:rPr>
        <w:t>本招标文件所称的网站均指</w:t>
      </w:r>
      <w:bookmarkStart w:id="60" w:name="OLE_LINK2"/>
      <w:r>
        <w:rPr>
          <w:rFonts w:hint="eastAsia" w:ascii="宋体" w:hAnsi="宋体"/>
          <w:szCs w:val="21"/>
        </w:rPr>
        <w:t>深圳交易集团罗湖分公司网站，网址：</w:t>
      </w:r>
      <w:bookmarkStart w:id="61" w:name="OLE_LINK1"/>
      <w:r>
        <w:rPr>
          <w:rFonts w:hint="eastAsia" w:ascii="宋体" w:hAnsi="宋体"/>
          <w:color w:val="FF0000"/>
          <w:szCs w:val="21"/>
        </w:rPr>
        <w:t>https://lh.szexgrp.com/jyfw/zfcg-view.html?id=zfcg</w:t>
      </w:r>
      <w:bookmarkEnd w:id="61"/>
    </w:p>
    <w:bookmarkEnd w:id="59"/>
    <w:bookmarkEnd w:id="60"/>
    <w:p>
      <w:pPr>
        <w:spacing w:line="360" w:lineRule="auto"/>
        <w:rPr>
          <w:rFonts w:hint="eastAsia" w:ascii="黑体" w:hAnsi="宋体" w:eastAsia="黑体"/>
          <w:sz w:val="24"/>
        </w:rPr>
      </w:pPr>
      <w:bookmarkStart w:id="62" w:name="_Toc73521551"/>
      <w:bookmarkStart w:id="63" w:name="_Toc73517643"/>
      <w:bookmarkStart w:id="64" w:name="_Toc73521639"/>
      <w:bookmarkStart w:id="65" w:name="_Toc60631624"/>
      <w:bookmarkStart w:id="66" w:name="_Toc60560629"/>
      <w:bookmarkStart w:id="67" w:name="_Toc73518121"/>
      <w:bookmarkStart w:id="68" w:name="_Toc100052368"/>
      <w:r>
        <w:rPr>
          <w:rFonts w:hint="eastAsia" w:ascii="黑体" w:hAnsi="宋体" w:eastAsia="黑体"/>
          <w:sz w:val="24"/>
        </w:rPr>
        <w:t>3．投标供应商的资质要求</w:t>
      </w:r>
      <w:bookmarkEnd w:id="62"/>
      <w:bookmarkEnd w:id="63"/>
      <w:bookmarkEnd w:id="64"/>
      <w:bookmarkEnd w:id="65"/>
      <w:bookmarkEnd w:id="66"/>
      <w:bookmarkEnd w:id="67"/>
      <w:bookmarkEnd w:id="68"/>
    </w:p>
    <w:p>
      <w:pPr>
        <w:ind w:firstLine="411" w:firstLineChars="196"/>
        <w:rPr>
          <w:rFonts w:hint="eastAsia" w:ascii="宋体" w:hAnsi="宋体"/>
          <w:szCs w:val="21"/>
        </w:rPr>
      </w:pPr>
      <w:bookmarkStart w:id="69" w:name="OLE_LINK39"/>
      <w:r>
        <w:rPr>
          <w:rFonts w:hint="eastAsia" w:ascii="宋体" w:hAnsi="宋体"/>
          <w:szCs w:val="21"/>
        </w:rPr>
        <w:t>3</w:t>
      </w:r>
      <w:r>
        <w:rPr>
          <w:rFonts w:ascii="宋体" w:hAnsi="宋体"/>
          <w:szCs w:val="21"/>
        </w:rPr>
        <w:t>.</w:t>
      </w:r>
      <w:r>
        <w:rPr>
          <w:rFonts w:hint="eastAsia" w:ascii="宋体" w:hAnsi="宋体"/>
          <w:szCs w:val="21"/>
        </w:rPr>
        <w:t>1 参加本次投标的投标供应商应满足招标文件规定的资格条件，详</w:t>
      </w:r>
      <w:r>
        <w:rPr>
          <w:rFonts w:hint="eastAsia" w:ascii="宋体" w:hAnsi="宋体"/>
          <w:bCs/>
          <w:szCs w:val="21"/>
        </w:rPr>
        <w:t>见招标公告有关投标供应商资格要求。</w:t>
      </w:r>
    </w:p>
    <w:bookmarkEnd w:id="69"/>
    <w:p>
      <w:pPr>
        <w:spacing w:line="360" w:lineRule="auto"/>
        <w:rPr>
          <w:rFonts w:hint="eastAsia" w:ascii="黑体" w:hAnsi="宋体" w:eastAsia="黑体"/>
          <w:sz w:val="24"/>
        </w:rPr>
      </w:pPr>
      <w:bookmarkStart w:id="70" w:name="_Toc60560631"/>
      <w:bookmarkStart w:id="71" w:name="_Toc73521641"/>
      <w:bookmarkStart w:id="72" w:name="_Toc73518123"/>
      <w:bookmarkStart w:id="73" w:name="_Toc73521553"/>
      <w:bookmarkStart w:id="74" w:name="_Toc60631626"/>
      <w:bookmarkStart w:id="75" w:name="_Toc73517645"/>
      <w:bookmarkStart w:id="76" w:name="_Toc100052370"/>
      <w:r>
        <w:rPr>
          <w:rFonts w:hint="eastAsia" w:ascii="黑体" w:hAnsi="宋体" w:eastAsia="黑体"/>
          <w:sz w:val="24"/>
        </w:rPr>
        <w:t>4．投标费用</w:t>
      </w:r>
      <w:bookmarkEnd w:id="70"/>
      <w:bookmarkEnd w:id="71"/>
      <w:bookmarkEnd w:id="72"/>
      <w:bookmarkEnd w:id="73"/>
      <w:bookmarkEnd w:id="74"/>
      <w:bookmarkEnd w:id="75"/>
      <w:bookmarkEnd w:id="76"/>
    </w:p>
    <w:p>
      <w:pPr>
        <w:ind w:firstLine="411" w:firstLineChars="196"/>
        <w:rPr>
          <w:rFonts w:hint="eastAsia" w:ascii="宋体" w:hAnsi="宋体"/>
          <w:szCs w:val="21"/>
        </w:rPr>
      </w:pPr>
      <w:r>
        <w:rPr>
          <w:rFonts w:hint="eastAsia" w:ascii="宋体" w:hAnsi="宋体"/>
        </w:rPr>
        <w:t>不论投标的结果如何，投标</w:t>
      </w:r>
      <w:r>
        <w:rPr>
          <w:rFonts w:hint="eastAsia" w:ascii="宋体" w:hAnsi="宋体"/>
          <w:color w:val="000000"/>
          <w:szCs w:val="21"/>
        </w:rPr>
        <w:t>供应商</w:t>
      </w:r>
      <w:r>
        <w:rPr>
          <w:rFonts w:hint="eastAsia" w:ascii="宋体" w:hAnsi="宋体"/>
        </w:rPr>
        <w:t>应承担所有与准备和参加投标</w:t>
      </w:r>
      <w:r>
        <w:rPr>
          <w:rFonts w:hint="eastAsia" w:ascii="宋体" w:hAnsi="宋体"/>
          <w:szCs w:val="21"/>
        </w:rPr>
        <w:t>(含实物样品)</w:t>
      </w:r>
      <w:r>
        <w:rPr>
          <w:rFonts w:hint="eastAsia" w:ascii="宋体" w:hAnsi="宋体"/>
        </w:rPr>
        <w:t>有关的费用，深圳公共资源交易中心（深圳交易集团有限公司罗湖分公司）和采购单位均无义务、也无责任承担这些费用。</w:t>
      </w:r>
      <w:bookmarkStart w:id="77" w:name="_Toc78260681"/>
      <w:bookmarkStart w:id="78" w:name="_Toc100052372"/>
    </w:p>
    <w:p>
      <w:pPr>
        <w:spacing w:line="360" w:lineRule="auto"/>
        <w:rPr>
          <w:rFonts w:hint="eastAsia" w:ascii="黑体" w:hAnsi="宋体" w:eastAsia="黑体"/>
          <w:sz w:val="24"/>
        </w:rPr>
      </w:pPr>
      <w:r>
        <w:rPr>
          <w:rFonts w:hint="eastAsia" w:ascii="黑体" w:hAnsi="宋体" w:eastAsia="黑体"/>
          <w:sz w:val="24"/>
        </w:rPr>
        <w:t>5．招标</w:t>
      </w:r>
      <w:bookmarkEnd w:id="77"/>
      <w:r>
        <w:rPr>
          <w:rFonts w:hint="eastAsia" w:ascii="黑体" w:hAnsi="宋体" w:eastAsia="黑体"/>
          <w:sz w:val="24"/>
        </w:rPr>
        <w:t>答疑</w:t>
      </w:r>
      <w:bookmarkEnd w:id="78"/>
      <w:r>
        <w:rPr>
          <w:rFonts w:hint="eastAsia" w:ascii="黑体" w:hAnsi="宋体" w:eastAsia="黑体"/>
          <w:sz w:val="24"/>
        </w:rPr>
        <w:t>、质疑</w:t>
      </w:r>
    </w:p>
    <w:p>
      <w:pPr>
        <w:ind w:firstLine="411" w:firstLineChars="196"/>
        <w:rPr>
          <w:rFonts w:hint="eastAsia" w:ascii="宋体" w:hAnsi="宋体"/>
          <w:szCs w:val="21"/>
        </w:rPr>
      </w:pPr>
      <w:r>
        <w:rPr>
          <w:rFonts w:hint="eastAsia" w:ascii="宋体" w:hAnsi="宋体"/>
          <w:szCs w:val="21"/>
        </w:rPr>
        <w:t>5.1招标答疑的目的是澄清、解答投标</w:t>
      </w:r>
      <w:r>
        <w:rPr>
          <w:rFonts w:hint="eastAsia" w:ascii="宋体" w:hAnsi="宋体"/>
          <w:color w:val="000000"/>
          <w:szCs w:val="21"/>
        </w:rPr>
        <w:t>供应商</w:t>
      </w:r>
      <w:r>
        <w:rPr>
          <w:rFonts w:hint="eastAsia" w:ascii="宋体" w:hAnsi="宋体"/>
          <w:szCs w:val="21"/>
        </w:rPr>
        <w:t>在查阅招标文件后可能提出的与投标有关的问题；</w:t>
      </w:r>
    </w:p>
    <w:p>
      <w:pPr>
        <w:ind w:firstLine="411" w:firstLineChars="196"/>
        <w:rPr>
          <w:rFonts w:hint="eastAsia" w:ascii="宋体" w:hAnsi="宋体"/>
          <w:szCs w:val="21"/>
        </w:rPr>
      </w:pPr>
      <w:r>
        <w:rPr>
          <w:rFonts w:hint="eastAsia" w:ascii="宋体" w:hAnsi="宋体"/>
          <w:szCs w:val="21"/>
        </w:rPr>
        <w:t>5.2投标</w:t>
      </w:r>
      <w:r>
        <w:rPr>
          <w:rFonts w:hint="eastAsia" w:ascii="宋体" w:hAnsi="宋体"/>
          <w:color w:val="000000"/>
          <w:szCs w:val="21"/>
        </w:rPr>
        <w:t>供应商</w:t>
      </w:r>
      <w:r>
        <w:rPr>
          <w:rFonts w:hint="eastAsia" w:ascii="宋体" w:hAnsi="宋体"/>
          <w:szCs w:val="21"/>
        </w:rPr>
        <w:t>提出的与投标有关的问题须在招标文件规定的截止时间前以网上形式提交给深圳公共资源交易中心（深圳交易集团有限公司罗湖分公司）；</w:t>
      </w:r>
    </w:p>
    <w:p>
      <w:pPr>
        <w:ind w:firstLine="420"/>
        <w:rPr>
          <w:rFonts w:hint="eastAsia" w:ascii="宋体" w:hAnsi="宋体" w:cs="宋体"/>
          <w:kern w:val="0"/>
          <w:szCs w:val="21"/>
        </w:rPr>
      </w:pPr>
      <w:r>
        <w:rPr>
          <w:rFonts w:hint="eastAsia" w:ascii="宋体" w:hAnsi="宋体"/>
          <w:szCs w:val="21"/>
        </w:rPr>
        <w:t>5.3</w:t>
      </w:r>
      <w:r>
        <w:rPr>
          <w:rFonts w:hint="eastAsia" w:ascii="宋体" w:hAnsi="宋体" w:cs="宋体"/>
          <w:kern w:val="0"/>
          <w:szCs w:val="21"/>
        </w:rPr>
        <w:t>供应商如认为招标文件、采购过程、中标或成交结果等采购程序环节存在下列情形使其权益受到损害的，存在限制性、倾向性、其权益受到损害，可以依法向</w:t>
      </w:r>
      <w:r>
        <w:rPr>
          <w:rFonts w:hint="eastAsia" w:ascii="宋体" w:hAnsi="宋体"/>
          <w:szCs w:val="21"/>
        </w:rPr>
        <w:t>深圳公共资源交易中心（深圳交易集团有限公司罗湖分公司）</w:t>
      </w:r>
      <w:r>
        <w:rPr>
          <w:rFonts w:hint="eastAsia" w:ascii="宋体" w:hAnsi="宋体" w:cs="宋体"/>
          <w:kern w:val="0"/>
          <w:szCs w:val="21"/>
        </w:rPr>
        <w:t>以书面形式提出质疑。</w:t>
      </w:r>
    </w:p>
    <w:p>
      <w:pPr>
        <w:ind w:firstLine="420"/>
        <w:rPr>
          <w:rFonts w:hint="eastAsia" w:ascii="宋体" w:hAnsi="宋体" w:cs="宋体"/>
          <w:kern w:val="0"/>
          <w:szCs w:val="21"/>
        </w:rPr>
      </w:pPr>
      <w:r>
        <w:rPr>
          <w:rFonts w:hint="eastAsia" w:ascii="宋体" w:hAnsi="宋体"/>
          <w:szCs w:val="21"/>
        </w:rPr>
        <w:t>5.3.1</w:t>
      </w:r>
      <w:r>
        <w:rPr>
          <w:rFonts w:hint="eastAsia" w:ascii="宋体" w:hAnsi="宋体" w:cs="宋体"/>
          <w:kern w:val="0"/>
          <w:szCs w:val="21"/>
        </w:rPr>
        <w:t>供应商应按以下规定时限提出质疑：</w:t>
      </w:r>
    </w:p>
    <w:p>
      <w:pPr>
        <w:ind w:firstLine="420"/>
        <w:rPr>
          <w:rFonts w:hint="eastAsia" w:ascii="宋体" w:hAnsi="宋体" w:cs="宋体"/>
          <w:kern w:val="0"/>
          <w:szCs w:val="21"/>
        </w:rPr>
      </w:pPr>
      <w:r>
        <w:rPr>
          <w:rFonts w:hint="eastAsia" w:ascii="宋体" w:hAnsi="宋体" w:cs="宋体"/>
          <w:kern w:val="0"/>
          <w:szCs w:val="21"/>
        </w:rPr>
        <w:t>（1）对招标（采购）文件的质疑，为招标（采购）公告公示期内；</w:t>
      </w:r>
    </w:p>
    <w:p>
      <w:pPr>
        <w:ind w:firstLine="420"/>
        <w:rPr>
          <w:rFonts w:hint="eastAsia" w:ascii="宋体" w:hAnsi="宋体" w:cs="宋体"/>
          <w:kern w:val="0"/>
          <w:szCs w:val="21"/>
        </w:rPr>
      </w:pPr>
      <w:r>
        <w:rPr>
          <w:rFonts w:hint="eastAsia" w:ascii="宋体" w:hAnsi="宋体" w:cs="宋体"/>
          <w:kern w:val="0"/>
          <w:szCs w:val="21"/>
        </w:rPr>
        <w:t>（2）对中标（成交）结果以及评审委员会、谈判小组组成人员的质疑，为中标（成交）结果公示期内；</w:t>
      </w:r>
    </w:p>
    <w:p>
      <w:pPr>
        <w:ind w:firstLine="420"/>
        <w:rPr>
          <w:rFonts w:hint="eastAsia" w:ascii="宋体" w:hAnsi="宋体" w:cs="宋体"/>
          <w:kern w:val="0"/>
          <w:szCs w:val="21"/>
        </w:rPr>
      </w:pPr>
      <w:r>
        <w:rPr>
          <w:rFonts w:hint="eastAsia" w:ascii="宋体" w:hAnsi="宋体" w:cs="宋体"/>
          <w:kern w:val="0"/>
          <w:szCs w:val="21"/>
        </w:rPr>
        <w:t>（3）对项目发布更正公告的（包括但不限于采购文件的澄清或修改、中标或成交结果的改变）且供应商针对更正事项提出质疑的，为更正公告公示期内。</w:t>
      </w:r>
    </w:p>
    <w:p>
      <w:pPr>
        <w:ind w:firstLine="420"/>
        <w:rPr>
          <w:rFonts w:hint="eastAsia" w:ascii="宋体" w:hAnsi="宋体"/>
          <w:szCs w:val="21"/>
        </w:rPr>
      </w:pPr>
      <w:r>
        <w:rPr>
          <w:rFonts w:hint="eastAsia" w:ascii="宋体" w:hAnsi="宋体"/>
          <w:szCs w:val="21"/>
        </w:rPr>
        <w:t>5.3.2书面质疑函应当包括以下内容：</w:t>
      </w:r>
      <w:r>
        <w:rPr>
          <w:rFonts w:ascii="宋体" w:hAnsi="宋体"/>
          <w:szCs w:val="21"/>
        </w:rPr>
        <w:t xml:space="preserve"> </w:t>
      </w:r>
    </w:p>
    <w:p>
      <w:pPr>
        <w:ind w:firstLine="420"/>
        <w:rPr>
          <w:rFonts w:hint="eastAsia" w:ascii="宋体" w:hAnsi="宋体"/>
          <w:szCs w:val="21"/>
        </w:rPr>
      </w:pPr>
      <w:r>
        <w:rPr>
          <w:rFonts w:hint="eastAsia" w:ascii="宋体" w:hAnsi="宋体"/>
          <w:szCs w:val="21"/>
        </w:rPr>
        <w:t>（1）供应商的名称（或者姓名）、地址、邮编、邮箱、联系人及联系电话；</w:t>
      </w:r>
    </w:p>
    <w:p>
      <w:pPr>
        <w:ind w:firstLine="420" w:firstLineChars="200"/>
        <w:rPr>
          <w:rFonts w:hint="eastAsia" w:ascii="宋体" w:hAnsi="宋体"/>
          <w:szCs w:val="21"/>
        </w:rPr>
      </w:pPr>
      <w:r>
        <w:rPr>
          <w:rFonts w:hint="eastAsia" w:ascii="宋体" w:hAnsi="宋体"/>
          <w:szCs w:val="21"/>
        </w:rPr>
        <w:t>（2）质疑项目的名称、编号；</w:t>
      </w:r>
    </w:p>
    <w:p>
      <w:pPr>
        <w:ind w:firstLine="420" w:firstLineChars="200"/>
        <w:rPr>
          <w:rFonts w:hint="eastAsia" w:ascii="宋体" w:hAnsi="宋体"/>
          <w:szCs w:val="21"/>
        </w:rPr>
      </w:pPr>
      <w:r>
        <w:rPr>
          <w:rFonts w:hint="eastAsia" w:ascii="宋体" w:hAnsi="宋体"/>
          <w:szCs w:val="21"/>
        </w:rPr>
        <w:t>（3）具体、明确的质疑对象、质疑事项和质疑请求；</w:t>
      </w:r>
    </w:p>
    <w:p>
      <w:pPr>
        <w:ind w:firstLine="420" w:firstLineChars="200"/>
        <w:rPr>
          <w:rFonts w:hint="eastAsia" w:ascii="宋体" w:hAnsi="宋体"/>
          <w:szCs w:val="21"/>
        </w:rPr>
      </w:pPr>
      <w:r>
        <w:rPr>
          <w:rFonts w:hint="eastAsia" w:ascii="宋体" w:hAnsi="宋体"/>
          <w:szCs w:val="21"/>
        </w:rPr>
        <w:t>（4）因质疑事项而受损害的权益；</w:t>
      </w:r>
    </w:p>
    <w:p>
      <w:pPr>
        <w:ind w:firstLine="420" w:firstLineChars="200"/>
        <w:rPr>
          <w:rFonts w:hint="eastAsia" w:ascii="宋体" w:hAnsi="宋体"/>
          <w:szCs w:val="21"/>
        </w:rPr>
      </w:pPr>
      <w:r>
        <w:rPr>
          <w:rFonts w:hint="eastAsia" w:ascii="宋体" w:hAnsi="宋体"/>
          <w:szCs w:val="21"/>
        </w:rPr>
        <w:t>（5）事实依据；</w:t>
      </w:r>
    </w:p>
    <w:p>
      <w:pPr>
        <w:ind w:firstLine="420" w:firstLineChars="200"/>
        <w:rPr>
          <w:rFonts w:hint="eastAsia" w:ascii="宋体" w:hAnsi="宋体"/>
          <w:szCs w:val="21"/>
        </w:rPr>
      </w:pPr>
      <w:r>
        <w:rPr>
          <w:rFonts w:hint="eastAsia" w:ascii="宋体" w:hAnsi="宋体"/>
          <w:szCs w:val="21"/>
        </w:rPr>
        <w:t>（6）必要的法律依据；</w:t>
      </w:r>
    </w:p>
    <w:p>
      <w:pPr>
        <w:ind w:firstLine="420" w:firstLineChars="200"/>
        <w:rPr>
          <w:rFonts w:hint="eastAsia" w:ascii="宋体" w:hAnsi="宋体"/>
          <w:szCs w:val="21"/>
        </w:rPr>
      </w:pPr>
      <w:r>
        <w:rPr>
          <w:rFonts w:hint="eastAsia" w:ascii="宋体" w:hAnsi="宋体"/>
          <w:szCs w:val="21"/>
        </w:rPr>
        <w:t>（7）提出质疑的日期。</w:t>
      </w:r>
    </w:p>
    <w:p>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hint="eastAsia" w:ascii="宋体" w:hAnsi="宋体"/>
          <w:szCs w:val="21"/>
        </w:rPr>
      </w:pPr>
      <w:r>
        <w:rPr>
          <w:rFonts w:hint="eastAsia" w:ascii="宋体" w:hAnsi="宋体"/>
          <w:szCs w:val="21"/>
        </w:rPr>
        <w:t>5.3.3提交</w:t>
      </w:r>
      <w:r>
        <w:rPr>
          <w:rFonts w:ascii="宋体" w:hAnsi="宋体"/>
          <w:szCs w:val="21"/>
        </w:rPr>
        <w:t>材料</w:t>
      </w:r>
    </w:p>
    <w:p>
      <w:pPr>
        <w:ind w:firstLine="420" w:firstLineChars="200"/>
        <w:rPr>
          <w:rFonts w:hint="eastAsia" w:ascii="宋体" w:hAnsi="宋体"/>
          <w:szCs w:val="21"/>
        </w:rPr>
      </w:pPr>
      <w:r>
        <w:rPr>
          <w:rFonts w:hint="eastAsia" w:ascii="宋体" w:hAnsi="宋体"/>
          <w:szCs w:val="21"/>
        </w:rPr>
        <w:t>供应商质疑实行实名制。质疑（投诉）人应保证质疑、投诉的真实性，其在质疑或投诉时应当有具体的事项及证明利益受损的事实根据，实行“谁质疑，谁举证”的原则。</w:t>
      </w:r>
    </w:p>
    <w:p>
      <w:pPr>
        <w:ind w:firstLine="420" w:firstLineChars="200"/>
        <w:rPr>
          <w:rFonts w:hint="eastAsia" w:ascii="宋体" w:hAnsi="宋体"/>
          <w:szCs w:val="21"/>
        </w:rPr>
      </w:pPr>
      <w:r>
        <w:rPr>
          <w:rFonts w:hint="eastAsia" w:ascii="宋体" w:hAnsi="宋体"/>
          <w:szCs w:val="21"/>
        </w:rPr>
        <w:t>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hint="eastAsia" w:ascii="宋体" w:hAnsi="宋体"/>
          <w:b/>
          <w:szCs w:val="21"/>
        </w:rPr>
      </w:pPr>
      <w:r>
        <w:rPr>
          <w:rFonts w:hint="eastAsia" w:ascii="宋体" w:hAnsi="宋体"/>
          <w:szCs w:val="21"/>
        </w:rPr>
        <w:t>5.3.4</w:t>
      </w:r>
      <w:r>
        <w:rPr>
          <w:rFonts w:hint="eastAsia" w:ascii="宋体" w:hAnsi="宋体"/>
          <w:b/>
          <w:szCs w:val="21"/>
        </w:rPr>
        <w:t>收文单位、地点</w:t>
      </w:r>
    </w:p>
    <w:p>
      <w:pPr>
        <w:ind w:firstLine="420" w:firstLineChars="200"/>
        <w:rPr>
          <w:rFonts w:hint="eastAsia" w:ascii="宋体" w:hAnsi="宋体"/>
          <w:b/>
          <w:bCs/>
          <w:szCs w:val="21"/>
        </w:rPr>
      </w:pPr>
      <w:r>
        <w:rPr>
          <w:rFonts w:hint="eastAsia" w:ascii="宋体" w:hAnsi="宋体"/>
          <w:szCs w:val="21"/>
        </w:rPr>
        <w:t>提交方式：请质疑供应商根据深圳政府采购智慧平台（https://www.szggzy.com/globalSearch/details.html?contentId=1211037）所发布的质疑指引、质疑函模板填写质疑函并提交质疑材料。</w:t>
      </w:r>
    </w:p>
    <w:p>
      <w:pPr>
        <w:ind w:firstLine="422" w:firstLineChars="200"/>
        <w:rPr>
          <w:rFonts w:hint="eastAsia" w:ascii="宋体" w:hAnsi="宋体"/>
          <w:b/>
          <w:bCs/>
          <w:szCs w:val="21"/>
        </w:rPr>
      </w:pPr>
      <w:r>
        <w:rPr>
          <w:rFonts w:hint="eastAsia" w:ascii="宋体" w:hAnsi="宋体"/>
          <w:b/>
          <w:bCs/>
          <w:szCs w:val="21"/>
        </w:rPr>
        <w:t>收文单位：深圳公共资源交易中心（深圳交易集团有限公司罗湖分公司），地址：</w:t>
      </w:r>
      <w:r>
        <w:rPr>
          <w:rFonts w:hint="eastAsia" w:ascii="宋体" w:hAnsi="宋体"/>
          <w:b/>
          <w:bCs/>
        </w:rPr>
        <w:t>深圳市罗湖区深南东路1076号党群服务中心4、</w:t>
      </w:r>
      <w:r>
        <w:rPr>
          <w:rFonts w:hint="eastAsia" w:ascii="宋体" w:hAnsi="宋体"/>
          <w:b/>
          <w:bCs/>
          <w:szCs w:val="21"/>
        </w:rPr>
        <w:t>5楼，质疑咨询电话：0755-82239981。</w:t>
      </w:r>
    </w:p>
    <w:p>
      <w:pPr>
        <w:ind w:firstLine="411" w:firstLineChars="196"/>
        <w:rPr>
          <w:rFonts w:hint="eastAsia" w:ascii="宋体" w:hAnsi="宋体"/>
          <w:szCs w:val="21"/>
        </w:rPr>
      </w:pPr>
      <w:r>
        <w:rPr>
          <w:rFonts w:hint="eastAsia" w:ascii="宋体" w:hAnsi="宋体"/>
          <w:szCs w:val="21"/>
        </w:rPr>
        <w:t>5.4深圳公共资源交易中心（深圳交易集团有限公司罗湖分公司）对疑问所做出的澄清和解答，以书面形式（包括网站发布信息）统一答复为准。</w:t>
      </w:r>
    </w:p>
    <w:p>
      <w:pPr>
        <w:ind w:firstLine="411" w:firstLineChars="196"/>
        <w:rPr>
          <w:rFonts w:hint="eastAsia" w:ascii="宋体" w:hAnsi="宋体"/>
          <w:szCs w:val="21"/>
        </w:rPr>
      </w:pPr>
      <w:r>
        <w:rPr>
          <w:rFonts w:hint="eastAsia" w:ascii="宋体" w:hAnsi="宋体"/>
          <w:szCs w:val="21"/>
        </w:rPr>
        <w:t>5.5如深圳公共资源交易中心（深圳交易集团有限公司罗湖分公司）认为有必要组织现场招标答疑会，投标</w:t>
      </w:r>
      <w:r>
        <w:rPr>
          <w:rFonts w:hint="eastAsia" w:ascii="宋体" w:hAnsi="宋体"/>
          <w:color w:val="000000"/>
          <w:szCs w:val="21"/>
        </w:rPr>
        <w:t>供应商</w:t>
      </w:r>
      <w:r>
        <w:rPr>
          <w:rFonts w:hint="eastAsia" w:ascii="宋体" w:hAnsi="宋体"/>
          <w:szCs w:val="21"/>
        </w:rPr>
        <w:t>应按照招标文件规定的时间或深圳公共资源交易中心（深圳交易集团有限公司罗湖分公司）另行书面通知（包括网站发布信息）的时间和地点，参与招标答疑会；</w:t>
      </w:r>
    </w:p>
    <w:p>
      <w:pPr>
        <w:ind w:firstLine="411" w:firstLineChars="196"/>
        <w:rPr>
          <w:rFonts w:hint="eastAsia" w:ascii="宋体" w:hAnsi="宋体"/>
          <w:szCs w:val="21"/>
        </w:rPr>
      </w:pPr>
      <w:r>
        <w:rPr>
          <w:rFonts w:hint="eastAsia" w:ascii="宋体" w:hAnsi="宋体"/>
          <w:szCs w:val="21"/>
        </w:rPr>
        <w:t>5.6未参与招标答疑不作为否定投标</w:t>
      </w:r>
      <w:r>
        <w:rPr>
          <w:rFonts w:hint="eastAsia" w:ascii="宋体" w:hAnsi="宋体"/>
          <w:color w:val="000000"/>
          <w:szCs w:val="21"/>
        </w:rPr>
        <w:t>供应商</w:t>
      </w:r>
      <w:r>
        <w:rPr>
          <w:rFonts w:hint="eastAsia" w:ascii="宋体" w:hAnsi="宋体"/>
          <w:szCs w:val="21"/>
        </w:rPr>
        <w:t>资格的理由。</w:t>
      </w:r>
    </w:p>
    <w:p>
      <w:pPr>
        <w:pStyle w:val="32"/>
      </w:pPr>
    </w:p>
    <w:p>
      <w:pPr>
        <w:pStyle w:val="6"/>
        <w:rPr>
          <w:rFonts w:hint="eastAsia"/>
        </w:rPr>
      </w:pPr>
      <w:bookmarkStart w:id="79" w:name="_Toc100052373"/>
      <w:bookmarkStart w:id="80" w:name="_Toc194467301"/>
      <w:bookmarkStart w:id="81" w:name="_Toc73521644"/>
      <w:bookmarkStart w:id="82" w:name="_Toc101074878"/>
      <w:bookmarkStart w:id="83" w:name="_Toc73521556"/>
      <w:bookmarkStart w:id="84" w:name="_Toc73517648"/>
      <w:bookmarkStart w:id="85" w:name="_Toc73518126"/>
      <w:r>
        <w:rPr>
          <w:rFonts w:hint="eastAsia"/>
        </w:rPr>
        <w:t>第二章 招标文件</w:t>
      </w:r>
      <w:bookmarkEnd w:id="79"/>
      <w:bookmarkEnd w:id="80"/>
      <w:bookmarkEnd w:id="81"/>
      <w:bookmarkEnd w:id="82"/>
      <w:bookmarkEnd w:id="83"/>
      <w:bookmarkEnd w:id="84"/>
      <w:bookmarkEnd w:id="85"/>
    </w:p>
    <w:p>
      <w:pPr>
        <w:spacing w:line="360" w:lineRule="auto"/>
        <w:rPr>
          <w:rFonts w:hint="eastAsia" w:ascii="黑体" w:hAnsi="宋体" w:eastAsia="黑体"/>
          <w:sz w:val="24"/>
        </w:rPr>
      </w:pPr>
      <w:bookmarkStart w:id="86" w:name="_Toc73518127"/>
      <w:bookmarkStart w:id="87" w:name="_Toc100052374"/>
      <w:bookmarkStart w:id="88" w:name="_Toc73521645"/>
      <w:bookmarkStart w:id="89" w:name="_Toc73517649"/>
      <w:bookmarkStart w:id="90" w:name="_Toc73521557"/>
      <w:r>
        <w:rPr>
          <w:rFonts w:hint="eastAsia" w:ascii="黑体" w:hAnsi="宋体" w:eastAsia="黑体"/>
          <w:sz w:val="24"/>
        </w:rPr>
        <w:t>6．招标文件的组成</w:t>
      </w:r>
      <w:bookmarkEnd w:id="86"/>
      <w:bookmarkEnd w:id="87"/>
      <w:bookmarkEnd w:id="88"/>
      <w:bookmarkEnd w:id="89"/>
      <w:bookmarkEnd w:id="90"/>
    </w:p>
    <w:p>
      <w:pPr>
        <w:ind w:firstLine="411" w:firstLineChars="196"/>
        <w:rPr>
          <w:rFonts w:hint="eastAsia" w:ascii="宋体" w:hAnsi="宋体"/>
          <w:szCs w:val="21"/>
        </w:rPr>
      </w:pPr>
      <w:r>
        <w:rPr>
          <w:rFonts w:hint="eastAsia" w:ascii="宋体" w:hAnsi="宋体"/>
          <w:szCs w:val="21"/>
        </w:rPr>
        <w:t>6.1招标文件除以下内容外，深圳公共资源交易中心（深圳交易集团有限公司罗湖分公司）在招标期间以书面形式（包括网站公开发布的方式）统一发出的答疑纪要和其他补充修改函件，均是招标文件的组成部分，对所有投标</w:t>
      </w:r>
      <w:r>
        <w:rPr>
          <w:rFonts w:hint="eastAsia" w:ascii="宋体" w:hAnsi="宋体"/>
          <w:color w:val="000000"/>
          <w:szCs w:val="21"/>
        </w:rPr>
        <w:t>供应商</w:t>
      </w:r>
      <w:r>
        <w:rPr>
          <w:rFonts w:hint="eastAsia" w:ascii="宋体" w:hAnsi="宋体"/>
          <w:szCs w:val="21"/>
        </w:rPr>
        <w:t>起约束作用；</w:t>
      </w:r>
    </w:p>
    <w:p>
      <w:pPr>
        <w:ind w:firstLine="420" w:firstLineChars="200"/>
        <w:rPr>
          <w:rFonts w:hint="eastAsia" w:ascii="宋体" w:hAnsi="宋体"/>
          <w:szCs w:val="21"/>
        </w:rPr>
      </w:pPr>
      <w:r>
        <w:rPr>
          <w:rFonts w:hint="eastAsia" w:ascii="宋体" w:hAnsi="宋体"/>
          <w:szCs w:val="21"/>
        </w:rPr>
        <w:t>6.2招标文件共分为关键信息和招标文件正文。</w:t>
      </w:r>
    </w:p>
    <w:p>
      <w:pPr>
        <w:ind w:firstLine="420" w:firstLineChars="200"/>
        <w:rPr>
          <w:rFonts w:hint="eastAsia" w:ascii="宋体" w:hAnsi="宋体"/>
          <w:szCs w:val="21"/>
        </w:rPr>
      </w:pPr>
      <w:r>
        <w:rPr>
          <w:rFonts w:hint="eastAsia" w:ascii="宋体" w:hAnsi="宋体"/>
          <w:szCs w:val="21"/>
        </w:rPr>
        <w:t>6.3 投标</w:t>
      </w:r>
      <w:r>
        <w:rPr>
          <w:rFonts w:hint="eastAsia" w:ascii="宋体" w:hAnsi="宋体"/>
          <w:color w:val="000000"/>
          <w:szCs w:val="21"/>
        </w:rPr>
        <w:t>供应商</w:t>
      </w:r>
      <w:r>
        <w:rPr>
          <w:rFonts w:hint="eastAsia" w:ascii="宋体" w:hAnsi="宋体"/>
          <w:szCs w:val="21"/>
        </w:rPr>
        <w:t>下载招标文件后，应仔细检查招标文件的所有内容，如有内容缺失应在提出澄清要求截止时间之前向深圳公共资源交易中心（深圳交易集团有限公司罗湖分公司）提出，否则，由此引起的投标损失自负；投标</w:t>
      </w:r>
      <w:r>
        <w:rPr>
          <w:rFonts w:hint="eastAsia" w:ascii="宋体" w:hAnsi="宋体"/>
          <w:color w:val="000000"/>
          <w:szCs w:val="21"/>
        </w:rPr>
        <w:t>供应商</w:t>
      </w:r>
      <w:r>
        <w:rPr>
          <w:rFonts w:hint="eastAsia" w:ascii="宋体" w:hAnsi="宋体"/>
          <w:szCs w:val="21"/>
        </w:rPr>
        <w:t>同时应认真审阅招标文件所有的事项、格式、条款和规范要求等，如果投标</w:t>
      </w:r>
      <w:r>
        <w:rPr>
          <w:rFonts w:hint="eastAsia" w:ascii="宋体" w:hAnsi="宋体"/>
          <w:color w:val="000000"/>
          <w:szCs w:val="21"/>
        </w:rPr>
        <w:t>供应商</w:t>
      </w:r>
      <w:r>
        <w:rPr>
          <w:rFonts w:hint="eastAsia" w:ascii="宋体" w:hAnsi="宋体"/>
          <w:szCs w:val="21"/>
        </w:rPr>
        <w:t>的投标文件没有按招标文件要求提交全部资料或者投标文件没有对招标文件做出实质性响应，其风险应由投标</w:t>
      </w:r>
      <w:r>
        <w:rPr>
          <w:rFonts w:hint="eastAsia" w:ascii="宋体" w:hAnsi="宋体"/>
          <w:color w:val="000000"/>
          <w:szCs w:val="21"/>
        </w:rPr>
        <w:t>供应商</w:t>
      </w:r>
      <w:r>
        <w:rPr>
          <w:rFonts w:hint="eastAsia" w:ascii="宋体" w:hAnsi="宋体"/>
          <w:szCs w:val="21"/>
        </w:rPr>
        <w:t>自行承担，并根据有关条款规定，其投标有可能被拒绝。</w:t>
      </w:r>
    </w:p>
    <w:p>
      <w:pPr>
        <w:ind w:firstLine="411" w:firstLineChars="196"/>
        <w:rPr>
          <w:rFonts w:hint="eastAsia" w:ascii="宋体" w:hAnsi="宋体"/>
          <w:szCs w:val="21"/>
        </w:rPr>
      </w:pPr>
      <w:r>
        <w:rPr>
          <w:rFonts w:hint="eastAsia" w:ascii="宋体" w:hAnsi="宋体"/>
          <w:szCs w:val="21"/>
        </w:rPr>
        <w:t>6.4</w:t>
      </w:r>
      <w:r>
        <w:rPr>
          <w:rFonts w:hint="eastAsia" w:ascii="宋体" w:hAnsi="宋体"/>
        </w:rPr>
        <w:t>任何人或任何组织向投标</w:t>
      </w:r>
      <w:r>
        <w:rPr>
          <w:rFonts w:hint="eastAsia" w:ascii="宋体" w:hAnsi="宋体"/>
          <w:color w:val="000000"/>
          <w:szCs w:val="21"/>
        </w:rPr>
        <w:t>供应商</w:t>
      </w:r>
      <w:r>
        <w:rPr>
          <w:rFonts w:hint="eastAsia" w:ascii="宋体" w:hAnsi="宋体"/>
        </w:rPr>
        <w:t>提交的任何书面或口头资料，未经深圳公共资源交易中心（深圳交易集团有限公司罗湖分公司）在网上发布或书面通知，均作无效处理，不得作为招标文件的组成部分。深圳公共资源交易中心（深圳交易集团有限公司罗湖分公司）对投标</w:t>
      </w:r>
      <w:r>
        <w:rPr>
          <w:rFonts w:hint="eastAsia" w:ascii="宋体" w:hAnsi="宋体"/>
          <w:color w:val="000000"/>
          <w:szCs w:val="21"/>
        </w:rPr>
        <w:t>供应商</w:t>
      </w:r>
      <w:r>
        <w:rPr>
          <w:rFonts w:hint="eastAsia" w:ascii="宋体" w:hAnsi="宋体"/>
        </w:rPr>
        <w:t>由此而做出的推论、理解和结论概不负责。</w:t>
      </w:r>
    </w:p>
    <w:p>
      <w:pPr>
        <w:spacing w:line="360" w:lineRule="auto"/>
        <w:rPr>
          <w:rFonts w:hint="eastAsia" w:ascii="黑体" w:hAnsi="宋体" w:eastAsia="黑体"/>
          <w:sz w:val="24"/>
        </w:rPr>
      </w:pPr>
      <w:bookmarkStart w:id="91" w:name="_Toc73521558"/>
      <w:bookmarkStart w:id="92" w:name="_Toc60631631"/>
      <w:bookmarkStart w:id="93" w:name="_Toc100052375"/>
      <w:bookmarkStart w:id="94" w:name="_Toc60560636"/>
      <w:bookmarkStart w:id="95" w:name="_Toc73517650"/>
      <w:bookmarkStart w:id="96" w:name="_Toc73518128"/>
      <w:bookmarkStart w:id="97" w:name="_Toc73521646"/>
      <w:r>
        <w:rPr>
          <w:rFonts w:hint="eastAsia" w:ascii="黑体" w:hAnsi="宋体" w:eastAsia="黑体"/>
          <w:sz w:val="24"/>
        </w:rPr>
        <w:t>7．招标文件的澄清</w:t>
      </w:r>
      <w:bookmarkEnd w:id="91"/>
      <w:bookmarkEnd w:id="92"/>
      <w:bookmarkEnd w:id="93"/>
      <w:bookmarkEnd w:id="94"/>
      <w:bookmarkEnd w:id="95"/>
      <w:bookmarkEnd w:id="96"/>
      <w:bookmarkEnd w:id="97"/>
    </w:p>
    <w:p>
      <w:pPr>
        <w:ind w:firstLine="411" w:firstLineChars="196"/>
        <w:rPr>
          <w:rFonts w:hint="eastAsia" w:ascii="宋体" w:hAnsi="宋体"/>
          <w:szCs w:val="21"/>
        </w:rPr>
      </w:pPr>
      <w:r>
        <w:rPr>
          <w:rFonts w:hint="eastAsia" w:ascii="宋体" w:hAnsi="宋体"/>
          <w:szCs w:val="21"/>
        </w:rPr>
        <w:t>7.1投标</w:t>
      </w:r>
      <w:r>
        <w:rPr>
          <w:rFonts w:hint="eastAsia" w:ascii="宋体" w:hAnsi="宋体"/>
          <w:color w:val="000000"/>
          <w:szCs w:val="21"/>
        </w:rPr>
        <w:t>供应商</w:t>
      </w:r>
      <w:r>
        <w:rPr>
          <w:rFonts w:hint="eastAsia" w:ascii="宋体" w:hAnsi="宋体"/>
          <w:szCs w:val="21"/>
        </w:rPr>
        <w:t>在收到招标文件后，对招标文件任何部分若有任何疑问，或要求澄清招标文件的，均应在招标公告规定的</w:t>
      </w:r>
      <w:r>
        <w:t>提出澄清要求截止时间</w:t>
      </w:r>
      <w:r>
        <w:rPr>
          <w:rFonts w:hint="eastAsia" w:ascii="宋体" w:hAnsi="宋体"/>
          <w:szCs w:val="21"/>
        </w:rPr>
        <w:t>前，按网上提问的形式向深圳公共资源交易中心（深圳交易集团有限公司罗湖分公司）提交。不论是深圳公共资源交易中心（深圳交易集团有限公司罗湖分公司）根据需要主动对招标文件进行必要的澄清或是根据投标</w:t>
      </w:r>
      <w:r>
        <w:rPr>
          <w:rFonts w:hint="eastAsia" w:ascii="宋体" w:hAnsi="宋体"/>
          <w:color w:val="000000"/>
          <w:szCs w:val="21"/>
        </w:rPr>
        <w:t>供应商</w:t>
      </w:r>
      <w:r>
        <w:rPr>
          <w:rFonts w:hint="eastAsia" w:ascii="宋体" w:hAnsi="宋体"/>
          <w:szCs w:val="21"/>
        </w:rPr>
        <w:t>的要求对招标文件做出澄清，深圳公共资源交易中心（深圳交易集团有限公司罗湖分公司）都将在投标截止日期前以书面形式（包括网站公开发布和深圳公共资源交易中心（深圳交易集团有限公司罗湖分公司）采购系统中发布的方式）答复或发送给所有投标</w:t>
      </w:r>
      <w:r>
        <w:rPr>
          <w:rFonts w:hint="eastAsia" w:ascii="宋体" w:hAnsi="宋体"/>
          <w:color w:val="000000"/>
          <w:szCs w:val="21"/>
        </w:rPr>
        <w:t>供应商</w:t>
      </w:r>
      <w:r>
        <w:rPr>
          <w:rFonts w:hint="eastAsia" w:ascii="宋体" w:hAnsi="宋体"/>
          <w:szCs w:val="21"/>
        </w:rPr>
        <w:t>。澄清纪要作为招标文件的组成部分，对投标</w:t>
      </w:r>
      <w:r>
        <w:rPr>
          <w:rFonts w:hint="eastAsia" w:ascii="宋体" w:hAnsi="宋体"/>
          <w:color w:val="000000"/>
          <w:szCs w:val="21"/>
        </w:rPr>
        <w:t>供应商</w:t>
      </w:r>
      <w:r>
        <w:rPr>
          <w:rFonts w:hint="eastAsia" w:ascii="宋体" w:hAnsi="宋体"/>
          <w:szCs w:val="21"/>
        </w:rPr>
        <w:t>起约束作用；</w:t>
      </w:r>
    </w:p>
    <w:p>
      <w:pPr>
        <w:ind w:firstLine="411" w:firstLineChars="196"/>
        <w:rPr>
          <w:rFonts w:hint="eastAsia" w:ascii="宋体" w:hAnsi="宋体"/>
          <w:szCs w:val="21"/>
        </w:rPr>
      </w:pPr>
      <w:r>
        <w:rPr>
          <w:rFonts w:hint="eastAsia" w:ascii="宋体" w:hAnsi="宋体"/>
          <w:szCs w:val="21"/>
        </w:rPr>
        <w:t>7.2对于没有提出澄清又参与了该项目投标的供应商将被视为完全认同该招标文件（含澄清纪要），投标截止期后不再受理针对招标文件的相关质疑或投诉。</w:t>
      </w:r>
    </w:p>
    <w:p>
      <w:pPr>
        <w:ind w:firstLine="411" w:firstLineChars="196"/>
        <w:rPr>
          <w:rFonts w:hint="eastAsia" w:ascii="宋体" w:hAnsi="宋体"/>
          <w:szCs w:val="21"/>
        </w:rPr>
      </w:pPr>
      <w:r>
        <w:rPr>
          <w:rFonts w:hint="eastAsia" w:ascii="宋体" w:hAnsi="宋体"/>
          <w:szCs w:val="21"/>
        </w:rPr>
        <w:t>7.3 对招标文件中描述有歧义或前后不一致的地方，评标委员会有权进行评判，但对同一条款的评判应适用于每个投标供应商。</w:t>
      </w:r>
    </w:p>
    <w:p>
      <w:pPr>
        <w:spacing w:line="360" w:lineRule="auto"/>
        <w:rPr>
          <w:rFonts w:hint="eastAsia" w:ascii="黑体" w:hAnsi="宋体" w:eastAsia="黑体"/>
          <w:sz w:val="24"/>
        </w:rPr>
      </w:pPr>
      <w:bookmarkStart w:id="98" w:name="_Toc73518129"/>
      <w:bookmarkStart w:id="99" w:name="_Toc60560637"/>
      <w:bookmarkStart w:id="100" w:name="_Toc60631632"/>
      <w:bookmarkStart w:id="101" w:name="_Toc73521559"/>
      <w:bookmarkStart w:id="102" w:name="_Toc73521647"/>
      <w:bookmarkStart w:id="103" w:name="_Toc100052376"/>
      <w:bookmarkStart w:id="104" w:name="_Toc73517651"/>
      <w:r>
        <w:rPr>
          <w:rFonts w:hint="eastAsia" w:ascii="黑体" w:hAnsi="宋体" w:eastAsia="黑体"/>
          <w:sz w:val="24"/>
        </w:rPr>
        <w:t>8．招标文件的修改</w:t>
      </w:r>
      <w:bookmarkEnd w:id="98"/>
      <w:bookmarkEnd w:id="99"/>
      <w:bookmarkEnd w:id="100"/>
      <w:bookmarkEnd w:id="101"/>
      <w:bookmarkEnd w:id="102"/>
      <w:bookmarkEnd w:id="103"/>
      <w:bookmarkEnd w:id="104"/>
    </w:p>
    <w:p>
      <w:pPr>
        <w:ind w:firstLine="411" w:firstLineChars="196"/>
        <w:rPr>
          <w:rFonts w:hint="eastAsia" w:ascii="宋体" w:hAnsi="宋体"/>
          <w:szCs w:val="21"/>
        </w:rPr>
      </w:pPr>
      <w:r>
        <w:rPr>
          <w:rFonts w:hint="eastAsia" w:ascii="宋体" w:hAnsi="宋体"/>
          <w:szCs w:val="21"/>
        </w:rPr>
        <w:t>8.1招标文件发出后，在投标截止日期前任何时候，确需要变更招标内容的，深圳公共资源交易中心（深圳交易集团有限公司罗湖分公司）可主动地或在解答投标</w:t>
      </w:r>
      <w:r>
        <w:rPr>
          <w:rFonts w:hint="eastAsia" w:ascii="宋体" w:hAnsi="宋体"/>
          <w:color w:val="000000"/>
          <w:szCs w:val="21"/>
        </w:rPr>
        <w:t>供应商</w:t>
      </w:r>
      <w:r>
        <w:rPr>
          <w:rFonts w:hint="eastAsia" w:ascii="宋体" w:hAnsi="宋体"/>
          <w:szCs w:val="21"/>
        </w:rPr>
        <w:t>提出的澄清问题时对招标文件进行修改；</w:t>
      </w:r>
    </w:p>
    <w:p>
      <w:pPr>
        <w:ind w:firstLine="411" w:firstLineChars="196"/>
        <w:rPr>
          <w:rFonts w:hint="eastAsia" w:ascii="宋体" w:hAnsi="宋体"/>
          <w:szCs w:val="21"/>
        </w:rPr>
      </w:pPr>
      <w:r>
        <w:rPr>
          <w:rFonts w:hint="eastAsia" w:ascii="宋体" w:hAnsi="宋体"/>
          <w:szCs w:val="21"/>
        </w:rPr>
        <w:t>8.2招标文件的修改以书面形式（包括网站公开发布和深圳公共资源交易中心（深圳交易集团有限公司罗湖分公司）采购系统中发布的方式）发送给所有投标</w:t>
      </w:r>
      <w:r>
        <w:rPr>
          <w:rFonts w:hint="eastAsia" w:ascii="宋体" w:hAnsi="宋体"/>
          <w:color w:val="000000"/>
          <w:szCs w:val="21"/>
        </w:rPr>
        <w:t>供应商</w:t>
      </w:r>
      <w:r>
        <w:rPr>
          <w:rFonts w:hint="eastAsia" w:ascii="宋体" w:hAnsi="宋体"/>
          <w:szCs w:val="21"/>
        </w:rPr>
        <w:t>，招标文件的修改内容作为招标文件的组成部分，并具有约束力。</w:t>
      </w:r>
    </w:p>
    <w:p>
      <w:pPr>
        <w:ind w:firstLine="411" w:firstLineChars="196"/>
        <w:rPr>
          <w:rFonts w:hint="eastAsia" w:ascii="宋体" w:hAnsi="宋体"/>
          <w:szCs w:val="21"/>
        </w:rPr>
      </w:pPr>
      <w:r>
        <w:rPr>
          <w:rFonts w:hint="eastAsia" w:ascii="宋体" w:hAnsi="宋体"/>
          <w:szCs w:val="21"/>
        </w:rPr>
        <w:t>8.3招标文件、招标文件澄清（答疑）纪要、招标文件修改补充通知内容均以书面明确的内容为准。当招标文件、修改补充通知、澄清（答疑）纪要内容相互矛盾时，以最后发出的通知（或纪要）或修改的文件为准；</w:t>
      </w:r>
    </w:p>
    <w:p>
      <w:pPr>
        <w:ind w:firstLine="411" w:firstLineChars="196"/>
        <w:rPr>
          <w:rFonts w:hint="eastAsia" w:ascii="宋体" w:hAnsi="宋体"/>
          <w:szCs w:val="21"/>
        </w:rPr>
      </w:pPr>
      <w:r>
        <w:rPr>
          <w:rFonts w:hint="eastAsia" w:ascii="宋体" w:hAnsi="宋体"/>
          <w:szCs w:val="21"/>
        </w:rPr>
        <w:t>8.4深圳公共资源交易中心（深圳交易集团有限公司罗湖分公司）保证招标文件澄清（答疑）纪要和招标文件修改补充通知在投标截止时间前以网站公开发布形式或书面形式发送给所有投标</w:t>
      </w:r>
      <w:r>
        <w:rPr>
          <w:rFonts w:hint="eastAsia" w:ascii="宋体" w:hAnsi="宋体"/>
          <w:color w:val="000000"/>
          <w:szCs w:val="21"/>
        </w:rPr>
        <w:t>供应商</w:t>
      </w:r>
      <w:r>
        <w:rPr>
          <w:rFonts w:hint="eastAsia" w:ascii="宋体" w:hAnsi="宋体"/>
          <w:szCs w:val="21"/>
        </w:rPr>
        <w:t>。为使投标</w:t>
      </w:r>
      <w:r>
        <w:rPr>
          <w:rFonts w:hint="eastAsia" w:ascii="宋体" w:hAnsi="宋体"/>
          <w:color w:val="000000"/>
          <w:szCs w:val="21"/>
        </w:rPr>
        <w:t>供应商</w:t>
      </w:r>
      <w:r>
        <w:rPr>
          <w:rFonts w:hint="eastAsia" w:ascii="宋体" w:hAnsi="宋体"/>
          <w:szCs w:val="21"/>
        </w:rPr>
        <w:t>在编写投标文件时有充分时间对招标文件的修改部分进行研究，深圳公共资源交易中心（深圳交易集团有限公司罗湖分公司）可以酌情延长递交投标文件的截止日期，具体时间将在修改补充通知中明确。</w:t>
      </w:r>
    </w:p>
    <w:p>
      <w:pPr>
        <w:pStyle w:val="6"/>
        <w:rPr>
          <w:rFonts w:hint="eastAsia"/>
        </w:rPr>
      </w:pPr>
      <w:bookmarkStart w:id="105" w:name="bt投标文件"/>
      <w:bookmarkEnd w:id="105"/>
      <w:bookmarkStart w:id="106" w:name="_Toc100052378"/>
      <w:bookmarkStart w:id="107" w:name="_Toc73521649"/>
      <w:bookmarkStart w:id="108" w:name="_Toc60631634"/>
      <w:bookmarkStart w:id="109" w:name="_Toc73518131"/>
      <w:bookmarkStart w:id="110" w:name="_Toc60560639"/>
      <w:bookmarkStart w:id="111" w:name="_Toc73521561"/>
      <w:bookmarkStart w:id="112" w:name="_Toc73517653"/>
      <w:r>
        <w:rPr>
          <w:rFonts w:hint="eastAsia"/>
        </w:rPr>
        <w:t>第三章 投标文件</w:t>
      </w:r>
    </w:p>
    <w:p>
      <w:pPr>
        <w:rPr>
          <w:rFonts w:hint="eastAsia" w:ascii="黑体" w:hAnsi="宋体" w:eastAsia="黑体"/>
          <w:sz w:val="24"/>
        </w:rPr>
      </w:pPr>
      <w:r>
        <w:rPr>
          <w:rFonts w:hint="eastAsia" w:ascii="黑体" w:hAnsi="宋体" w:eastAsia="黑体"/>
          <w:sz w:val="24"/>
        </w:rPr>
        <w:t>9．投标文件的语言及度量单位</w:t>
      </w:r>
      <w:bookmarkEnd w:id="106"/>
      <w:bookmarkEnd w:id="107"/>
      <w:bookmarkEnd w:id="108"/>
      <w:bookmarkEnd w:id="109"/>
      <w:bookmarkEnd w:id="110"/>
      <w:bookmarkEnd w:id="111"/>
      <w:bookmarkEnd w:id="112"/>
    </w:p>
    <w:p>
      <w:pPr>
        <w:ind w:firstLine="411" w:firstLineChars="196"/>
        <w:rPr>
          <w:rFonts w:hint="eastAsia" w:ascii="宋体" w:hAnsi="宋体"/>
          <w:szCs w:val="21"/>
        </w:rPr>
      </w:pPr>
      <w:r>
        <w:rPr>
          <w:rFonts w:hint="eastAsia" w:ascii="宋体" w:hAnsi="宋体"/>
          <w:szCs w:val="21"/>
        </w:rPr>
        <w:t>9.1投标</w:t>
      </w:r>
      <w:r>
        <w:rPr>
          <w:rFonts w:hint="eastAsia" w:ascii="宋体" w:hAnsi="宋体"/>
          <w:color w:val="000000"/>
          <w:szCs w:val="21"/>
        </w:rPr>
        <w:t>供应商</w:t>
      </w:r>
      <w:r>
        <w:rPr>
          <w:rFonts w:hint="eastAsia" w:ascii="宋体" w:hAnsi="宋体"/>
          <w:szCs w:val="21"/>
        </w:rPr>
        <w:t>与深圳公共资源交易中心（深圳交易集团有限公司罗湖分公司）之间与投标有关的所有往来通知、函件和投标文件均用中文表述。投标</w:t>
      </w:r>
      <w:r>
        <w:rPr>
          <w:rFonts w:hint="eastAsia" w:ascii="宋体" w:hAnsi="宋体"/>
          <w:color w:val="000000"/>
          <w:szCs w:val="21"/>
        </w:rPr>
        <w:t>供应商</w:t>
      </w:r>
      <w:r>
        <w:rPr>
          <w:rFonts w:hint="eastAsia" w:ascii="宋体" w:hAnsi="宋体"/>
          <w:szCs w:val="21"/>
        </w:rPr>
        <w:t>随投标文件提供的证明文件和资料可以为其它语言，但必须附中文译文。在此，为了解释投标文件，应以中文为准；</w:t>
      </w:r>
    </w:p>
    <w:p>
      <w:pPr>
        <w:ind w:firstLine="411" w:firstLineChars="196"/>
        <w:rPr>
          <w:rFonts w:hint="eastAsia" w:ascii="宋体" w:hAnsi="宋体"/>
          <w:szCs w:val="21"/>
        </w:rPr>
      </w:pPr>
      <w:r>
        <w:rPr>
          <w:rFonts w:hint="eastAsia" w:ascii="宋体" w:hAnsi="宋体"/>
          <w:szCs w:val="21"/>
        </w:rPr>
        <w:t>9.2除技术规范另有规定外，投标文件使用的度量单位，均采用中华人民共和国法定计量单位。</w:t>
      </w:r>
    </w:p>
    <w:p>
      <w:pPr>
        <w:spacing w:line="360" w:lineRule="auto"/>
        <w:rPr>
          <w:rFonts w:hint="eastAsia" w:ascii="黑体" w:hAnsi="宋体" w:eastAsia="黑体"/>
          <w:sz w:val="24"/>
        </w:rPr>
      </w:pPr>
      <w:bookmarkStart w:id="113" w:name="_Toc73518132"/>
      <w:bookmarkStart w:id="114" w:name="_Toc60560640"/>
      <w:bookmarkStart w:id="115" w:name="_Toc73517654"/>
      <w:bookmarkStart w:id="116" w:name="_Toc100052379"/>
      <w:bookmarkStart w:id="117" w:name="_Toc73521562"/>
      <w:bookmarkStart w:id="118" w:name="_Toc60631635"/>
      <w:bookmarkStart w:id="119" w:name="_Toc73521650"/>
      <w:r>
        <w:rPr>
          <w:rFonts w:hint="eastAsia" w:ascii="黑体" w:hAnsi="宋体" w:eastAsia="黑体"/>
          <w:sz w:val="24"/>
        </w:rPr>
        <w:t>10．投标文件的组成</w:t>
      </w:r>
      <w:bookmarkEnd w:id="113"/>
      <w:bookmarkEnd w:id="114"/>
      <w:bookmarkEnd w:id="115"/>
      <w:bookmarkEnd w:id="116"/>
      <w:bookmarkEnd w:id="117"/>
      <w:bookmarkEnd w:id="118"/>
      <w:bookmarkEnd w:id="119"/>
    </w:p>
    <w:p>
      <w:pPr>
        <w:ind w:firstLine="413" w:firstLineChars="196"/>
        <w:rPr>
          <w:rFonts w:hint="eastAsia" w:ascii="宋体" w:hAnsi="宋体"/>
          <w:b/>
          <w:szCs w:val="21"/>
        </w:rPr>
      </w:pPr>
      <w:r>
        <w:rPr>
          <w:rFonts w:hint="eastAsia" w:ascii="宋体" w:hAnsi="宋体"/>
          <w:b/>
          <w:szCs w:val="21"/>
        </w:rPr>
        <w:t>（具体内容请详见招标文件第一册第一章</w:t>
      </w:r>
      <w:bookmarkStart w:id="120" w:name="投标文件的组成"/>
      <w:bookmarkStart w:id="121" w:name="_Toc73517655"/>
      <w:bookmarkStart w:id="122" w:name="_Toc73518133"/>
      <w:bookmarkStart w:id="123" w:name="_Toc60560641"/>
      <w:bookmarkStart w:id="124" w:name="_Toc60631636"/>
      <w:bookmarkStart w:id="125" w:name="_Toc73521651"/>
      <w:bookmarkStart w:id="126" w:name="_Toc73521563"/>
      <w:r>
        <w:rPr>
          <w:rFonts w:hint="eastAsia" w:ascii="宋体" w:hAnsi="宋体"/>
          <w:b/>
          <w:szCs w:val="21"/>
        </w:rPr>
        <w:t>）</w:t>
      </w:r>
    </w:p>
    <w:p>
      <w:pPr>
        <w:ind w:firstLine="420" w:firstLineChars="200"/>
        <w:rPr>
          <w:rFonts w:hint="eastAsia" w:ascii="宋体" w:hAnsi="宋体"/>
          <w:szCs w:val="21"/>
        </w:rPr>
      </w:pPr>
      <w:r>
        <w:rPr>
          <w:rFonts w:hint="eastAsia" w:ascii="宋体" w:hAnsi="宋体"/>
          <w:szCs w:val="21"/>
        </w:rPr>
        <w:t>注意：为保证公平公正，除非另有规定或说明，投标人对同一货物或服务投标时，不得同时提供两套或两套以上的投标方案。</w:t>
      </w:r>
    </w:p>
    <w:bookmarkEnd w:id="120"/>
    <w:p>
      <w:pPr>
        <w:spacing w:line="360" w:lineRule="auto"/>
        <w:rPr>
          <w:rFonts w:hint="eastAsia" w:ascii="黑体" w:hAnsi="宋体" w:eastAsia="黑体"/>
          <w:sz w:val="24"/>
        </w:rPr>
      </w:pPr>
      <w:bookmarkStart w:id="127" w:name="_Toc100052380"/>
      <w:r>
        <w:rPr>
          <w:rFonts w:hint="eastAsia" w:ascii="黑体" w:hAnsi="宋体" w:eastAsia="黑体"/>
          <w:sz w:val="24"/>
        </w:rPr>
        <w:t>11．投标文件格式</w:t>
      </w:r>
      <w:bookmarkEnd w:id="121"/>
      <w:bookmarkEnd w:id="122"/>
      <w:bookmarkEnd w:id="123"/>
      <w:bookmarkEnd w:id="124"/>
      <w:bookmarkEnd w:id="125"/>
      <w:bookmarkEnd w:id="126"/>
      <w:bookmarkEnd w:id="127"/>
    </w:p>
    <w:p>
      <w:pPr>
        <w:ind w:firstLine="411" w:firstLineChars="196"/>
        <w:rPr>
          <w:rFonts w:hint="eastAsia" w:ascii="宋体" w:hAnsi="宋体"/>
          <w:szCs w:val="21"/>
        </w:rPr>
      </w:pPr>
      <w:r>
        <w:rPr>
          <w:rFonts w:hint="eastAsia" w:ascii="宋体" w:hAnsi="宋体"/>
          <w:szCs w:val="21"/>
        </w:rPr>
        <w:t>如招标文件提供了投标文件格式，则投标供应商提交的投标文件必须毫无例外地使用招标文件所提供的相应格式（表格可以按同样格式扩展）。</w:t>
      </w:r>
      <w:bookmarkStart w:id="128" w:name="_Toc73521565"/>
      <w:bookmarkStart w:id="129" w:name="_Toc60560643"/>
      <w:bookmarkStart w:id="130" w:name="_Toc60631638"/>
      <w:bookmarkStart w:id="131" w:name="_Toc73517657"/>
      <w:bookmarkStart w:id="132" w:name="_Toc73521653"/>
      <w:bookmarkStart w:id="133" w:name="_Toc73518135"/>
    </w:p>
    <w:p>
      <w:pPr>
        <w:spacing w:line="360" w:lineRule="auto"/>
        <w:rPr>
          <w:rFonts w:hint="eastAsia" w:ascii="黑体" w:hAnsi="宋体" w:eastAsia="黑体"/>
          <w:sz w:val="24"/>
        </w:rPr>
      </w:pPr>
      <w:bookmarkStart w:id="134" w:name="_Toc100052382"/>
      <w:r>
        <w:rPr>
          <w:rFonts w:hint="eastAsia" w:ascii="黑体" w:hAnsi="宋体" w:eastAsia="黑体"/>
          <w:sz w:val="24"/>
        </w:rPr>
        <w:t>12．投标货币</w:t>
      </w:r>
      <w:bookmarkEnd w:id="128"/>
      <w:bookmarkEnd w:id="129"/>
      <w:bookmarkEnd w:id="130"/>
      <w:bookmarkEnd w:id="131"/>
      <w:bookmarkEnd w:id="132"/>
      <w:bookmarkEnd w:id="133"/>
      <w:bookmarkEnd w:id="134"/>
    </w:p>
    <w:p>
      <w:pPr>
        <w:ind w:firstLine="411" w:firstLineChars="196"/>
        <w:rPr>
          <w:rFonts w:hint="eastAsia" w:ascii="宋体" w:hAnsi="宋体"/>
          <w:szCs w:val="21"/>
        </w:rPr>
      </w:pPr>
      <w:r>
        <w:rPr>
          <w:rFonts w:hint="eastAsia" w:ascii="宋体" w:hAnsi="宋体"/>
          <w:szCs w:val="21"/>
        </w:rPr>
        <w:t>12.1本项目的投标应以人民币计。</w:t>
      </w:r>
      <w:bookmarkStart w:id="135" w:name="bt递交投标文件"/>
      <w:bookmarkEnd w:id="135"/>
    </w:p>
    <w:p>
      <w:pPr>
        <w:pStyle w:val="32"/>
      </w:pPr>
    </w:p>
    <w:p>
      <w:pPr>
        <w:pStyle w:val="6"/>
        <w:rPr>
          <w:rFonts w:hint="eastAsia"/>
        </w:rPr>
      </w:pPr>
      <w:bookmarkStart w:id="136" w:name="bt开标"/>
      <w:bookmarkEnd w:id="136"/>
      <w:bookmarkStart w:id="137" w:name="_Toc73521574"/>
      <w:bookmarkStart w:id="138" w:name="_Toc73521662"/>
      <w:bookmarkStart w:id="139" w:name="_Toc73518144"/>
      <w:bookmarkStart w:id="140" w:name="_Toc73517666"/>
      <w:bookmarkStart w:id="141" w:name="_Toc100052391"/>
      <w:bookmarkStart w:id="142" w:name="_Toc101074881"/>
      <w:bookmarkStart w:id="143" w:name="_Toc194467304"/>
      <w:r>
        <w:rPr>
          <w:rFonts w:hint="eastAsia"/>
        </w:rPr>
        <w:t>第四章 开标</w:t>
      </w:r>
      <w:bookmarkEnd w:id="137"/>
      <w:bookmarkEnd w:id="138"/>
      <w:bookmarkEnd w:id="139"/>
      <w:bookmarkEnd w:id="140"/>
      <w:bookmarkEnd w:id="141"/>
      <w:bookmarkEnd w:id="142"/>
      <w:bookmarkEnd w:id="143"/>
    </w:p>
    <w:p>
      <w:pPr>
        <w:spacing w:line="360" w:lineRule="auto"/>
        <w:rPr>
          <w:rFonts w:hint="eastAsia" w:ascii="黑体" w:hAnsi="宋体" w:eastAsia="黑体"/>
          <w:sz w:val="24"/>
        </w:rPr>
      </w:pPr>
      <w:bookmarkStart w:id="144" w:name="_Toc60560655"/>
      <w:bookmarkStart w:id="145" w:name="_Toc100052392"/>
      <w:bookmarkStart w:id="146" w:name="_Toc60631650"/>
      <w:bookmarkStart w:id="147" w:name="_Toc73518145"/>
      <w:bookmarkStart w:id="148" w:name="_Toc73521575"/>
      <w:bookmarkStart w:id="149" w:name="_Toc73517667"/>
      <w:bookmarkStart w:id="150" w:name="_Toc73521663"/>
      <w:r>
        <w:rPr>
          <w:rFonts w:hint="eastAsia" w:ascii="黑体" w:hAnsi="宋体" w:eastAsia="黑体"/>
          <w:sz w:val="24"/>
        </w:rPr>
        <w:t>13．开标</w:t>
      </w:r>
      <w:bookmarkEnd w:id="144"/>
      <w:bookmarkEnd w:id="145"/>
      <w:bookmarkEnd w:id="146"/>
      <w:bookmarkEnd w:id="147"/>
      <w:bookmarkEnd w:id="148"/>
      <w:bookmarkEnd w:id="149"/>
      <w:bookmarkEnd w:id="150"/>
    </w:p>
    <w:p>
      <w:pPr>
        <w:ind w:firstLine="411" w:firstLineChars="196"/>
        <w:rPr>
          <w:rFonts w:hint="eastAsia" w:ascii="宋体" w:hAnsi="宋体"/>
          <w:szCs w:val="21"/>
        </w:rPr>
      </w:pPr>
      <w:r>
        <w:rPr>
          <w:rFonts w:hint="eastAsia" w:ascii="宋体" w:hAnsi="宋体"/>
          <w:szCs w:val="21"/>
        </w:rPr>
        <w:t>13</w:t>
      </w:r>
      <w:r>
        <w:rPr>
          <w:rFonts w:ascii="宋体" w:hAnsi="宋体"/>
          <w:szCs w:val="21"/>
        </w:rPr>
        <w:t>.</w:t>
      </w:r>
      <w:r>
        <w:rPr>
          <w:rFonts w:hint="eastAsia" w:ascii="宋体" w:hAnsi="宋体"/>
          <w:szCs w:val="21"/>
        </w:rPr>
        <w:t>1深圳公共资源交易中心（深圳交易集团有限公司罗湖分公司）将在投标截止时间后，对投标文件进行开标，并在网上公布开标结果。</w:t>
      </w:r>
      <w:bookmarkStart w:id="151" w:name="bt评标"/>
      <w:bookmarkEnd w:id="151"/>
      <w:bookmarkStart w:id="152" w:name="bt评标会议"/>
      <w:bookmarkEnd w:id="152"/>
      <w:bookmarkStart w:id="153" w:name="_Toc100052394"/>
      <w:bookmarkStart w:id="154" w:name="_Toc73521665"/>
      <w:bookmarkStart w:id="155" w:name="_Toc73517669"/>
      <w:bookmarkStart w:id="156" w:name="_Toc73521577"/>
      <w:bookmarkStart w:id="157" w:name="_Toc73518147"/>
    </w:p>
    <w:p>
      <w:pPr>
        <w:rPr>
          <w:rFonts w:hint="eastAsia" w:ascii="黑体" w:hAnsi="宋体" w:eastAsia="黑体"/>
          <w:sz w:val="24"/>
        </w:rPr>
      </w:pPr>
      <w:r>
        <w:rPr>
          <w:rFonts w:hint="eastAsia" w:ascii="黑体" w:hAnsi="宋体" w:eastAsia="黑体"/>
          <w:sz w:val="24"/>
        </w:rPr>
        <w:t>14．评标会议</w:t>
      </w:r>
    </w:p>
    <w:p>
      <w:pPr>
        <w:ind w:firstLine="411" w:firstLineChars="196"/>
        <w:rPr>
          <w:rFonts w:hint="eastAsia" w:ascii="宋体" w:hAnsi="宋体"/>
        </w:rPr>
      </w:pPr>
      <w:r>
        <w:rPr>
          <w:rFonts w:hint="eastAsia" w:ascii="宋体" w:hAnsi="宋体"/>
        </w:rPr>
        <w:t>14.1评标定标应当遵循公平、公正、科学、择优的原则。</w:t>
      </w:r>
    </w:p>
    <w:p>
      <w:pPr>
        <w:ind w:firstLine="411" w:firstLineChars="196"/>
        <w:rPr>
          <w:rFonts w:hint="eastAsia" w:ascii="宋体" w:hAnsi="宋体"/>
        </w:rPr>
      </w:pPr>
      <w:r>
        <w:rPr>
          <w:rFonts w:hint="eastAsia" w:ascii="宋体" w:hAnsi="宋体"/>
        </w:rPr>
        <w:t>14.2评标活动依法进行，任何单位和个人不得非法干预评标过程和结果。</w:t>
      </w:r>
    </w:p>
    <w:p>
      <w:pPr>
        <w:ind w:firstLine="411" w:firstLineChars="196"/>
        <w:rPr>
          <w:rFonts w:hint="eastAsia" w:ascii="宋体" w:hAnsi="宋体"/>
        </w:rPr>
      </w:pPr>
      <w:r>
        <w:rPr>
          <w:rFonts w:hint="eastAsia" w:ascii="宋体" w:hAnsi="宋体"/>
        </w:rPr>
        <w:t>14.3评标过程中不允许违背评标程序或采用招标文件未载明的评标方法或评标因素进行评标。</w:t>
      </w:r>
    </w:p>
    <w:p>
      <w:pPr>
        <w:rPr>
          <w:rFonts w:hint="eastAsia" w:ascii="宋体" w:hAnsi="宋体"/>
        </w:rPr>
      </w:pPr>
      <w:r>
        <w:rPr>
          <w:rFonts w:hint="eastAsia" w:ascii="黑体" w:hAnsi="宋体" w:eastAsia="黑体"/>
          <w:sz w:val="24"/>
        </w:rPr>
        <w:t>15．独立评标及评标程序</w:t>
      </w:r>
    </w:p>
    <w:p>
      <w:pPr>
        <w:ind w:firstLine="411" w:firstLineChars="196"/>
        <w:rPr>
          <w:rFonts w:hint="eastAsia" w:ascii="宋体" w:hAnsi="宋体"/>
        </w:rPr>
      </w:pPr>
      <w:r>
        <w:rPr>
          <w:rFonts w:hint="eastAsia" w:ascii="宋体" w:hAnsi="宋体"/>
        </w:rPr>
        <w:t>15.1评标委员会成员的评标活动应当独立进行，并应遵循投标文件初审、澄清有关问题、比较与评价、确定中标供应商、编写评标报告的工作程序。</w:t>
      </w:r>
      <w:bookmarkEnd w:id="153"/>
      <w:bookmarkEnd w:id="154"/>
      <w:bookmarkEnd w:id="155"/>
      <w:bookmarkEnd w:id="156"/>
      <w:bookmarkEnd w:id="157"/>
      <w:bookmarkStart w:id="158" w:name="bt评标过程的保密"/>
      <w:bookmarkEnd w:id="158"/>
      <w:bookmarkStart w:id="159" w:name="bt错误的修正"/>
      <w:bookmarkEnd w:id="159"/>
    </w:p>
    <w:p>
      <w:pPr>
        <w:spacing w:line="360" w:lineRule="auto"/>
        <w:rPr>
          <w:rFonts w:hint="eastAsia" w:ascii="黑体" w:hAnsi="宋体" w:eastAsia="黑体"/>
          <w:sz w:val="24"/>
        </w:rPr>
      </w:pPr>
      <w:bookmarkStart w:id="160" w:name="_Toc100052398"/>
      <w:bookmarkStart w:id="161" w:name="_Toc73521579"/>
      <w:bookmarkStart w:id="162" w:name="_Toc73517671"/>
      <w:bookmarkStart w:id="163" w:name="_Toc73518149"/>
      <w:bookmarkStart w:id="164" w:name="_Toc73521667"/>
      <w:r>
        <w:rPr>
          <w:rFonts w:hint="eastAsia" w:ascii="黑体" w:hAnsi="宋体" w:eastAsia="黑体"/>
          <w:sz w:val="24"/>
        </w:rPr>
        <w:t>16．投标文件初审</w:t>
      </w:r>
      <w:bookmarkEnd w:id="160"/>
    </w:p>
    <w:bookmarkEnd w:id="161"/>
    <w:bookmarkEnd w:id="162"/>
    <w:bookmarkEnd w:id="163"/>
    <w:bookmarkEnd w:id="164"/>
    <w:p>
      <w:pPr>
        <w:ind w:firstLine="411" w:firstLineChars="196"/>
        <w:rPr>
          <w:rFonts w:hint="eastAsia" w:ascii="宋体" w:hAnsi="宋体"/>
        </w:rPr>
      </w:pPr>
      <w:bookmarkStart w:id="165" w:name="_Toc100052399"/>
      <w:r>
        <w:rPr>
          <w:rFonts w:hint="eastAsia" w:ascii="宋体" w:hAnsi="宋体"/>
        </w:rPr>
        <w:t>16.1投标文件初审包括资格性审查和符合性审查。资格性审查：依据法律法规和招标文件的规定，对投标文件中的资格证明等进行审查，以确定投标供应商是否具备投标资格。符合性审查：依据招标文件的规定，从投标文件的有效性、完整性和对招标文件的响应程度进行审查，以确定是否对招标文件的实质性要求作出响应。</w:t>
      </w:r>
    </w:p>
    <w:p>
      <w:pPr>
        <w:ind w:firstLine="411" w:firstLineChars="196"/>
        <w:rPr>
          <w:rFonts w:hint="eastAsia" w:ascii="宋体" w:hAnsi="宋体"/>
        </w:rPr>
      </w:pPr>
      <w:r>
        <w:rPr>
          <w:rFonts w:hint="eastAsia" w:ascii="宋体" w:hAnsi="宋体"/>
        </w:rPr>
        <w:t>16.2投标文件初审内容请详见“关键信息”中的《资格性审查表》和《符合性审查表》部分。投标供应商若有一条审查不通过则按投标无效处理。</w:t>
      </w:r>
    </w:p>
    <w:p>
      <w:pPr>
        <w:ind w:firstLine="411" w:firstLineChars="196"/>
        <w:rPr>
          <w:rFonts w:hint="eastAsia" w:ascii="宋体" w:hAnsi="宋体"/>
        </w:rPr>
      </w:pPr>
      <w:r>
        <w:rPr>
          <w:rFonts w:hint="eastAsia" w:ascii="宋体" w:hAnsi="宋体"/>
        </w:rPr>
        <w:t>16.3对不属于《资格性审查表》和《符合性审查表》所列的其他情形，除法律法规另有规定外，不得作为投标无效的理由。</w:t>
      </w:r>
    </w:p>
    <w:p>
      <w:pPr>
        <w:spacing w:line="360" w:lineRule="auto"/>
        <w:rPr>
          <w:rFonts w:hint="eastAsia" w:ascii="黑体" w:hAnsi="宋体" w:eastAsia="黑体"/>
          <w:sz w:val="24"/>
        </w:rPr>
      </w:pPr>
      <w:r>
        <w:rPr>
          <w:rFonts w:hint="eastAsia" w:ascii="黑体" w:hAnsi="宋体" w:eastAsia="黑体"/>
          <w:sz w:val="24"/>
        </w:rPr>
        <w:t>17．澄清有关问题</w:t>
      </w:r>
      <w:bookmarkEnd w:id="165"/>
    </w:p>
    <w:p>
      <w:pPr>
        <w:ind w:firstLine="411" w:firstLineChars="196"/>
        <w:rPr>
          <w:rFonts w:hint="eastAsia" w:ascii="宋体" w:hAnsi="宋体"/>
        </w:rPr>
      </w:pPr>
      <w:bookmarkStart w:id="166" w:name="bt投标文件的澄清"/>
      <w:bookmarkEnd w:id="166"/>
      <w:bookmarkStart w:id="167" w:name="bt投标文件的评估和比较"/>
      <w:bookmarkEnd w:id="167"/>
      <w:bookmarkStart w:id="168" w:name="bt废标"/>
      <w:bookmarkEnd w:id="168"/>
      <w:bookmarkStart w:id="169" w:name="_Hlk71407321"/>
      <w:bookmarkStart w:id="170" w:name="_Toc73518151"/>
      <w:bookmarkStart w:id="171" w:name="_Toc100052400"/>
      <w:bookmarkStart w:id="172" w:name="_Toc73517673"/>
      <w:bookmarkStart w:id="173" w:name="_Toc73521581"/>
      <w:bookmarkStart w:id="174" w:name="_Toc73521669"/>
      <w:bookmarkStart w:id="175" w:name="_Toc73517675"/>
      <w:bookmarkStart w:id="176" w:name="_Toc73521671"/>
      <w:bookmarkStart w:id="177" w:name="_Toc73518153"/>
      <w:bookmarkStart w:id="178" w:name="_Toc73521583"/>
      <w:r>
        <w:rPr>
          <w:rFonts w:hint="eastAsia" w:ascii="宋体" w:hAnsi="宋体"/>
        </w:rPr>
        <w:t>17</w:t>
      </w:r>
      <w:r>
        <w:rPr>
          <w:rFonts w:ascii="宋体" w:hAnsi="宋体"/>
        </w:rPr>
        <w:t>.1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169"/>
    </w:p>
    <w:p>
      <w:pPr>
        <w:ind w:firstLine="411" w:firstLineChars="196"/>
        <w:rPr>
          <w:rFonts w:hint="eastAsia" w:ascii="宋体" w:hAnsi="宋体"/>
        </w:rPr>
      </w:pPr>
      <w:r>
        <w:rPr>
          <w:rFonts w:hint="eastAsia" w:ascii="宋体" w:hAnsi="宋体"/>
        </w:rPr>
        <w:t>17</w:t>
      </w:r>
      <w:r>
        <w:rPr>
          <w:rFonts w:ascii="宋体" w:hAnsi="宋体"/>
        </w:rPr>
        <w:t>.</w:t>
      </w:r>
      <w:r>
        <w:rPr>
          <w:rFonts w:hint="eastAsia" w:ascii="宋体" w:hAnsi="宋体"/>
        </w:rPr>
        <w:t>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ascii="宋体" w:hAnsi="宋体"/>
          <w:szCs w:val="21"/>
        </w:rPr>
        <w:t>深圳公共资源交易中心（深圳交易集团有限公司罗湖分公司）</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pPr>
        <w:ind w:firstLine="411" w:firstLineChars="196"/>
        <w:rPr>
          <w:rFonts w:hint="eastAsia" w:ascii="宋体" w:hAnsi="宋体"/>
          <w:color w:val="FF0000"/>
        </w:rPr>
      </w:pPr>
      <w:r>
        <w:rPr>
          <w:rFonts w:hint="eastAsia" w:ascii="宋体" w:hAnsi="宋体"/>
        </w:rPr>
        <w:t>17</w:t>
      </w:r>
      <w:r>
        <w:rPr>
          <w:rFonts w:ascii="宋体" w:hAnsi="宋体"/>
        </w:rPr>
        <w:t>.</w:t>
      </w:r>
      <w:r>
        <w:rPr>
          <w:rFonts w:hint="eastAsia" w:ascii="宋体" w:hAnsi="宋体"/>
        </w:rPr>
        <w:t>3</w:t>
      </w:r>
      <w:r>
        <w:rPr>
          <w:rFonts w:hint="eastAsia" w:ascii="宋体" w:hAnsi="宋体"/>
          <w:szCs w:val="21"/>
        </w:rPr>
        <w:t>对于投标文件中含义不明确、同类问题表述不一致或者有明显文字和计算错误的内容，评标委员会应当以书面形式要求投标供应商作出必要的澄清、说明或者补正。</w:t>
      </w:r>
    </w:p>
    <w:p>
      <w:pPr>
        <w:ind w:firstLine="411" w:firstLineChars="196"/>
        <w:rPr>
          <w:rFonts w:hint="eastAsia" w:ascii="宋体" w:hAnsi="宋体"/>
          <w:szCs w:val="21"/>
        </w:rPr>
      </w:pPr>
      <w:r>
        <w:rPr>
          <w:rFonts w:hint="eastAsia" w:ascii="宋体" w:hAnsi="宋体"/>
          <w:szCs w:val="21"/>
        </w:rPr>
        <w:t>投标供应商的澄清、说明或者补正应当采用书面形式，并加盖公章，或者由法定代表人或其授权的代表签字。投标供应商的澄清、说明或者补正不得超出投标文件的范围或者改变投标文件的实质性内容。</w:t>
      </w:r>
    </w:p>
    <w:p>
      <w:pPr>
        <w:pStyle w:val="32"/>
        <w:ind w:left="0" w:leftChars="0"/>
      </w:pPr>
      <w:r>
        <w:rPr>
          <w:rFonts w:hint="eastAsia"/>
        </w:rPr>
        <w:t>根据本通用条款第18条，凡属于评审委员会在评审中发现的算术错误进行核实的修改不在此列。</w:t>
      </w:r>
    </w:p>
    <w:p>
      <w:pPr>
        <w:spacing w:line="360" w:lineRule="auto"/>
        <w:rPr>
          <w:rFonts w:hint="eastAsia" w:ascii="黑体" w:hAnsi="宋体" w:eastAsia="黑体"/>
          <w:sz w:val="24"/>
        </w:rPr>
      </w:pPr>
      <w:r>
        <w:rPr>
          <w:rFonts w:hint="eastAsia" w:ascii="黑体" w:hAnsi="宋体" w:eastAsia="黑体"/>
          <w:sz w:val="24"/>
        </w:rPr>
        <w:t>18．错误的修正</w:t>
      </w:r>
      <w:bookmarkEnd w:id="170"/>
      <w:bookmarkEnd w:id="171"/>
      <w:bookmarkEnd w:id="172"/>
      <w:bookmarkEnd w:id="173"/>
      <w:bookmarkEnd w:id="174"/>
    </w:p>
    <w:p>
      <w:pPr>
        <w:ind w:firstLine="411" w:firstLineChars="196"/>
        <w:rPr>
          <w:rFonts w:hint="eastAsia" w:ascii="宋体" w:hAnsi="宋体"/>
          <w:szCs w:val="21"/>
        </w:rPr>
      </w:pPr>
      <w:r>
        <w:rPr>
          <w:rFonts w:hint="eastAsia" w:ascii="宋体" w:hAnsi="宋体"/>
          <w:szCs w:val="21"/>
        </w:rPr>
        <w:t>投标文件报价出现前后不一致的，除招标文件另有规定外，按照下列规定修正：</w:t>
      </w:r>
    </w:p>
    <w:p>
      <w:pPr>
        <w:ind w:firstLine="411" w:firstLineChars="196"/>
        <w:rPr>
          <w:rFonts w:hint="eastAsia" w:ascii="宋体" w:hAnsi="宋体"/>
          <w:szCs w:val="21"/>
        </w:rPr>
      </w:pPr>
      <w:r>
        <w:rPr>
          <w:rFonts w:hint="eastAsia" w:ascii="宋体" w:hAnsi="宋体"/>
          <w:szCs w:val="21"/>
        </w:rPr>
        <w:t>18.1投标文件中开标一览表内容与投标文件中相应内容不一致的，以开标一览表为准；</w:t>
      </w:r>
    </w:p>
    <w:p>
      <w:pPr>
        <w:ind w:firstLine="411" w:firstLineChars="196"/>
        <w:rPr>
          <w:rFonts w:hint="eastAsia" w:ascii="宋体" w:hAnsi="宋体"/>
          <w:szCs w:val="21"/>
        </w:rPr>
      </w:pPr>
      <w:r>
        <w:rPr>
          <w:rFonts w:hint="eastAsia" w:ascii="宋体" w:hAnsi="宋体"/>
          <w:szCs w:val="21"/>
        </w:rPr>
        <w:t>18.2大写金额和小写金额不一致的，以大写金额为准；</w:t>
      </w:r>
    </w:p>
    <w:p>
      <w:pPr>
        <w:ind w:firstLine="411" w:firstLineChars="196"/>
        <w:rPr>
          <w:rFonts w:hint="eastAsia" w:ascii="宋体" w:hAnsi="宋体"/>
          <w:szCs w:val="21"/>
        </w:rPr>
      </w:pPr>
      <w:r>
        <w:rPr>
          <w:rFonts w:hint="eastAsia" w:ascii="宋体" w:hAnsi="宋体"/>
          <w:szCs w:val="21"/>
        </w:rPr>
        <w:t>18.3单价金额小数点或者百分比有明显错位，以开标一览表的总价为准，并修改单价；</w:t>
      </w:r>
    </w:p>
    <w:p>
      <w:pPr>
        <w:ind w:firstLine="411" w:firstLineChars="196"/>
        <w:rPr>
          <w:rFonts w:hint="eastAsia" w:ascii="宋体" w:hAnsi="宋体"/>
          <w:szCs w:val="21"/>
        </w:rPr>
      </w:pPr>
      <w:r>
        <w:rPr>
          <w:rFonts w:hint="eastAsia" w:ascii="宋体" w:hAnsi="宋体"/>
          <w:szCs w:val="21"/>
        </w:rPr>
        <w:t>18.4总价金额与按单价汇总金额不一致的，以单价金额计算结果为准。</w:t>
      </w:r>
    </w:p>
    <w:p>
      <w:pPr>
        <w:ind w:firstLine="411" w:firstLineChars="196"/>
        <w:rPr>
          <w:rFonts w:hint="eastAsia" w:ascii="宋体" w:hAnsi="宋体"/>
          <w:szCs w:val="21"/>
        </w:rPr>
      </w:pPr>
      <w:r>
        <w:rPr>
          <w:rFonts w:hint="eastAsia" w:ascii="宋体" w:hAnsi="宋体"/>
          <w:szCs w:val="21"/>
        </w:rPr>
        <w:t>18.5同时出现两种以上不一致的，按照前款规定的顺序修正。修正后的报价按照第17条规定，经投标供应商确认后产生约束力，投标人不确认的，其投标无效。</w:t>
      </w:r>
      <w:bookmarkEnd w:id="175"/>
      <w:bookmarkEnd w:id="176"/>
      <w:bookmarkEnd w:id="177"/>
      <w:bookmarkEnd w:id="178"/>
      <w:bookmarkStart w:id="179" w:name="_Toc100052402"/>
    </w:p>
    <w:p>
      <w:pPr>
        <w:spacing w:line="360" w:lineRule="auto"/>
        <w:rPr>
          <w:rFonts w:hint="eastAsia" w:ascii="黑体" w:hAnsi="宋体" w:eastAsia="黑体"/>
          <w:sz w:val="24"/>
        </w:rPr>
      </w:pPr>
      <w:r>
        <w:rPr>
          <w:rFonts w:hint="eastAsia" w:ascii="黑体" w:hAnsi="宋体" w:eastAsia="黑体"/>
          <w:sz w:val="24"/>
        </w:rPr>
        <w:t>19．评标方法</w:t>
      </w:r>
      <w:bookmarkEnd w:id="179"/>
      <w:bookmarkStart w:id="180" w:name="_Toc73521585"/>
      <w:bookmarkStart w:id="181" w:name="_Toc73521673"/>
      <w:bookmarkStart w:id="182" w:name="_Toc73518155"/>
      <w:bookmarkStart w:id="183" w:name="_Toc60560665"/>
      <w:bookmarkStart w:id="184" w:name="_Toc73517677"/>
      <w:bookmarkStart w:id="185" w:name="_Toc100052403"/>
      <w:bookmarkStart w:id="186" w:name="_Toc60631660"/>
    </w:p>
    <w:p>
      <w:pPr>
        <w:spacing w:line="360" w:lineRule="auto"/>
        <w:ind w:firstLine="420" w:firstLineChars="200"/>
        <w:rPr>
          <w:rFonts w:hint="eastAsia" w:ascii="宋体" w:hAnsi="宋体"/>
          <w:szCs w:val="21"/>
        </w:rPr>
      </w:pPr>
      <w:r>
        <w:rPr>
          <w:rFonts w:hint="eastAsia" w:ascii="宋体" w:hAnsi="宋体"/>
          <w:szCs w:val="21"/>
        </w:rPr>
        <w:t>本项目采用评标方法详见招标文件中的《评标信息》部分。</w:t>
      </w:r>
    </w:p>
    <w:p>
      <w:pPr>
        <w:spacing w:line="360" w:lineRule="auto"/>
        <w:rPr>
          <w:rFonts w:hint="eastAsia" w:ascii="黑体" w:hAnsi="宋体" w:eastAsia="黑体"/>
          <w:sz w:val="24"/>
        </w:rPr>
      </w:pPr>
      <w:r>
        <w:rPr>
          <w:rFonts w:hint="eastAsia" w:ascii="黑体" w:hAnsi="宋体" w:eastAsia="黑体"/>
          <w:sz w:val="24"/>
        </w:rPr>
        <w:t>20．定标</w:t>
      </w:r>
      <w:bookmarkEnd w:id="180"/>
      <w:bookmarkEnd w:id="181"/>
      <w:bookmarkEnd w:id="182"/>
      <w:bookmarkEnd w:id="183"/>
      <w:bookmarkEnd w:id="184"/>
      <w:bookmarkEnd w:id="185"/>
      <w:bookmarkEnd w:id="186"/>
    </w:p>
    <w:p>
      <w:pPr>
        <w:ind w:firstLine="411" w:firstLineChars="196"/>
        <w:rPr>
          <w:rFonts w:hint="eastAsia" w:ascii="宋体" w:hAnsi="宋体"/>
          <w:szCs w:val="21"/>
        </w:rPr>
      </w:pPr>
      <w:bookmarkStart w:id="187" w:name="_Toc100052404"/>
      <w:r>
        <w:rPr>
          <w:rFonts w:hint="eastAsia" w:ascii="宋体" w:hAnsi="宋体"/>
          <w:szCs w:val="21"/>
        </w:rPr>
        <w:t>本项目采用定标方法详见招标文件中的《定标方法》部分。</w:t>
      </w:r>
    </w:p>
    <w:p>
      <w:pPr>
        <w:spacing w:line="360" w:lineRule="auto"/>
        <w:rPr>
          <w:rFonts w:hint="eastAsia" w:ascii="黑体" w:hAnsi="宋体" w:eastAsia="黑体"/>
          <w:sz w:val="24"/>
        </w:rPr>
      </w:pPr>
      <w:r>
        <w:rPr>
          <w:rFonts w:hint="eastAsia" w:ascii="黑体" w:hAnsi="宋体" w:eastAsia="黑体"/>
          <w:sz w:val="24"/>
        </w:rPr>
        <w:t>21．编写评标报告</w:t>
      </w:r>
      <w:bookmarkEnd w:id="187"/>
    </w:p>
    <w:p>
      <w:pPr>
        <w:ind w:firstLine="411" w:firstLineChars="196"/>
        <w:rPr>
          <w:rFonts w:hint="eastAsia" w:ascii="宋体" w:hAnsi="宋体"/>
          <w:szCs w:val="21"/>
        </w:rPr>
      </w:pPr>
      <w:r>
        <w:rPr>
          <w:rFonts w:hint="eastAsia" w:ascii="宋体" w:hAnsi="宋体"/>
          <w:szCs w:val="21"/>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做出书面说明并记录在案。</w:t>
      </w:r>
    </w:p>
    <w:p>
      <w:pPr>
        <w:spacing w:line="360" w:lineRule="auto"/>
        <w:rPr>
          <w:rFonts w:hint="eastAsia" w:ascii="黑体" w:hAnsi="宋体" w:eastAsia="黑体"/>
          <w:sz w:val="24"/>
        </w:rPr>
      </w:pPr>
      <w:bookmarkStart w:id="188" w:name="_Toc73521676"/>
      <w:bookmarkStart w:id="189" w:name="_Toc73518159"/>
      <w:bookmarkStart w:id="190" w:name="_Toc73517681"/>
      <w:bookmarkStart w:id="191" w:name="_Toc100052405"/>
      <w:bookmarkStart w:id="192" w:name="_Toc73521588"/>
      <w:r>
        <w:rPr>
          <w:rFonts w:hint="eastAsia" w:ascii="黑体" w:hAnsi="宋体" w:eastAsia="黑体"/>
          <w:sz w:val="24"/>
        </w:rPr>
        <w:t>22．</w:t>
      </w:r>
      <w:bookmarkEnd w:id="188"/>
      <w:bookmarkEnd w:id="189"/>
      <w:bookmarkEnd w:id="190"/>
      <w:bookmarkEnd w:id="191"/>
      <w:bookmarkEnd w:id="192"/>
      <w:r>
        <w:rPr>
          <w:rFonts w:hint="eastAsia" w:ascii="黑体" w:hAnsi="宋体" w:eastAsia="黑体"/>
          <w:sz w:val="24"/>
        </w:rPr>
        <w:t>中标（成交）公告</w:t>
      </w:r>
    </w:p>
    <w:p>
      <w:pPr>
        <w:ind w:firstLine="411" w:firstLineChars="196"/>
        <w:rPr>
          <w:rFonts w:hint="eastAsia" w:ascii="宋体" w:hAnsi="宋体"/>
          <w:szCs w:val="21"/>
        </w:rPr>
      </w:pPr>
      <w:r>
        <w:rPr>
          <w:rFonts w:hint="eastAsia" w:ascii="宋体" w:hAnsi="宋体"/>
          <w:szCs w:val="21"/>
        </w:rPr>
        <w:t>22.1</w:t>
      </w:r>
      <w:bookmarkStart w:id="193" w:name="OLE_LINK5"/>
      <w:r>
        <w:rPr>
          <w:rFonts w:hint="eastAsia" w:ascii="宋体" w:hAnsi="宋体"/>
          <w:szCs w:val="21"/>
        </w:rPr>
        <w:t>为体现“公开、公平、公正”的原则，评标结束后，深圳公共资源交易中心（深圳交易集团有限公司罗湖分公司）将在</w:t>
      </w:r>
      <w:r>
        <w:rPr>
          <w:rFonts w:hint="eastAsia" w:ascii="宋体" w:hAnsi="宋体"/>
          <w:color w:val="FF0000"/>
          <w:szCs w:val="21"/>
        </w:rPr>
        <w:t>深圳交易集团罗湖分公司官网（https://lh.szexgrp.com/jyfw/zfcg-view.html?id=zfcg）</w:t>
      </w:r>
      <w:r>
        <w:rPr>
          <w:rFonts w:hint="eastAsia" w:ascii="宋体" w:hAnsi="宋体"/>
          <w:szCs w:val="21"/>
        </w:rPr>
        <w:t>上发布中标（成交）结果公告。</w:t>
      </w:r>
      <w:bookmarkEnd w:id="193"/>
    </w:p>
    <w:p>
      <w:pPr>
        <w:spacing w:line="360" w:lineRule="auto"/>
        <w:rPr>
          <w:rFonts w:hint="eastAsia" w:ascii="黑体" w:hAnsi="宋体" w:eastAsia="黑体"/>
          <w:sz w:val="24"/>
        </w:rPr>
      </w:pPr>
      <w:bookmarkStart w:id="194" w:name="_Toc100052406"/>
      <w:r>
        <w:rPr>
          <w:rFonts w:hint="eastAsia" w:ascii="黑体" w:hAnsi="宋体" w:eastAsia="黑体"/>
          <w:sz w:val="24"/>
        </w:rPr>
        <w:t>23．中标（成交）通知书</w:t>
      </w:r>
      <w:bookmarkEnd w:id="194"/>
    </w:p>
    <w:p>
      <w:pPr>
        <w:ind w:firstLine="411" w:firstLineChars="196"/>
        <w:rPr>
          <w:rFonts w:hint="eastAsia" w:ascii="宋体" w:hAnsi="宋体"/>
          <w:szCs w:val="21"/>
        </w:rPr>
      </w:pPr>
      <w:r>
        <w:rPr>
          <w:rFonts w:hint="eastAsia" w:ascii="宋体" w:hAnsi="宋体"/>
          <w:szCs w:val="21"/>
        </w:rPr>
        <w:t>23</w:t>
      </w:r>
      <w:r>
        <w:rPr>
          <w:rFonts w:ascii="宋体" w:hAnsi="宋体"/>
          <w:szCs w:val="21"/>
        </w:rPr>
        <w:t>.</w:t>
      </w:r>
      <w:r>
        <w:rPr>
          <w:rFonts w:hint="eastAsia" w:ascii="宋体" w:hAnsi="宋体"/>
          <w:szCs w:val="21"/>
        </w:rPr>
        <w:t>1</w:t>
      </w:r>
      <w:bookmarkStart w:id="195" w:name="OLE_LINK40"/>
      <w:r>
        <w:rPr>
          <w:rFonts w:hint="eastAsia" w:ascii="宋体" w:hAnsi="宋体" w:cs="宋体"/>
          <w:color w:val="000000"/>
          <w:kern w:val="0"/>
          <w:szCs w:val="21"/>
        </w:rPr>
        <w:t>中标（成交）公告发布并公示1个工作日后，</w:t>
      </w:r>
      <w:bookmarkEnd w:id="195"/>
      <w:r>
        <w:rPr>
          <w:rFonts w:hint="eastAsia" w:ascii="宋体" w:hAnsi="宋体" w:cs="宋体"/>
          <w:color w:val="000000"/>
          <w:kern w:val="0"/>
          <w:szCs w:val="21"/>
        </w:rPr>
        <w:t>公示期满无异议或者异议不成立的，中标人向深圳公共资源交易中心（深圳交易集团有限公司罗湖分公司）缴纳代理服务费后</w:t>
      </w:r>
      <w:r>
        <w:rPr>
          <w:rFonts w:hint="eastAsia" w:ascii="宋体" w:hAnsi="宋体" w:cs="宋体"/>
          <w:kern w:val="0"/>
          <w:szCs w:val="21"/>
        </w:rPr>
        <w:t>，</w:t>
      </w:r>
      <w:r>
        <w:rPr>
          <w:rFonts w:hint="eastAsia" w:ascii="宋体" w:hAnsi="宋体" w:cs="宋体"/>
          <w:szCs w:val="21"/>
        </w:rPr>
        <w:t>方可领取《中标（成交）通知书》</w:t>
      </w:r>
      <w:r>
        <w:rPr>
          <w:rFonts w:hint="eastAsia" w:ascii="宋体" w:hAnsi="宋体" w:cs="宋体"/>
          <w:kern w:val="0"/>
          <w:szCs w:val="21"/>
        </w:rPr>
        <w:t>。</w:t>
      </w:r>
    </w:p>
    <w:p>
      <w:pPr>
        <w:ind w:firstLine="411" w:firstLineChars="196"/>
        <w:rPr>
          <w:rFonts w:hint="eastAsia" w:ascii="宋体" w:hAnsi="宋体"/>
          <w:szCs w:val="21"/>
        </w:rPr>
      </w:pPr>
      <w:r>
        <w:rPr>
          <w:rFonts w:hint="eastAsia" w:ascii="宋体" w:hAnsi="宋体"/>
          <w:color w:val="FF0000"/>
          <w:szCs w:val="21"/>
        </w:rPr>
        <w:t>23.2因质疑投诉或其它原因导致项目结果变更或采购终止的，深圳公共资源交易中心（深圳交易集团有限公司罗湖分公司）有权收回中标（成交）通知书。</w:t>
      </w:r>
    </w:p>
    <w:p>
      <w:pPr>
        <w:jc w:val="center"/>
      </w:pPr>
      <w:bookmarkStart w:id="196" w:name="bt合同的授予"/>
      <w:bookmarkEnd w:id="196"/>
      <w:r>
        <w:t>---- END ----</w:t>
      </w:r>
    </w:p>
    <w:p/>
    <w:sectPr>
      <w:footerReference r:id="rId3"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6691019"/>
    </w:sdtPr>
    <w:sdtContent>
      <w:sdt>
        <w:sdtPr>
          <w:id w:val="-1"/>
        </w:sdtPr>
        <w:sdtContent>
          <w:p>
            <w:pPr>
              <w:pStyle w:val="2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pPr>
      <w:pStyle w:val="2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358C2E"/>
    <w:multiLevelType w:val="singleLevel"/>
    <w:tmpl w:val="B9358C2E"/>
    <w:lvl w:ilvl="0" w:tentative="0">
      <w:start w:val="2"/>
      <w:numFmt w:val="decimal"/>
      <w:suff w:val="nothing"/>
      <w:lvlText w:val="%1、"/>
      <w:lvlJc w:val="left"/>
    </w:lvl>
  </w:abstractNum>
  <w:abstractNum w:abstractNumId="1">
    <w:nsid w:val="F728E587"/>
    <w:multiLevelType w:val="singleLevel"/>
    <w:tmpl w:val="F728E587"/>
    <w:lvl w:ilvl="0" w:tentative="0">
      <w:start w:val="2"/>
      <w:numFmt w:val="chineseCounting"/>
      <w:suff w:val="nothing"/>
      <w:lvlText w:val="（%1）"/>
      <w:lvlJc w:val="left"/>
      <w:rPr>
        <w:rFonts w:hint="eastAsia"/>
      </w:rPr>
    </w:lvl>
  </w:abstractNum>
  <w:abstractNum w:abstractNumId="2">
    <w:nsid w:val="2CCFBEDA"/>
    <w:multiLevelType w:val="singleLevel"/>
    <w:tmpl w:val="2CCFBEDA"/>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4OGYzZWRkYWFlOTUxNDA2M2UzOTg0MDNkZjZlN2UifQ=="/>
  </w:docVars>
  <w:rsids>
    <w:rsidRoot w:val="008B57C1"/>
    <w:rsid w:val="00006DCC"/>
    <w:rsid w:val="00015FFC"/>
    <w:rsid w:val="000332F9"/>
    <w:rsid w:val="00041B6D"/>
    <w:rsid w:val="000447CC"/>
    <w:rsid w:val="0004556E"/>
    <w:rsid w:val="00046F51"/>
    <w:rsid w:val="000474BA"/>
    <w:rsid w:val="000553BC"/>
    <w:rsid w:val="00055E0E"/>
    <w:rsid w:val="00060D62"/>
    <w:rsid w:val="00061A75"/>
    <w:rsid w:val="00062B7D"/>
    <w:rsid w:val="00071926"/>
    <w:rsid w:val="00071E9D"/>
    <w:rsid w:val="00072FB9"/>
    <w:rsid w:val="00074C40"/>
    <w:rsid w:val="00085E1B"/>
    <w:rsid w:val="00090BAD"/>
    <w:rsid w:val="0009178A"/>
    <w:rsid w:val="000940F5"/>
    <w:rsid w:val="00097E91"/>
    <w:rsid w:val="000B0720"/>
    <w:rsid w:val="000B5EB0"/>
    <w:rsid w:val="000B7C57"/>
    <w:rsid w:val="000B7EDA"/>
    <w:rsid w:val="000C39D5"/>
    <w:rsid w:val="000C418B"/>
    <w:rsid w:val="000D2A69"/>
    <w:rsid w:val="000E40B0"/>
    <w:rsid w:val="000E6620"/>
    <w:rsid w:val="000F1EAC"/>
    <w:rsid w:val="00101CAE"/>
    <w:rsid w:val="001035DF"/>
    <w:rsid w:val="0010789C"/>
    <w:rsid w:val="00115BE9"/>
    <w:rsid w:val="001228D7"/>
    <w:rsid w:val="00126A9D"/>
    <w:rsid w:val="001366C2"/>
    <w:rsid w:val="00136AA2"/>
    <w:rsid w:val="00141D10"/>
    <w:rsid w:val="001750D1"/>
    <w:rsid w:val="0017658C"/>
    <w:rsid w:val="00181DFB"/>
    <w:rsid w:val="001A55D2"/>
    <w:rsid w:val="001A6BFB"/>
    <w:rsid w:val="001B26F0"/>
    <w:rsid w:val="001B6133"/>
    <w:rsid w:val="001C0B1F"/>
    <w:rsid w:val="001C101D"/>
    <w:rsid w:val="001C74B9"/>
    <w:rsid w:val="001D1C51"/>
    <w:rsid w:val="001D524F"/>
    <w:rsid w:val="001E2B18"/>
    <w:rsid w:val="001E3A48"/>
    <w:rsid w:val="001F0B2F"/>
    <w:rsid w:val="002073F0"/>
    <w:rsid w:val="00213513"/>
    <w:rsid w:val="00220F0B"/>
    <w:rsid w:val="00231FA4"/>
    <w:rsid w:val="00242AED"/>
    <w:rsid w:val="0024346D"/>
    <w:rsid w:val="002535F9"/>
    <w:rsid w:val="00261F71"/>
    <w:rsid w:val="00262EFD"/>
    <w:rsid w:val="0026696C"/>
    <w:rsid w:val="00267157"/>
    <w:rsid w:val="00277B1B"/>
    <w:rsid w:val="0029407B"/>
    <w:rsid w:val="00296FF8"/>
    <w:rsid w:val="002A761B"/>
    <w:rsid w:val="002B09B2"/>
    <w:rsid w:val="002B38A4"/>
    <w:rsid w:val="002B3E9D"/>
    <w:rsid w:val="002B5E7E"/>
    <w:rsid w:val="002B60A9"/>
    <w:rsid w:val="002B6B39"/>
    <w:rsid w:val="002C1BBD"/>
    <w:rsid w:val="002C3220"/>
    <w:rsid w:val="002D2995"/>
    <w:rsid w:val="002F6203"/>
    <w:rsid w:val="0032056A"/>
    <w:rsid w:val="00321CF0"/>
    <w:rsid w:val="00322596"/>
    <w:rsid w:val="003247E6"/>
    <w:rsid w:val="0033274B"/>
    <w:rsid w:val="00332AB5"/>
    <w:rsid w:val="0033530B"/>
    <w:rsid w:val="00336414"/>
    <w:rsid w:val="00342021"/>
    <w:rsid w:val="00342BF0"/>
    <w:rsid w:val="003570DD"/>
    <w:rsid w:val="00363E5C"/>
    <w:rsid w:val="00364DAF"/>
    <w:rsid w:val="00370E1F"/>
    <w:rsid w:val="003719AC"/>
    <w:rsid w:val="00374F61"/>
    <w:rsid w:val="00377A38"/>
    <w:rsid w:val="00377A8E"/>
    <w:rsid w:val="00384DAC"/>
    <w:rsid w:val="00385551"/>
    <w:rsid w:val="003A06F2"/>
    <w:rsid w:val="003A0F7D"/>
    <w:rsid w:val="003B25CB"/>
    <w:rsid w:val="003B415C"/>
    <w:rsid w:val="003C09D0"/>
    <w:rsid w:val="003C1A5A"/>
    <w:rsid w:val="003C23B3"/>
    <w:rsid w:val="003C726E"/>
    <w:rsid w:val="003C7FFD"/>
    <w:rsid w:val="003D36CF"/>
    <w:rsid w:val="003D3B33"/>
    <w:rsid w:val="003E0D03"/>
    <w:rsid w:val="003E1E7E"/>
    <w:rsid w:val="003E4A7B"/>
    <w:rsid w:val="003E7177"/>
    <w:rsid w:val="003F13B5"/>
    <w:rsid w:val="003F311E"/>
    <w:rsid w:val="003F40FA"/>
    <w:rsid w:val="0040557E"/>
    <w:rsid w:val="00410A72"/>
    <w:rsid w:val="0041701F"/>
    <w:rsid w:val="004220FC"/>
    <w:rsid w:val="00423DAC"/>
    <w:rsid w:val="004335DD"/>
    <w:rsid w:val="0043399E"/>
    <w:rsid w:val="00433DAD"/>
    <w:rsid w:val="00436BCA"/>
    <w:rsid w:val="00436F3B"/>
    <w:rsid w:val="00442F3A"/>
    <w:rsid w:val="004476B8"/>
    <w:rsid w:val="0045488F"/>
    <w:rsid w:val="00461F91"/>
    <w:rsid w:val="00464EAC"/>
    <w:rsid w:val="00470795"/>
    <w:rsid w:val="00472B96"/>
    <w:rsid w:val="004765C2"/>
    <w:rsid w:val="0048288E"/>
    <w:rsid w:val="0048372D"/>
    <w:rsid w:val="00483E24"/>
    <w:rsid w:val="0048695B"/>
    <w:rsid w:val="004878E3"/>
    <w:rsid w:val="00487A9A"/>
    <w:rsid w:val="00490DAC"/>
    <w:rsid w:val="00491CD6"/>
    <w:rsid w:val="004937AD"/>
    <w:rsid w:val="004A3413"/>
    <w:rsid w:val="004A7E88"/>
    <w:rsid w:val="004B023E"/>
    <w:rsid w:val="004B20CF"/>
    <w:rsid w:val="004B3D4D"/>
    <w:rsid w:val="004B4BB7"/>
    <w:rsid w:val="004B78CB"/>
    <w:rsid w:val="004C0098"/>
    <w:rsid w:val="004D449E"/>
    <w:rsid w:val="004D5B21"/>
    <w:rsid w:val="004F23A6"/>
    <w:rsid w:val="004F3E38"/>
    <w:rsid w:val="00500281"/>
    <w:rsid w:val="005031A0"/>
    <w:rsid w:val="00511D4E"/>
    <w:rsid w:val="00516293"/>
    <w:rsid w:val="00526FC5"/>
    <w:rsid w:val="00527ABB"/>
    <w:rsid w:val="00532F97"/>
    <w:rsid w:val="005461B9"/>
    <w:rsid w:val="00553C76"/>
    <w:rsid w:val="00554174"/>
    <w:rsid w:val="005541CC"/>
    <w:rsid w:val="00555335"/>
    <w:rsid w:val="00556FA0"/>
    <w:rsid w:val="005641B6"/>
    <w:rsid w:val="00567CE1"/>
    <w:rsid w:val="00574065"/>
    <w:rsid w:val="00576476"/>
    <w:rsid w:val="00582F3D"/>
    <w:rsid w:val="00584A41"/>
    <w:rsid w:val="005A0521"/>
    <w:rsid w:val="005A2C3A"/>
    <w:rsid w:val="005A3859"/>
    <w:rsid w:val="005A72CF"/>
    <w:rsid w:val="005C1502"/>
    <w:rsid w:val="005C2E8A"/>
    <w:rsid w:val="005C52A7"/>
    <w:rsid w:val="005C6DAA"/>
    <w:rsid w:val="005D0421"/>
    <w:rsid w:val="005D0F06"/>
    <w:rsid w:val="005D3DCC"/>
    <w:rsid w:val="005E075E"/>
    <w:rsid w:val="005E397F"/>
    <w:rsid w:val="005E44F1"/>
    <w:rsid w:val="005E7AF0"/>
    <w:rsid w:val="005F1249"/>
    <w:rsid w:val="005F1C2C"/>
    <w:rsid w:val="005F3D27"/>
    <w:rsid w:val="005F63B3"/>
    <w:rsid w:val="005F6786"/>
    <w:rsid w:val="005F785D"/>
    <w:rsid w:val="00600944"/>
    <w:rsid w:val="00620E17"/>
    <w:rsid w:val="0062351E"/>
    <w:rsid w:val="00630D6A"/>
    <w:rsid w:val="00640119"/>
    <w:rsid w:val="006446B2"/>
    <w:rsid w:val="00644BD6"/>
    <w:rsid w:val="00647436"/>
    <w:rsid w:val="00651C90"/>
    <w:rsid w:val="00657E06"/>
    <w:rsid w:val="006626AF"/>
    <w:rsid w:val="00666D15"/>
    <w:rsid w:val="00676E64"/>
    <w:rsid w:val="006873B7"/>
    <w:rsid w:val="006A11F3"/>
    <w:rsid w:val="006A1C7E"/>
    <w:rsid w:val="006B3B4D"/>
    <w:rsid w:val="006B77F0"/>
    <w:rsid w:val="006C3229"/>
    <w:rsid w:val="006D5EA0"/>
    <w:rsid w:val="006E00F4"/>
    <w:rsid w:val="006E0FD8"/>
    <w:rsid w:val="006F1CB8"/>
    <w:rsid w:val="006F30DB"/>
    <w:rsid w:val="006F644C"/>
    <w:rsid w:val="006F7133"/>
    <w:rsid w:val="006F7EC1"/>
    <w:rsid w:val="007006BF"/>
    <w:rsid w:val="00700E83"/>
    <w:rsid w:val="00713D6B"/>
    <w:rsid w:val="0071532B"/>
    <w:rsid w:val="0072018B"/>
    <w:rsid w:val="007313DB"/>
    <w:rsid w:val="0073343E"/>
    <w:rsid w:val="0074088A"/>
    <w:rsid w:val="00743ADF"/>
    <w:rsid w:val="00760951"/>
    <w:rsid w:val="00761F17"/>
    <w:rsid w:val="00764C94"/>
    <w:rsid w:val="007664C6"/>
    <w:rsid w:val="007704DD"/>
    <w:rsid w:val="00775236"/>
    <w:rsid w:val="00782DA2"/>
    <w:rsid w:val="00783DE1"/>
    <w:rsid w:val="007919E5"/>
    <w:rsid w:val="0079727E"/>
    <w:rsid w:val="007972F4"/>
    <w:rsid w:val="007A13A8"/>
    <w:rsid w:val="007A3794"/>
    <w:rsid w:val="007A3B38"/>
    <w:rsid w:val="007A6768"/>
    <w:rsid w:val="007B0104"/>
    <w:rsid w:val="007B0426"/>
    <w:rsid w:val="007B07B8"/>
    <w:rsid w:val="007B283B"/>
    <w:rsid w:val="007B7D74"/>
    <w:rsid w:val="007C34AB"/>
    <w:rsid w:val="007D2A41"/>
    <w:rsid w:val="007D3F35"/>
    <w:rsid w:val="007E0E98"/>
    <w:rsid w:val="007E4543"/>
    <w:rsid w:val="007F75BF"/>
    <w:rsid w:val="00810818"/>
    <w:rsid w:val="00824E74"/>
    <w:rsid w:val="0083634D"/>
    <w:rsid w:val="00846914"/>
    <w:rsid w:val="00864CD6"/>
    <w:rsid w:val="00871D97"/>
    <w:rsid w:val="008724D1"/>
    <w:rsid w:val="008752D7"/>
    <w:rsid w:val="0088110B"/>
    <w:rsid w:val="0088203F"/>
    <w:rsid w:val="0088699C"/>
    <w:rsid w:val="008877FB"/>
    <w:rsid w:val="00887BEB"/>
    <w:rsid w:val="008900F7"/>
    <w:rsid w:val="00895686"/>
    <w:rsid w:val="008A22EF"/>
    <w:rsid w:val="008A2C84"/>
    <w:rsid w:val="008A3430"/>
    <w:rsid w:val="008B0C86"/>
    <w:rsid w:val="008B28A5"/>
    <w:rsid w:val="008B57C1"/>
    <w:rsid w:val="008B7FC3"/>
    <w:rsid w:val="008C6C60"/>
    <w:rsid w:val="008D0AD4"/>
    <w:rsid w:val="008D2771"/>
    <w:rsid w:val="008D489A"/>
    <w:rsid w:val="008D5D21"/>
    <w:rsid w:val="008E293D"/>
    <w:rsid w:val="008E58DD"/>
    <w:rsid w:val="008F1DD2"/>
    <w:rsid w:val="00910FF2"/>
    <w:rsid w:val="00912B34"/>
    <w:rsid w:val="00914754"/>
    <w:rsid w:val="009151E7"/>
    <w:rsid w:val="009238A9"/>
    <w:rsid w:val="00923953"/>
    <w:rsid w:val="009246B3"/>
    <w:rsid w:val="009316C1"/>
    <w:rsid w:val="0093237D"/>
    <w:rsid w:val="00945616"/>
    <w:rsid w:val="00951225"/>
    <w:rsid w:val="0095588D"/>
    <w:rsid w:val="009724DA"/>
    <w:rsid w:val="0097491F"/>
    <w:rsid w:val="00977ED6"/>
    <w:rsid w:val="00983644"/>
    <w:rsid w:val="009869B0"/>
    <w:rsid w:val="009919D7"/>
    <w:rsid w:val="009A6FE8"/>
    <w:rsid w:val="009C3A8D"/>
    <w:rsid w:val="009D49CC"/>
    <w:rsid w:val="009F1D2D"/>
    <w:rsid w:val="009F36A7"/>
    <w:rsid w:val="009F4A67"/>
    <w:rsid w:val="009F53F4"/>
    <w:rsid w:val="00A0386F"/>
    <w:rsid w:val="00A11A0A"/>
    <w:rsid w:val="00A11E70"/>
    <w:rsid w:val="00A1259E"/>
    <w:rsid w:val="00A12818"/>
    <w:rsid w:val="00A20CC6"/>
    <w:rsid w:val="00A23D95"/>
    <w:rsid w:val="00A250C0"/>
    <w:rsid w:val="00A25810"/>
    <w:rsid w:val="00A30B58"/>
    <w:rsid w:val="00A3230F"/>
    <w:rsid w:val="00A47F8B"/>
    <w:rsid w:val="00A53088"/>
    <w:rsid w:val="00A53413"/>
    <w:rsid w:val="00A57B10"/>
    <w:rsid w:val="00A705E6"/>
    <w:rsid w:val="00A82AE7"/>
    <w:rsid w:val="00A8537A"/>
    <w:rsid w:val="00A86F7E"/>
    <w:rsid w:val="00A905AD"/>
    <w:rsid w:val="00A9698B"/>
    <w:rsid w:val="00AB1511"/>
    <w:rsid w:val="00AB19F5"/>
    <w:rsid w:val="00AB7D2F"/>
    <w:rsid w:val="00AC26BF"/>
    <w:rsid w:val="00AC2C57"/>
    <w:rsid w:val="00AC5E47"/>
    <w:rsid w:val="00AD65CA"/>
    <w:rsid w:val="00AD6DDB"/>
    <w:rsid w:val="00AE4301"/>
    <w:rsid w:val="00AE6BEE"/>
    <w:rsid w:val="00AE78C6"/>
    <w:rsid w:val="00AE7EB8"/>
    <w:rsid w:val="00AF39C9"/>
    <w:rsid w:val="00AF677B"/>
    <w:rsid w:val="00B02442"/>
    <w:rsid w:val="00B07913"/>
    <w:rsid w:val="00B226A5"/>
    <w:rsid w:val="00B24B5B"/>
    <w:rsid w:val="00B262ED"/>
    <w:rsid w:val="00B303FA"/>
    <w:rsid w:val="00B30AA7"/>
    <w:rsid w:val="00B3544A"/>
    <w:rsid w:val="00B37240"/>
    <w:rsid w:val="00B41358"/>
    <w:rsid w:val="00B420C8"/>
    <w:rsid w:val="00B42A8E"/>
    <w:rsid w:val="00B44D91"/>
    <w:rsid w:val="00B531C1"/>
    <w:rsid w:val="00B8646B"/>
    <w:rsid w:val="00B9196A"/>
    <w:rsid w:val="00B971AE"/>
    <w:rsid w:val="00B9722D"/>
    <w:rsid w:val="00B97965"/>
    <w:rsid w:val="00BA1F9F"/>
    <w:rsid w:val="00BB6726"/>
    <w:rsid w:val="00BC498B"/>
    <w:rsid w:val="00BD29DA"/>
    <w:rsid w:val="00BD44D9"/>
    <w:rsid w:val="00BD6895"/>
    <w:rsid w:val="00BD6A87"/>
    <w:rsid w:val="00BD7D8A"/>
    <w:rsid w:val="00BE38F1"/>
    <w:rsid w:val="00BE558C"/>
    <w:rsid w:val="00C03D43"/>
    <w:rsid w:val="00C107C5"/>
    <w:rsid w:val="00C17E73"/>
    <w:rsid w:val="00C20213"/>
    <w:rsid w:val="00C2044A"/>
    <w:rsid w:val="00C2097E"/>
    <w:rsid w:val="00C243BA"/>
    <w:rsid w:val="00C2627F"/>
    <w:rsid w:val="00C34B02"/>
    <w:rsid w:val="00C41AD2"/>
    <w:rsid w:val="00C426D3"/>
    <w:rsid w:val="00C50B23"/>
    <w:rsid w:val="00C552BB"/>
    <w:rsid w:val="00C57A2D"/>
    <w:rsid w:val="00C643DE"/>
    <w:rsid w:val="00C727F2"/>
    <w:rsid w:val="00C738AE"/>
    <w:rsid w:val="00C760A5"/>
    <w:rsid w:val="00C805BC"/>
    <w:rsid w:val="00C8261C"/>
    <w:rsid w:val="00C82620"/>
    <w:rsid w:val="00C90BB3"/>
    <w:rsid w:val="00C9462F"/>
    <w:rsid w:val="00C95A4F"/>
    <w:rsid w:val="00C96D2C"/>
    <w:rsid w:val="00CC21D3"/>
    <w:rsid w:val="00CD12D4"/>
    <w:rsid w:val="00CD400D"/>
    <w:rsid w:val="00CE367B"/>
    <w:rsid w:val="00CE712F"/>
    <w:rsid w:val="00CF1A15"/>
    <w:rsid w:val="00CF257A"/>
    <w:rsid w:val="00CF38B9"/>
    <w:rsid w:val="00D00587"/>
    <w:rsid w:val="00D01618"/>
    <w:rsid w:val="00D03BE0"/>
    <w:rsid w:val="00D06282"/>
    <w:rsid w:val="00D21E72"/>
    <w:rsid w:val="00D23922"/>
    <w:rsid w:val="00D42356"/>
    <w:rsid w:val="00D56CB0"/>
    <w:rsid w:val="00D57709"/>
    <w:rsid w:val="00D60A72"/>
    <w:rsid w:val="00D613E8"/>
    <w:rsid w:val="00D63DE7"/>
    <w:rsid w:val="00D63F2B"/>
    <w:rsid w:val="00D70074"/>
    <w:rsid w:val="00D71621"/>
    <w:rsid w:val="00D82C20"/>
    <w:rsid w:val="00D850E9"/>
    <w:rsid w:val="00DA00E7"/>
    <w:rsid w:val="00DA08A6"/>
    <w:rsid w:val="00DA61D8"/>
    <w:rsid w:val="00DA64DE"/>
    <w:rsid w:val="00DA6D53"/>
    <w:rsid w:val="00DA7D9B"/>
    <w:rsid w:val="00DB14AA"/>
    <w:rsid w:val="00DB2EA7"/>
    <w:rsid w:val="00DB310C"/>
    <w:rsid w:val="00DB449C"/>
    <w:rsid w:val="00DB6F92"/>
    <w:rsid w:val="00DB7E96"/>
    <w:rsid w:val="00DC0525"/>
    <w:rsid w:val="00DC2C6D"/>
    <w:rsid w:val="00DD205E"/>
    <w:rsid w:val="00DD75DA"/>
    <w:rsid w:val="00DE3CCC"/>
    <w:rsid w:val="00DE4DD1"/>
    <w:rsid w:val="00DE5805"/>
    <w:rsid w:val="00DF5157"/>
    <w:rsid w:val="00DF6CA0"/>
    <w:rsid w:val="00E02ED8"/>
    <w:rsid w:val="00E032D4"/>
    <w:rsid w:val="00E060EA"/>
    <w:rsid w:val="00E071BD"/>
    <w:rsid w:val="00E13137"/>
    <w:rsid w:val="00E33257"/>
    <w:rsid w:val="00E36272"/>
    <w:rsid w:val="00E462EC"/>
    <w:rsid w:val="00E6231A"/>
    <w:rsid w:val="00E64E7C"/>
    <w:rsid w:val="00E664DE"/>
    <w:rsid w:val="00E66776"/>
    <w:rsid w:val="00E72912"/>
    <w:rsid w:val="00E8032B"/>
    <w:rsid w:val="00E808A3"/>
    <w:rsid w:val="00E816C2"/>
    <w:rsid w:val="00E828B0"/>
    <w:rsid w:val="00E93783"/>
    <w:rsid w:val="00E96D09"/>
    <w:rsid w:val="00EA34A9"/>
    <w:rsid w:val="00EB017F"/>
    <w:rsid w:val="00EB066B"/>
    <w:rsid w:val="00EB1D26"/>
    <w:rsid w:val="00EC3819"/>
    <w:rsid w:val="00EC7433"/>
    <w:rsid w:val="00EE1945"/>
    <w:rsid w:val="00EE2A1D"/>
    <w:rsid w:val="00EE633E"/>
    <w:rsid w:val="00EE770F"/>
    <w:rsid w:val="00EF05F5"/>
    <w:rsid w:val="00F00071"/>
    <w:rsid w:val="00F01561"/>
    <w:rsid w:val="00F02E14"/>
    <w:rsid w:val="00F052FF"/>
    <w:rsid w:val="00F0782C"/>
    <w:rsid w:val="00F10EC2"/>
    <w:rsid w:val="00F12362"/>
    <w:rsid w:val="00F132F5"/>
    <w:rsid w:val="00F15F59"/>
    <w:rsid w:val="00F16920"/>
    <w:rsid w:val="00F209C6"/>
    <w:rsid w:val="00F32C91"/>
    <w:rsid w:val="00F36AA7"/>
    <w:rsid w:val="00F40743"/>
    <w:rsid w:val="00F5068E"/>
    <w:rsid w:val="00F556CD"/>
    <w:rsid w:val="00F574EB"/>
    <w:rsid w:val="00F62071"/>
    <w:rsid w:val="00F63F81"/>
    <w:rsid w:val="00F65365"/>
    <w:rsid w:val="00F670AC"/>
    <w:rsid w:val="00F675E7"/>
    <w:rsid w:val="00F74898"/>
    <w:rsid w:val="00F76775"/>
    <w:rsid w:val="00F8034B"/>
    <w:rsid w:val="00F85668"/>
    <w:rsid w:val="00F956C3"/>
    <w:rsid w:val="00FA0DC8"/>
    <w:rsid w:val="00FA482B"/>
    <w:rsid w:val="00FB1038"/>
    <w:rsid w:val="00FB2DA2"/>
    <w:rsid w:val="00FB4A04"/>
    <w:rsid w:val="00FB613A"/>
    <w:rsid w:val="00FC1FDE"/>
    <w:rsid w:val="00FC4E7D"/>
    <w:rsid w:val="00FD6A44"/>
    <w:rsid w:val="00FE23F0"/>
    <w:rsid w:val="00FE5A5F"/>
    <w:rsid w:val="00FE6EA7"/>
    <w:rsid w:val="00FE7357"/>
    <w:rsid w:val="01B41961"/>
    <w:rsid w:val="057212CF"/>
    <w:rsid w:val="0A384B3E"/>
    <w:rsid w:val="0A5E559E"/>
    <w:rsid w:val="0ABA7627"/>
    <w:rsid w:val="0CE3544F"/>
    <w:rsid w:val="0D146ECC"/>
    <w:rsid w:val="0D94585D"/>
    <w:rsid w:val="0E7C05F5"/>
    <w:rsid w:val="112920F6"/>
    <w:rsid w:val="11600F8C"/>
    <w:rsid w:val="130C4392"/>
    <w:rsid w:val="1527360F"/>
    <w:rsid w:val="15AA65C3"/>
    <w:rsid w:val="18430BA5"/>
    <w:rsid w:val="19506412"/>
    <w:rsid w:val="1A127670"/>
    <w:rsid w:val="1C6A5EE2"/>
    <w:rsid w:val="20460D45"/>
    <w:rsid w:val="20692B75"/>
    <w:rsid w:val="206C46C2"/>
    <w:rsid w:val="22273221"/>
    <w:rsid w:val="27701868"/>
    <w:rsid w:val="278527E0"/>
    <w:rsid w:val="2A175AC9"/>
    <w:rsid w:val="2A1A7D37"/>
    <w:rsid w:val="2A672719"/>
    <w:rsid w:val="2CAF6062"/>
    <w:rsid w:val="2D470CD7"/>
    <w:rsid w:val="315C7741"/>
    <w:rsid w:val="31772D05"/>
    <w:rsid w:val="31D61D85"/>
    <w:rsid w:val="34787C09"/>
    <w:rsid w:val="351A4C9F"/>
    <w:rsid w:val="35380BBF"/>
    <w:rsid w:val="359D71DB"/>
    <w:rsid w:val="35C45EAA"/>
    <w:rsid w:val="37B76BD5"/>
    <w:rsid w:val="37FFA5DE"/>
    <w:rsid w:val="3A3D507A"/>
    <w:rsid w:val="3C5B6ABA"/>
    <w:rsid w:val="3C783EDA"/>
    <w:rsid w:val="3CF457D3"/>
    <w:rsid w:val="3E79553D"/>
    <w:rsid w:val="3FA12FCF"/>
    <w:rsid w:val="3FF70101"/>
    <w:rsid w:val="41330EEC"/>
    <w:rsid w:val="42E47326"/>
    <w:rsid w:val="454175A3"/>
    <w:rsid w:val="45CB4903"/>
    <w:rsid w:val="471C3104"/>
    <w:rsid w:val="47590C4D"/>
    <w:rsid w:val="47F8713E"/>
    <w:rsid w:val="4873665B"/>
    <w:rsid w:val="492007D8"/>
    <w:rsid w:val="49B250F5"/>
    <w:rsid w:val="4CBD1C7E"/>
    <w:rsid w:val="4FB55B51"/>
    <w:rsid w:val="50EB6955"/>
    <w:rsid w:val="50FA74D8"/>
    <w:rsid w:val="53CD2DCE"/>
    <w:rsid w:val="55CB1115"/>
    <w:rsid w:val="57D21E90"/>
    <w:rsid w:val="59A44D82"/>
    <w:rsid w:val="59DD4FFD"/>
    <w:rsid w:val="5D1D6453"/>
    <w:rsid w:val="5DA13918"/>
    <w:rsid w:val="5E573252"/>
    <w:rsid w:val="5F04653A"/>
    <w:rsid w:val="5FE061DD"/>
    <w:rsid w:val="60B77209"/>
    <w:rsid w:val="60C92CD4"/>
    <w:rsid w:val="61266B17"/>
    <w:rsid w:val="64403B24"/>
    <w:rsid w:val="664252A5"/>
    <w:rsid w:val="676747AD"/>
    <w:rsid w:val="6A963B9E"/>
    <w:rsid w:val="6BA87917"/>
    <w:rsid w:val="6BC73BB2"/>
    <w:rsid w:val="6DDE5690"/>
    <w:rsid w:val="6F411E14"/>
    <w:rsid w:val="704F7345"/>
    <w:rsid w:val="716C6931"/>
    <w:rsid w:val="717DA086"/>
    <w:rsid w:val="725635C4"/>
    <w:rsid w:val="75F75DE3"/>
    <w:rsid w:val="76541108"/>
    <w:rsid w:val="7689005C"/>
    <w:rsid w:val="775C50B8"/>
    <w:rsid w:val="78575546"/>
    <w:rsid w:val="7B4038F6"/>
    <w:rsid w:val="7B5752AF"/>
    <w:rsid w:val="7CE50341"/>
    <w:rsid w:val="7E341F64"/>
    <w:rsid w:val="7EE36EA5"/>
    <w:rsid w:val="D7F738A1"/>
    <w:rsid w:val="DCBB2880"/>
    <w:rsid w:val="DFBFC4DB"/>
    <w:rsid w:val="E76A805A"/>
    <w:rsid w:val="F1F8B49B"/>
    <w:rsid w:val="F9B759E7"/>
    <w:rsid w:val="FB5F3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41"/>
    <w:qFormat/>
    <w:uiPriority w:val="0"/>
    <w:pPr>
      <w:spacing w:before="340" w:after="330" w:line="360" w:lineRule="auto"/>
      <w:jc w:val="center"/>
      <w:outlineLvl w:val="0"/>
    </w:pPr>
    <w:rPr>
      <w:rFonts w:eastAsia="黑体"/>
      <w:bCs/>
      <w:kern w:val="44"/>
      <w:szCs w:val="44"/>
    </w:rPr>
  </w:style>
  <w:style w:type="paragraph" w:styleId="6">
    <w:name w:val="heading 2"/>
    <w:basedOn w:val="4"/>
    <w:next w:val="5"/>
    <w:link w:val="40"/>
    <w:qFormat/>
    <w:uiPriority w:val="0"/>
    <w:pPr>
      <w:adjustRightInd w:val="0"/>
      <w:jc w:val="center"/>
      <w:outlineLvl w:val="1"/>
    </w:pPr>
    <w:rPr>
      <w:bCs/>
      <w:kern w:val="0"/>
      <w:sz w:val="24"/>
      <w:szCs w:val="20"/>
    </w:rPr>
  </w:style>
  <w:style w:type="paragraph" w:styleId="4">
    <w:name w:val="heading 3"/>
    <w:basedOn w:val="5"/>
    <w:next w:val="1"/>
    <w:link w:val="42"/>
    <w:qFormat/>
    <w:uiPriority w:val="0"/>
    <w:pPr>
      <w:spacing w:before="260" w:after="260" w:line="240" w:lineRule="auto"/>
      <w:outlineLvl w:val="2"/>
    </w:pPr>
    <w:rPr>
      <w:rFonts w:ascii="宋体" w:hAnsi="宋体" w:eastAsia="宋体" w:cs="宋体"/>
      <w:bCs w:val="0"/>
      <w:szCs w:val="32"/>
    </w:rPr>
  </w:style>
  <w:style w:type="paragraph" w:styleId="5">
    <w:name w:val="heading 4"/>
    <w:basedOn w:val="1"/>
    <w:next w:val="1"/>
    <w:link w:val="43"/>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8"/>
    <w:link w:val="44"/>
    <w:qFormat/>
    <w:uiPriority w:val="0"/>
    <w:pPr>
      <w:keepNext/>
      <w:keepLines/>
      <w:spacing w:before="280" w:after="290" w:line="374" w:lineRule="auto"/>
      <w:outlineLvl w:val="4"/>
    </w:pPr>
    <w:rPr>
      <w:b/>
      <w:sz w:val="28"/>
      <w:szCs w:val="20"/>
    </w:rPr>
  </w:style>
  <w:style w:type="paragraph" w:styleId="9">
    <w:name w:val="heading 6"/>
    <w:basedOn w:val="1"/>
    <w:next w:val="8"/>
    <w:link w:val="45"/>
    <w:qFormat/>
    <w:uiPriority w:val="0"/>
    <w:pPr>
      <w:keepNext/>
      <w:keepLines/>
      <w:spacing w:before="240" w:after="64" w:line="319" w:lineRule="auto"/>
      <w:outlineLvl w:val="5"/>
    </w:pPr>
    <w:rPr>
      <w:rFonts w:ascii="Arial" w:hAnsi="Arial" w:eastAsia="黑体"/>
      <w:b/>
      <w:sz w:val="24"/>
      <w:szCs w:val="20"/>
    </w:rPr>
  </w:style>
  <w:style w:type="paragraph" w:styleId="10">
    <w:name w:val="heading 7"/>
    <w:basedOn w:val="1"/>
    <w:next w:val="8"/>
    <w:link w:val="46"/>
    <w:qFormat/>
    <w:uiPriority w:val="0"/>
    <w:pPr>
      <w:keepNext/>
      <w:keepLines/>
      <w:spacing w:before="240" w:after="64" w:line="319" w:lineRule="auto"/>
      <w:outlineLvl w:val="6"/>
    </w:pPr>
    <w:rPr>
      <w:b/>
      <w:sz w:val="24"/>
      <w:szCs w:val="20"/>
    </w:rPr>
  </w:style>
  <w:style w:type="paragraph" w:styleId="11">
    <w:name w:val="heading 8"/>
    <w:basedOn w:val="1"/>
    <w:next w:val="8"/>
    <w:link w:val="47"/>
    <w:qFormat/>
    <w:uiPriority w:val="0"/>
    <w:pPr>
      <w:keepNext/>
      <w:keepLines/>
      <w:spacing w:before="240" w:after="64" w:line="319" w:lineRule="auto"/>
      <w:outlineLvl w:val="7"/>
    </w:pPr>
    <w:rPr>
      <w:rFonts w:ascii="Arial" w:hAnsi="Arial" w:eastAsia="黑体"/>
      <w:sz w:val="24"/>
      <w:szCs w:val="20"/>
    </w:rPr>
  </w:style>
  <w:style w:type="paragraph" w:styleId="12">
    <w:name w:val="heading 9"/>
    <w:basedOn w:val="1"/>
    <w:next w:val="8"/>
    <w:link w:val="48"/>
    <w:qFormat/>
    <w:uiPriority w:val="0"/>
    <w:pPr>
      <w:keepNext/>
      <w:keepLines/>
      <w:spacing w:before="240" w:after="64" w:line="319" w:lineRule="auto"/>
      <w:outlineLvl w:val="8"/>
    </w:pPr>
    <w:rPr>
      <w:rFonts w:ascii="Arial" w:hAnsi="Arial" w:eastAsia="黑体"/>
      <w:szCs w:val="20"/>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Layout w:type="fixed"/>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8">
    <w:name w:val="Normal Indent"/>
    <w:basedOn w:val="1"/>
    <w:link w:val="50"/>
    <w:qFormat/>
    <w:uiPriority w:val="0"/>
    <w:pPr>
      <w:ind w:firstLine="420"/>
    </w:pPr>
    <w:rPr>
      <w:rFonts w:asciiTheme="minorHAnsi" w:hAnsiTheme="minorHAnsi" w:eastAsiaTheme="minorEastAsia" w:cstheme="minorBidi"/>
      <w:szCs w:val="22"/>
    </w:rPr>
  </w:style>
  <w:style w:type="paragraph" w:styleId="13">
    <w:name w:val="List Bullet"/>
    <w:basedOn w:val="1"/>
    <w:qFormat/>
    <w:uiPriority w:val="0"/>
    <w:pPr>
      <w:tabs>
        <w:tab w:val="left" w:pos="360"/>
      </w:tabs>
      <w:ind w:left="360" w:hanging="360"/>
    </w:pPr>
    <w:rPr>
      <w:szCs w:val="20"/>
    </w:rPr>
  </w:style>
  <w:style w:type="paragraph" w:styleId="14">
    <w:name w:val="Document Map"/>
    <w:basedOn w:val="1"/>
    <w:link w:val="64"/>
    <w:semiHidden/>
    <w:qFormat/>
    <w:uiPriority w:val="0"/>
    <w:pPr>
      <w:shd w:val="clear" w:color="auto" w:fill="000080"/>
    </w:pPr>
  </w:style>
  <w:style w:type="paragraph" w:styleId="15">
    <w:name w:val="annotation text"/>
    <w:basedOn w:val="1"/>
    <w:link w:val="61"/>
    <w:qFormat/>
    <w:uiPriority w:val="99"/>
    <w:pPr>
      <w:jc w:val="left"/>
    </w:pPr>
  </w:style>
  <w:style w:type="paragraph" w:styleId="16">
    <w:name w:val="Body Text 3"/>
    <w:basedOn w:val="1"/>
    <w:link w:val="63"/>
    <w:qFormat/>
    <w:uiPriority w:val="0"/>
    <w:pPr>
      <w:spacing w:after="120"/>
    </w:pPr>
    <w:rPr>
      <w:sz w:val="16"/>
      <w:szCs w:val="16"/>
    </w:rPr>
  </w:style>
  <w:style w:type="paragraph" w:styleId="17">
    <w:name w:val="Body Text"/>
    <w:basedOn w:val="1"/>
    <w:next w:val="18"/>
    <w:link w:val="77"/>
    <w:qFormat/>
    <w:uiPriority w:val="0"/>
    <w:pPr>
      <w:spacing w:line="360" w:lineRule="auto"/>
    </w:pPr>
    <w:rPr>
      <w:b/>
      <w:bCs/>
      <w:sz w:val="24"/>
    </w:rPr>
  </w:style>
  <w:style w:type="paragraph" w:styleId="18">
    <w:name w:val="Body Text 2"/>
    <w:basedOn w:val="1"/>
    <w:link w:val="75"/>
    <w:qFormat/>
    <w:uiPriority w:val="0"/>
    <w:pPr>
      <w:spacing w:line="360" w:lineRule="auto"/>
    </w:pPr>
    <w:rPr>
      <w:sz w:val="24"/>
    </w:rPr>
  </w:style>
  <w:style w:type="paragraph" w:styleId="19">
    <w:name w:val="Body Text Indent"/>
    <w:basedOn w:val="1"/>
    <w:link w:val="73"/>
    <w:qFormat/>
    <w:uiPriority w:val="0"/>
    <w:pPr>
      <w:spacing w:line="360" w:lineRule="auto"/>
      <w:ind w:firstLine="420" w:firstLineChars="200"/>
    </w:pPr>
  </w:style>
  <w:style w:type="paragraph" w:styleId="20">
    <w:name w:val="Plain Text"/>
    <w:basedOn w:val="1"/>
    <w:link w:val="72"/>
    <w:qFormat/>
    <w:uiPriority w:val="0"/>
    <w:rPr>
      <w:rFonts w:ascii="宋体" w:hAnsi="Courier New"/>
      <w:szCs w:val="20"/>
    </w:rPr>
  </w:style>
  <w:style w:type="paragraph" w:styleId="21">
    <w:name w:val="Date"/>
    <w:basedOn w:val="1"/>
    <w:next w:val="1"/>
    <w:link w:val="59"/>
    <w:qFormat/>
    <w:uiPriority w:val="0"/>
    <w:rPr>
      <w:rFonts w:ascii="宋体" w:hAnsi="Courier New"/>
      <w:sz w:val="32"/>
      <w:szCs w:val="20"/>
    </w:rPr>
  </w:style>
  <w:style w:type="paragraph" w:styleId="22">
    <w:name w:val="Body Text Indent 2"/>
    <w:basedOn w:val="1"/>
    <w:link w:val="62"/>
    <w:qFormat/>
    <w:uiPriority w:val="0"/>
    <w:pPr>
      <w:spacing w:beforeLines="50" w:afterLines="50" w:line="120" w:lineRule="auto"/>
      <w:ind w:firstLine="840" w:firstLineChars="400"/>
      <w:jc w:val="left"/>
    </w:pPr>
    <w:rPr>
      <w:rFonts w:ascii="宋体" w:hAnsi="宋体"/>
    </w:rPr>
  </w:style>
  <w:style w:type="paragraph" w:styleId="23">
    <w:name w:val="Balloon Text"/>
    <w:basedOn w:val="1"/>
    <w:link w:val="60"/>
    <w:semiHidden/>
    <w:qFormat/>
    <w:uiPriority w:val="0"/>
    <w:rPr>
      <w:sz w:val="18"/>
      <w:szCs w:val="18"/>
    </w:rPr>
  </w:style>
  <w:style w:type="paragraph" w:styleId="24">
    <w:name w:val="footer"/>
    <w:basedOn w:val="1"/>
    <w:link w:val="76"/>
    <w:qFormat/>
    <w:uiPriority w:val="99"/>
    <w:pPr>
      <w:tabs>
        <w:tab w:val="center" w:pos="4153"/>
        <w:tab w:val="right" w:pos="8306"/>
      </w:tabs>
      <w:snapToGrid w:val="0"/>
      <w:jc w:val="left"/>
    </w:pPr>
    <w:rPr>
      <w:sz w:val="18"/>
      <w:szCs w:val="18"/>
    </w:rPr>
  </w:style>
  <w:style w:type="paragraph" w:styleId="25">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pPr>
      <w:spacing w:before="120" w:after="120"/>
      <w:ind w:firstLine="359" w:firstLineChars="171"/>
      <w:jc w:val="left"/>
    </w:pPr>
    <w:rPr>
      <w:caps/>
    </w:rPr>
  </w:style>
  <w:style w:type="paragraph" w:styleId="27">
    <w:name w:val="Body Text Indent 3"/>
    <w:basedOn w:val="1"/>
    <w:link w:val="69"/>
    <w:qFormat/>
    <w:uiPriority w:val="0"/>
    <w:pPr>
      <w:spacing w:line="360" w:lineRule="auto"/>
      <w:ind w:firstLine="482" w:firstLineChars="200"/>
    </w:pPr>
    <w:rPr>
      <w:rFonts w:ascii="宋体"/>
      <w:b/>
      <w:bCs/>
      <w:sz w:val="24"/>
    </w:rPr>
  </w:style>
  <w:style w:type="paragraph" w:styleId="28">
    <w:name w:val="HTML Preformatted"/>
    <w:basedOn w:val="1"/>
    <w:link w:val="6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29">
    <w:name w:val="Normal (Web)"/>
    <w:basedOn w:val="1"/>
    <w:qFormat/>
    <w:uiPriority w:val="0"/>
    <w:rPr>
      <w:sz w:val="24"/>
    </w:rPr>
  </w:style>
  <w:style w:type="paragraph" w:styleId="30">
    <w:name w:val="Title"/>
    <w:basedOn w:val="1"/>
    <w:link w:val="78"/>
    <w:qFormat/>
    <w:uiPriority w:val="0"/>
    <w:pPr>
      <w:spacing w:before="240" w:after="60"/>
      <w:jc w:val="center"/>
      <w:outlineLvl w:val="0"/>
    </w:pPr>
    <w:rPr>
      <w:rFonts w:ascii="Arial" w:hAnsi="Arial" w:eastAsia="隶书" w:cs="Arial"/>
      <w:b/>
      <w:bCs/>
      <w:sz w:val="32"/>
      <w:szCs w:val="32"/>
    </w:rPr>
  </w:style>
  <w:style w:type="paragraph" w:styleId="31">
    <w:name w:val="annotation subject"/>
    <w:basedOn w:val="15"/>
    <w:next w:val="15"/>
    <w:link w:val="70"/>
    <w:semiHidden/>
    <w:qFormat/>
    <w:uiPriority w:val="0"/>
    <w:rPr>
      <w:b/>
      <w:bCs/>
    </w:rPr>
  </w:style>
  <w:style w:type="paragraph" w:styleId="32">
    <w:name w:val="Body Text First Indent 2"/>
    <w:basedOn w:val="19"/>
    <w:qFormat/>
    <w:uiPriority w:val="0"/>
    <w:pPr>
      <w:spacing w:after="120" w:line="240" w:lineRule="auto"/>
      <w:ind w:left="420" w:leftChars="200"/>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6">
    <w:name w:val="page number"/>
    <w:basedOn w:val="35"/>
    <w:qFormat/>
    <w:uiPriority w:val="0"/>
  </w:style>
  <w:style w:type="character" w:styleId="37">
    <w:name w:val="FollowedHyperlink"/>
    <w:qFormat/>
    <w:uiPriority w:val="0"/>
    <w:rPr>
      <w:color w:val="800080"/>
      <w:u w:val="single"/>
    </w:rPr>
  </w:style>
  <w:style w:type="character" w:styleId="38">
    <w:name w:val="Hyperlink"/>
    <w:qFormat/>
    <w:uiPriority w:val="0"/>
    <w:rPr>
      <w:color w:val="0000FF"/>
      <w:u w:val="single"/>
    </w:rPr>
  </w:style>
  <w:style w:type="character" w:styleId="39">
    <w:name w:val="annotation reference"/>
    <w:basedOn w:val="35"/>
    <w:qFormat/>
    <w:uiPriority w:val="99"/>
    <w:rPr>
      <w:sz w:val="21"/>
      <w:szCs w:val="21"/>
    </w:rPr>
  </w:style>
  <w:style w:type="character" w:customStyle="1" w:styleId="40">
    <w:name w:val="标题 2 字符"/>
    <w:basedOn w:val="35"/>
    <w:link w:val="6"/>
    <w:qFormat/>
    <w:uiPriority w:val="0"/>
    <w:rPr>
      <w:rFonts w:ascii="宋体" w:hAnsi="宋体" w:eastAsia="宋体" w:cs="宋体"/>
      <w:b/>
      <w:bCs/>
      <w:kern w:val="0"/>
      <w:sz w:val="24"/>
      <w:szCs w:val="20"/>
    </w:rPr>
  </w:style>
  <w:style w:type="character" w:customStyle="1" w:styleId="41">
    <w:name w:val="标题 1 字符"/>
    <w:basedOn w:val="35"/>
    <w:link w:val="3"/>
    <w:qFormat/>
    <w:uiPriority w:val="0"/>
    <w:rPr>
      <w:rFonts w:ascii="宋体" w:hAnsi="宋体" w:eastAsia="黑体" w:cs="宋体"/>
      <w:b/>
      <w:bCs/>
      <w:kern w:val="44"/>
      <w:sz w:val="28"/>
      <w:szCs w:val="44"/>
    </w:rPr>
  </w:style>
  <w:style w:type="character" w:customStyle="1" w:styleId="42">
    <w:name w:val="标题 3 字符"/>
    <w:basedOn w:val="35"/>
    <w:link w:val="4"/>
    <w:qFormat/>
    <w:uiPriority w:val="0"/>
    <w:rPr>
      <w:rFonts w:ascii="宋体" w:hAnsi="宋体" w:eastAsia="宋体" w:cs="宋体"/>
      <w:b/>
      <w:sz w:val="28"/>
      <w:szCs w:val="32"/>
    </w:rPr>
  </w:style>
  <w:style w:type="character" w:customStyle="1" w:styleId="43">
    <w:name w:val="标题 4 字符"/>
    <w:basedOn w:val="35"/>
    <w:link w:val="5"/>
    <w:qFormat/>
    <w:uiPriority w:val="0"/>
    <w:rPr>
      <w:rFonts w:ascii="Arial" w:hAnsi="Arial" w:eastAsia="黑体" w:cs="Times New Roman"/>
      <w:b/>
      <w:bCs/>
      <w:sz w:val="28"/>
      <w:szCs w:val="28"/>
    </w:rPr>
  </w:style>
  <w:style w:type="character" w:customStyle="1" w:styleId="44">
    <w:name w:val="标题 5 字符"/>
    <w:basedOn w:val="35"/>
    <w:link w:val="7"/>
    <w:qFormat/>
    <w:uiPriority w:val="0"/>
    <w:rPr>
      <w:rFonts w:ascii="Times New Roman" w:hAnsi="Times New Roman" w:eastAsia="宋体" w:cs="Times New Roman"/>
      <w:b/>
      <w:sz w:val="28"/>
      <w:szCs w:val="20"/>
    </w:rPr>
  </w:style>
  <w:style w:type="character" w:customStyle="1" w:styleId="45">
    <w:name w:val="标题 6 字符"/>
    <w:basedOn w:val="35"/>
    <w:link w:val="9"/>
    <w:qFormat/>
    <w:uiPriority w:val="0"/>
    <w:rPr>
      <w:rFonts w:ascii="Arial" w:hAnsi="Arial" w:eastAsia="黑体" w:cs="Times New Roman"/>
      <w:b/>
      <w:sz w:val="24"/>
      <w:szCs w:val="20"/>
    </w:rPr>
  </w:style>
  <w:style w:type="character" w:customStyle="1" w:styleId="46">
    <w:name w:val="标题 7 字符"/>
    <w:basedOn w:val="35"/>
    <w:link w:val="10"/>
    <w:qFormat/>
    <w:uiPriority w:val="0"/>
    <w:rPr>
      <w:rFonts w:ascii="Times New Roman" w:hAnsi="Times New Roman" w:eastAsia="宋体" w:cs="Times New Roman"/>
      <w:b/>
      <w:sz w:val="24"/>
      <w:szCs w:val="20"/>
    </w:rPr>
  </w:style>
  <w:style w:type="character" w:customStyle="1" w:styleId="47">
    <w:name w:val="标题 8 字符"/>
    <w:basedOn w:val="35"/>
    <w:link w:val="11"/>
    <w:qFormat/>
    <w:uiPriority w:val="0"/>
    <w:rPr>
      <w:rFonts w:ascii="Arial" w:hAnsi="Arial" w:eastAsia="黑体" w:cs="Times New Roman"/>
      <w:sz w:val="24"/>
      <w:szCs w:val="20"/>
    </w:rPr>
  </w:style>
  <w:style w:type="character" w:customStyle="1" w:styleId="48">
    <w:name w:val="标题 9 字符"/>
    <w:basedOn w:val="35"/>
    <w:link w:val="12"/>
    <w:qFormat/>
    <w:uiPriority w:val="0"/>
    <w:rPr>
      <w:rFonts w:ascii="Arial" w:hAnsi="Arial" w:eastAsia="黑体" w:cs="Times New Roman"/>
      <w:szCs w:val="20"/>
    </w:rPr>
  </w:style>
  <w:style w:type="character" w:customStyle="1" w:styleId="49">
    <w:name w:val="标题 3 Char1"/>
    <w:qFormat/>
    <w:uiPriority w:val="0"/>
    <w:rPr>
      <w:rFonts w:hint="eastAsia" w:ascii="宋体" w:hAnsi="宋体" w:eastAsia="宋体" w:cs="Arial"/>
      <w:b/>
      <w:bCs/>
      <w:kern w:val="2"/>
      <w:sz w:val="28"/>
      <w:szCs w:val="32"/>
      <w:lang w:val="en-US" w:eastAsia="zh-CN" w:bidi="ar-SA"/>
    </w:rPr>
  </w:style>
  <w:style w:type="character" w:customStyle="1" w:styleId="50">
    <w:name w:val="正文缩进 字符"/>
    <w:link w:val="8"/>
    <w:qFormat/>
    <w:locked/>
    <w:uiPriority w:val="0"/>
  </w:style>
  <w:style w:type="paragraph" w:customStyle="1" w:styleId="51">
    <w:name w:val="Char5 Char Char Char Char Char Char"/>
    <w:basedOn w:val="1"/>
    <w:qFormat/>
    <w:uiPriority w:val="0"/>
    <w:pPr>
      <w:widowControl/>
      <w:spacing w:after="160" w:line="320" w:lineRule="exact"/>
      <w:ind w:firstLine="480"/>
      <w:jc w:val="center"/>
    </w:pPr>
    <w:rPr>
      <w:rFonts w:ascii="宋体" w:hAnsi="宋体"/>
      <w:kern w:val="0"/>
      <w:sz w:val="24"/>
      <w:lang w:eastAsia="en-US"/>
    </w:rPr>
  </w:style>
  <w:style w:type="paragraph" w:customStyle="1" w:styleId="52">
    <w:name w:val="_Style 33"/>
    <w:basedOn w:val="1"/>
    <w:semiHidden/>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4">
    <w:name w:val="图"/>
    <w:basedOn w:val="1"/>
    <w:qFormat/>
    <w:uiPriority w:val="0"/>
    <w:pPr>
      <w:keepNext/>
      <w:adjustRightInd w:val="0"/>
      <w:snapToGrid w:val="0"/>
      <w:spacing w:before="60" w:after="60" w:line="300" w:lineRule="auto"/>
      <w:jc w:val="center"/>
    </w:pPr>
    <w:rPr>
      <w:spacing w:val="20"/>
      <w:kern w:val="0"/>
      <w:sz w:val="24"/>
      <w:szCs w:val="20"/>
    </w:rPr>
  </w:style>
  <w:style w:type="character" w:customStyle="1" w:styleId="55">
    <w:name w:val="页眉 字符"/>
    <w:basedOn w:val="35"/>
    <w:link w:val="25"/>
    <w:qFormat/>
    <w:uiPriority w:val="0"/>
    <w:rPr>
      <w:rFonts w:ascii="Times New Roman" w:hAnsi="Times New Roman" w:eastAsia="宋体" w:cs="Times New Roman"/>
      <w:sz w:val="18"/>
      <w:szCs w:val="18"/>
    </w:rPr>
  </w:style>
  <w:style w:type="paragraph" w:customStyle="1" w:styleId="56">
    <w:name w:val="Char Char Char2 Char"/>
    <w:basedOn w:val="1"/>
    <w:qFormat/>
    <w:uiPriority w:val="0"/>
    <w:pPr>
      <w:widowControl/>
      <w:spacing w:after="160" w:line="240" w:lineRule="exact"/>
      <w:jc w:val="left"/>
    </w:pPr>
    <w:rPr>
      <w:rFonts w:ascii="Verdana" w:hAnsi="Verdana"/>
      <w:kern w:val="0"/>
      <w:szCs w:val="20"/>
      <w:lang w:eastAsia="en-US"/>
    </w:rPr>
  </w:style>
  <w:style w:type="paragraph" w:customStyle="1" w:styleId="57">
    <w:name w:val="正文1"/>
    <w:qFormat/>
    <w:uiPriority w:val="0"/>
    <w:pPr>
      <w:widowControl w:val="0"/>
      <w:adjustRightInd w:val="0"/>
      <w:spacing w:line="360" w:lineRule="atLeast"/>
    </w:pPr>
    <w:rPr>
      <w:rFonts w:ascii="宋体" w:hAnsi="Times New Roman" w:eastAsia="宋体" w:cs="Times New Roman"/>
      <w:b/>
      <w:position w:val="-10"/>
      <w:sz w:val="24"/>
      <w:lang w:val="en-US" w:eastAsia="zh-CN" w:bidi="ar-SA"/>
    </w:rPr>
  </w:style>
  <w:style w:type="paragraph" w:customStyle="1" w:styleId="5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9">
    <w:name w:val="日期 字符"/>
    <w:basedOn w:val="35"/>
    <w:link w:val="21"/>
    <w:qFormat/>
    <w:uiPriority w:val="0"/>
    <w:rPr>
      <w:rFonts w:ascii="宋体" w:hAnsi="Courier New" w:eastAsia="宋体" w:cs="Times New Roman"/>
      <w:sz w:val="32"/>
      <w:szCs w:val="20"/>
    </w:rPr>
  </w:style>
  <w:style w:type="character" w:customStyle="1" w:styleId="60">
    <w:name w:val="批注框文本 字符"/>
    <w:basedOn w:val="35"/>
    <w:link w:val="23"/>
    <w:semiHidden/>
    <w:qFormat/>
    <w:uiPriority w:val="0"/>
    <w:rPr>
      <w:rFonts w:ascii="Times New Roman" w:hAnsi="Times New Roman" w:eastAsia="宋体" w:cs="Times New Roman"/>
      <w:sz w:val="18"/>
      <w:szCs w:val="18"/>
    </w:rPr>
  </w:style>
  <w:style w:type="character" w:customStyle="1" w:styleId="61">
    <w:name w:val="批注文字 字符"/>
    <w:basedOn w:val="35"/>
    <w:link w:val="15"/>
    <w:qFormat/>
    <w:uiPriority w:val="99"/>
    <w:rPr>
      <w:rFonts w:ascii="Times New Roman" w:hAnsi="Times New Roman" w:eastAsia="宋体" w:cs="Times New Roman"/>
      <w:szCs w:val="24"/>
    </w:rPr>
  </w:style>
  <w:style w:type="character" w:customStyle="1" w:styleId="62">
    <w:name w:val="正文文本缩进 2 字符"/>
    <w:basedOn w:val="35"/>
    <w:link w:val="22"/>
    <w:qFormat/>
    <w:uiPriority w:val="0"/>
    <w:rPr>
      <w:rFonts w:ascii="宋体" w:hAnsi="宋体" w:eastAsia="宋体" w:cs="Times New Roman"/>
      <w:szCs w:val="24"/>
    </w:rPr>
  </w:style>
  <w:style w:type="character" w:customStyle="1" w:styleId="63">
    <w:name w:val="正文文本 3 字符"/>
    <w:basedOn w:val="35"/>
    <w:link w:val="16"/>
    <w:qFormat/>
    <w:uiPriority w:val="0"/>
    <w:rPr>
      <w:rFonts w:ascii="Times New Roman" w:hAnsi="Times New Roman" w:eastAsia="宋体" w:cs="Times New Roman"/>
      <w:sz w:val="16"/>
      <w:szCs w:val="16"/>
    </w:rPr>
  </w:style>
  <w:style w:type="character" w:customStyle="1" w:styleId="64">
    <w:name w:val="文档结构图 字符"/>
    <w:basedOn w:val="35"/>
    <w:link w:val="14"/>
    <w:semiHidden/>
    <w:qFormat/>
    <w:uiPriority w:val="0"/>
    <w:rPr>
      <w:rFonts w:ascii="Times New Roman" w:hAnsi="Times New Roman" w:eastAsia="宋体" w:cs="Times New Roman"/>
      <w:szCs w:val="24"/>
      <w:shd w:val="clear" w:color="auto" w:fill="000080"/>
    </w:rPr>
  </w:style>
  <w:style w:type="paragraph" w:customStyle="1" w:styleId="65">
    <w:name w:val="列出段落1"/>
    <w:basedOn w:val="1"/>
    <w:qFormat/>
    <w:uiPriority w:val="0"/>
    <w:pPr>
      <w:ind w:firstLine="420" w:firstLineChars="200"/>
    </w:pPr>
    <w:rPr>
      <w:rFonts w:ascii="Calibri" w:hAnsi="Calibri"/>
      <w:szCs w:val="22"/>
    </w:rPr>
  </w:style>
  <w:style w:type="paragraph" w:customStyle="1" w:styleId="66">
    <w:name w:val="_Style 331"/>
    <w:basedOn w:val="1"/>
    <w:semiHidden/>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67">
    <w:name w:val="样式3"/>
    <w:basedOn w:val="17"/>
    <w:qFormat/>
    <w:uiPriority w:val="0"/>
    <w:pPr>
      <w:spacing w:after="120"/>
    </w:pPr>
    <w:rPr>
      <w:rFonts w:ascii="宋体"/>
      <w:b w:val="0"/>
      <w:bCs w:val="0"/>
      <w:sz w:val="21"/>
    </w:rPr>
  </w:style>
  <w:style w:type="character" w:customStyle="1" w:styleId="68">
    <w:name w:val="HTML 预设格式 字符"/>
    <w:basedOn w:val="35"/>
    <w:link w:val="28"/>
    <w:qFormat/>
    <w:uiPriority w:val="0"/>
    <w:rPr>
      <w:rFonts w:ascii="Arial Unicode MS" w:hAnsi="Arial Unicode MS" w:eastAsia="Arial Unicode MS" w:cs="Times New Roman"/>
      <w:color w:val="000000"/>
      <w:kern w:val="0"/>
      <w:sz w:val="20"/>
      <w:szCs w:val="20"/>
    </w:rPr>
  </w:style>
  <w:style w:type="character" w:customStyle="1" w:styleId="69">
    <w:name w:val="正文文本缩进 3 字符"/>
    <w:basedOn w:val="35"/>
    <w:link w:val="27"/>
    <w:qFormat/>
    <w:uiPriority w:val="0"/>
    <w:rPr>
      <w:rFonts w:ascii="宋体" w:hAnsi="Times New Roman" w:eastAsia="宋体" w:cs="Times New Roman"/>
      <w:b/>
      <w:bCs/>
      <w:sz w:val="24"/>
      <w:szCs w:val="24"/>
    </w:rPr>
  </w:style>
  <w:style w:type="character" w:customStyle="1" w:styleId="70">
    <w:name w:val="批注主题 字符"/>
    <w:basedOn w:val="61"/>
    <w:link w:val="31"/>
    <w:semiHidden/>
    <w:qFormat/>
    <w:uiPriority w:val="0"/>
    <w:rPr>
      <w:rFonts w:ascii="Times New Roman" w:hAnsi="Times New Roman" w:eastAsia="宋体" w:cs="Times New Roman"/>
      <w:b/>
      <w:bCs/>
      <w:szCs w:val="24"/>
    </w:rPr>
  </w:style>
  <w:style w:type="paragraph" w:customStyle="1" w:styleId="71">
    <w:name w:val="默认段落字体 Para Char Char Char Char Char Char Char"/>
    <w:basedOn w:val="1"/>
    <w:qFormat/>
    <w:uiPriority w:val="0"/>
    <w:pPr>
      <w:adjustRightInd w:val="0"/>
      <w:spacing w:line="360" w:lineRule="auto"/>
    </w:pPr>
    <w:rPr>
      <w:kern w:val="0"/>
      <w:sz w:val="24"/>
      <w:szCs w:val="20"/>
    </w:rPr>
  </w:style>
  <w:style w:type="character" w:customStyle="1" w:styleId="72">
    <w:name w:val="纯文本 字符"/>
    <w:basedOn w:val="35"/>
    <w:link w:val="20"/>
    <w:qFormat/>
    <w:uiPriority w:val="0"/>
    <w:rPr>
      <w:rFonts w:ascii="宋体" w:hAnsi="Courier New" w:eastAsia="宋体" w:cs="Times New Roman"/>
      <w:szCs w:val="20"/>
    </w:rPr>
  </w:style>
  <w:style w:type="character" w:customStyle="1" w:styleId="73">
    <w:name w:val="正文文本缩进 字符"/>
    <w:basedOn w:val="35"/>
    <w:link w:val="19"/>
    <w:qFormat/>
    <w:uiPriority w:val="0"/>
    <w:rPr>
      <w:rFonts w:ascii="Times New Roman" w:hAnsi="Times New Roman" w:eastAsia="宋体" w:cs="Times New Roman"/>
      <w:szCs w:val="24"/>
    </w:rPr>
  </w:style>
  <w:style w:type="paragraph" w:customStyle="1" w:styleId="74">
    <w:name w:val="无间隔1"/>
    <w:qFormat/>
    <w:uiPriority w:val="0"/>
    <w:pPr>
      <w:adjustRightInd w:val="0"/>
      <w:snapToGrid w:val="0"/>
    </w:pPr>
    <w:rPr>
      <w:rFonts w:ascii="Tahoma" w:hAnsi="Tahoma" w:eastAsia="微软雅黑" w:cs="Tahoma"/>
      <w:sz w:val="22"/>
      <w:szCs w:val="22"/>
      <w:lang w:val="en-US" w:eastAsia="zh-CN" w:bidi="ar-SA"/>
    </w:rPr>
  </w:style>
  <w:style w:type="character" w:customStyle="1" w:styleId="75">
    <w:name w:val="正文文本 2 字符"/>
    <w:basedOn w:val="35"/>
    <w:link w:val="18"/>
    <w:qFormat/>
    <w:uiPriority w:val="0"/>
    <w:rPr>
      <w:rFonts w:ascii="Times New Roman" w:hAnsi="Times New Roman" w:eastAsia="宋体" w:cs="Times New Roman"/>
      <w:sz w:val="24"/>
      <w:szCs w:val="24"/>
    </w:rPr>
  </w:style>
  <w:style w:type="character" w:customStyle="1" w:styleId="76">
    <w:name w:val="页脚 字符"/>
    <w:basedOn w:val="35"/>
    <w:link w:val="24"/>
    <w:qFormat/>
    <w:uiPriority w:val="99"/>
    <w:rPr>
      <w:rFonts w:ascii="Times New Roman" w:hAnsi="Times New Roman" w:eastAsia="宋体" w:cs="Times New Roman"/>
      <w:sz w:val="18"/>
      <w:szCs w:val="18"/>
    </w:rPr>
  </w:style>
  <w:style w:type="character" w:customStyle="1" w:styleId="77">
    <w:name w:val="正文文本 字符"/>
    <w:basedOn w:val="35"/>
    <w:link w:val="17"/>
    <w:qFormat/>
    <w:uiPriority w:val="0"/>
    <w:rPr>
      <w:rFonts w:ascii="Times New Roman" w:hAnsi="Times New Roman" w:eastAsia="宋体" w:cs="Times New Roman"/>
      <w:b/>
      <w:bCs/>
      <w:sz w:val="24"/>
      <w:szCs w:val="24"/>
    </w:rPr>
  </w:style>
  <w:style w:type="character" w:customStyle="1" w:styleId="78">
    <w:name w:val="标题 字符"/>
    <w:basedOn w:val="35"/>
    <w:link w:val="30"/>
    <w:qFormat/>
    <w:uiPriority w:val="0"/>
    <w:rPr>
      <w:rFonts w:ascii="Arial" w:hAnsi="Arial" w:eastAsia="隶书" w:cs="Arial"/>
      <w:b/>
      <w:bCs/>
      <w:sz w:val="32"/>
      <w:szCs w:val="32"/>
    </w:rPr>
  </w:style>
  <w:style w:type="paragraph" w:customStyle="1" w:styleId="79">
    <w:name w:val="样式41"/>
    <w:basedOn w:val="1"/>
    <w:qFormat/>
    <w:uiPriority w:val="0"/>
    <w:pPr>
      <w:tabs>
        <w:tab w:val="left" w:pos="420"/>
        <w:tab w:val="left" w:pos="945"/>
      </w:tabs>
      <w:spacing w:line="360" w:lineRule="auto"/>
      <w:ind w:left="420" w:hanging="420"/>
    </w:pPr>
    <w:rPr>
      <w:b/>
      <w:color w:val="000000"/>
      <w:sz w:val="24"/>
      <w:szCs w:val="20"/>
    </w:rPr>
  </w:style>
  <w:style w:type="paragraph" w:customStyle="1" w:styleId="80">
    <w:name w:val="文档正文"/>
    <w:basedOn w:val="1"/>
    <w:qFormat/>
    <w:uiPriority w:val="0"/>
    <w:pPr>
      <w:adjustRightInd w:val="0"/>
      <w:spacing w:line="480" w:lineRule="atLeast"/>
      <w:ind w:firstLine="567" w:firstLineChars="200"/>
    </w:pPr>
    <w:rPr>
      <w:rFonts w:ascii="长城仿宋"/>
      <w:kern w:val="0"/>
      <w:szCs w:val="20"/>
    </w:rPr>
  </w:style>
  <w:style w:type="paragraph" w:styleId="81">
    <w:name w:val="List Paragraph"/>
    <w:basedOn w:val="1"/>
    <w:qFormat/>
    <w:uiPriority w:val="34"/>
    <w:pPr>
      <w:ind w:firstLine="420" w:firstLineChars="200"/>
    </w:pPr>
  </w:style>
  <w:style w:type="character" w:customStyle="1" w:styleId="82">
    <w:name w:val="批注文字 Char1"/>
    <w:basedOn w:val="35"/>
    <w:semiHidden/>
    <w:qFormat/>
    <w:uiPriority w:val="99"/>
    <w:rPr>
      <w:rFonts w:ascii="Times New Roman" w:hAnsi="Times New Roman" w:eastAsia="宋体" w:cs="Times New Roman"/>
      <w:szCs w:val="24"/>
    </w:rPr>
  </w:style>
  <w:style w:type="paragraph" w:customStyle="1" w:styleId="83">
    <w:name w:val="修订1"/>
    <w:hidden/>
    <w:unhideWhenUsed/>
    <w:qFormat/>
    <w:uiPriority w:val="99"/>
    <w:rPr>
      <w:rFonts w:ascii="Times New Roman" w:hAnsi="Times New Roman" w:eastAsia="宋体" w:cs="Times New Roman"/>
      <w:kern w:val="2"/>
      <w:sz w:val="21"/>
      <w:szCs w:val="24"/>
      <w:lang w:val="en-US" w:eastAsia="zh-CN" w:bidi="ar-SA"/>
    </w:rPr>
  </w:style>
  <w:style w:type="table" w:customStyle="1" w:styleId="84">
    <w:name w:val="网格型1"/>
    <w:basedOn w:val="33"/>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85">
    <w:name w:val="网格型2"/>
    <w:basedOn w:val="3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86">
    <w:name w:val="网格型11"/>
    <w:basedOn w:val="3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87">
    <w:name w:val="网格型3"/>
    <w:basedOn w:val="3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8">
    <w:name w:val="fontstyle01"/>
    <w:basedOn w:val="35"/>
    <w:qFormat/>
    <w:uiPriority w:val="0"/>
    <w:rPr>
      <w:rFonts w:ascii="仿宋_GB2312" w:eastAsia="仿宋_GB2312" w:cs="仿宋_GB2312"/>
      <w:color w:val="000000"/>
      <w:sz w:val="32"/>
      <w:szCs w:val="32"/>
    </w:rPr>
  </w:style>
  <w:style w:type="paragraph" w:customStyle="1" w:styleId="89">
    <w:name w:val="非政府正文"/>
    <w:basedOn w:val="1"/>
    <w:qFormat/>
    <w:uiPriority w:val="0"/>
  </w:style>
  <w:style w:type="character" w:customStyle="1" w:styleId="90">
    <w:name w:val="font31"/>
    <w:basedOn w:val="35"/>
    <w:qFormat/>
    <w:uiPriority w:val="0"/>
    <w:rPr>
      <w:rFonts w:hint="default" w:ascii="Times New Roman" w:hAnsi="Times New Roman" w:cs="Times New Roman"/>
      <w:color w:val="000000"/>
      <w:sz w:val="18"/>
      <w:szCs w:val="18"/>
      <w:u w:val="none"/>
    </w:rPr>
  </w:style>
  <w:style w:type="paragraph" w:customStyle="1" w:styleId="91">
    <w:name w:val="_Style 3"/>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4116</Words>
  <Characters>4174</Characters>
  <Lines>827</Lines>
  <Paragraphs>807</Paragraphs>
  <TotalTime>0</TotalTime>
  <ScaleCrop>false</ScaleCrop>
  <LinksUpToDate>false</LinksUpToDate>
  <CharactersWithSpaces>4183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2026-03-15T02:45:00Z</dcterms:created>
  <dc:creator>陈思成</dc:creator>
  <cp:lastModifiedBy>王林辉</cp:lastModifiedBy>
  <cp:lastPrinted>2022-01-20T19:04:00Z</cp:lastPrinted>
  <dcterms:modified xsi:type="dcterms:W3CDTF">2026-04-10T02:45:34Z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3ECD53F0FFB04D6EBB8653E6888F9636_13</vt:lpwstr>
  </property>
  <property fmtid="{D5CDD505-2E9C-101B-9397-08002B2CF9AE}" pid="4" name="KSOTemplateDocerSaveRecord">
    <vt:lpwstr>eyJoZGlkIjoiYzcwYWMxY2IzOGE0MWIzNzQxNjEyYWQ5MWYyZWE2MzEiLCJ1c2VySWQiOiIxNTQ2MDYxMzEwIn0=</vt:lpwstr>
  </property>
</Properties>
</file>