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highlight w:val="none"/>
          <w:lang w:eastAsia="zh-CN"/>
        </w:rPr>
      </w:pPr>
    </w:p>
    <w:p>
      <w:pPr>
        <w:shd w:val="clear"/>
        <w:jc w:val="both"/>
        <w:rPr>
          <w:rFonts w:hint="eastAsia" w:ascii="方正小标宋简体" w:hAnsi="方正小标宋简体" w:eastAsia="方正小标宋简体" w:cs="方正小标宋简体"/>
          <w:color w:val="auto"/>
          <w:sz w:val="52"/>
          <w:szCs w:val="72"/>
          <w:highlight w:val="none"/>
          <w:lang w:eastAsia="zh-CN"/>
        </w:rPr>
      </w:pPr>
    </w:p>
    <w:p>
      <w:pPr>
        <w:shd w:val="clear"/>
        <w:jc w:val="center"/>
        <w:outlineLvl w:val="0"/>
        <w:rPr>
          <w:rFonts w:hint="eastAsia" w:ascii="方正小标宋_GBK" w:hAnsi="方正小标宋_GBK" w:eastAsia="方正小标宋_GBK" w:cs="方正小标宋_GBK"/>
          <w:color w:val="auto"/>
          <w:sz w:val="52"/>
          <w:szCs w:val="72"/>
          <w:highlight w:val="none"/>
          <w:lang w:eastAsia="zh-CN"/>
        </w:rPr>
      </w:pPr>
      <w:r>
        <w:rPr>
          <w:rFonts w:hint="eastAsia" w:ascii="方正小标宋_GBK" w:hAnsi="方正小标宋_GBK" w:eastAsia="方正小标宋_GBK" w:cs="方正小标宋_GBK"/>
          <w:color w:val="auto"/>
          <w:sz w:val="52"/>
          <w:szCs w:val="72"/>
          <w:highlight w:val="none"/>
          <w:lang w:eastAsia="zh-CN"/>
        </w:rPr>
        <w:t>深圳市罗湖区</w:t>
      </w:r>
      <w:r>
        <w:rPr>
          <w:rFonts w:hint="eastAsia" w:ascii="方正小标宋_GBK" w:hAnsi="方正小标宋_GBK" w:eastAsia="方正小标宋_GBK" w:cs="方正小标宋_GBK"/>
          <w:color w:val="auto"/>
          <w:sz w:val="52"/>
          <w:szCs w:val="72"/>
          <w:highlight w:val="none"/>
          <w:lang w:val="en-US" w:eastAsia="zh-CN"/>
        </w:rPr>
        <w:t>2026年</w:t>
      </w:r>
      <w:r>
        <w:rPr>
          <w:rFonts w:hint="eastAsia" w:ascii="方正小标宋_GBK" w:hAnsi="方正小标宋_GBK" w:eastAsia="方正小标宋_GBK" w:cs="方正小标宋_GBK"/>
          <w:color w:val="auto"/>
          <w:sz w:val="52"/>
          <w:szCs w:val="72"/>
          <w:highlight w:val="none"/>
          <w:lang w:eastAsia="zh-CN"/>
        </w:rPr>
        <w:t>政府投资</w:t>
      </w:r>
    </w:p>
    <w:p>
      <w:pPr>
        <w:shd w:val="clear"/>
        <w:jc w:val="center"/>
        <w:outlineLvl w:val="0"/>
        <w:rPr>
          <w:rFonts w:hint="eastAsia" w:ascii="方正小标宋_GBK" w:hAnsi="方正小标宋_GBK" w:eastAsia="方正小标宋_GBK" w:cs="方正小标宋_GBK"/>
          <w:color w:val="auto"/>
          <w:sz w:val="52"/>
          <w:szCs w:val="72"/>
          <w:highlight w:val="none"/>
          <w:lang w:eastAsia="zh-CN"/>
        </w:rPr>
      </w:pPr>
      <w:r>
        <w:rPr>
          <w:rFonts w:hint="eastAsia" w:ascii="方正小标宋_GBK" w:hAnsi="方正小标宋_GBK" w:eastAsia="方正小标宋_GBK" w:cs="方正小标宋_GBK"/>
          <w:color w:val="auto"/>
          <w:sz w:val="52"/>
          <w:szCs w:val="72"/>
          <w:highlight w:val="none"/>
          <w:lang w:eastAsia="zh-CN"/>
        </w:rPr>
        <w:t>项目计划</w:t>
      </w:r>
    </w:p>
    <w:p>
      <w:pPr>
        <w:shd w:val="clear"/>
        <w:jc w:val="center"/>
        <w:rPr>
          <w:rFonts w:hint="eastAsia" w:ascii="方正小标宋简体" w:hAnsi="方正小标宋简体" w:eastAsia="方正小标宋简体" w:cs="方正小标宋简体"/>
          <w:color w:val="auto"/>
          <w:sz w:val="52"/>
          <w:szCs w:val="72"/>
          <w:highlight w:val="none"/>
          <w:lang w:eastAsia="zh-CN"/>
        </w:rPr>
      </w:pPr>
    </w:p>
    <w:p>
      <w:pPr>
        <w:shd w:val="clear"/>
        <w:jc w:val="center"/>
        <w:rPr>
          <w:rFonts w:hint="eastAsia" w:ascii="方正小标宋简体" w:hAnsi="方正小标宋简体" w:eastAsia="方正小标宋简体" w:cs="方正小标宋简体"/>
          <w:color w:val="auto"/>
          <w:sz w:val="52"/>
          <w:szCs w:val="72"/>
          <w:highlight w:val="none"/>
          <w:lang w:eastAsia="zh-CN"/>
        </w:rPr>
      </w:pPr>
    </w:p>
    <w:p>
      <w:pPr>
        <w:shd w:val="clear"/>
        <w:jc w:val="center"/>
        <w:rPr>
          <w:rFonts w:hint="eastAsia" w:ascii="方正小标宋简体" w:hAnsi="方正小标宋简体" w:eastAsia="方正小标宋简体" w:cs="方正小标宋简体"/>
          <w:color w:val="auto"/>
          <w:sz w:val="52"/>
          <w:szCs w:val="72"/>
          <w:highlight w:val="none"/>
          <w:lang w:eastAsia="zh-CN"/>
        </w:rPr>
      </w:pPr>
    </w:p>
    <w:p>
      <w:pPr>
        <w:shd w:val="clear"/>
        <w:jc w:val="center"/>
        <w:rPr>
          <w:rFonts w:hint="eastAsia" w:ascii="方正小标宋简体" w:hAnsi="方正小标宋简体" w:eastAsia="方正小标宋简体" w:cs="方正小标宋简体"/>
          <w:color w:val="auto"/>
          <w:sz w:val="52"/>
          <w:szCs w:val="72"/>
          <w:highlight w:val="none"/>
          <w:lang w:eastAsia="zh-CN"/>
        </w:rPr>
      </w:pPr>
    </w:p>
    <w:p>
      <w:pPr>
        <w:pStyle w:val="4"/>
        <w:shd w:val="clear"/>
        <w:rPr>
          <w:rFonts w:hint="eastAsia" w:ascii="方正小标宋简体" w:hAnsi="方正小标宋简体" w:eastAsia="方正小标宋简体" w:cs="方正小标宋简体"/>
          <w:color w:val="auto"/>
          <w:sz w:val="52"/>
          <w:szCs w:val="72"/>
          <w:highlight w:val="none"/>
          <w:lang w:eastAsia="zh-CN"/>
        </w:rPr>
      </w:pPr>
    </w:p>
    <w:p>
      <w:pPr>
        <w:pStyle w:val="4"/>
        <w:shd w:val="clear"/>
        <w:rPr>
          <w:rFonts w:hint="eastAsia" w:ascii="方正小标宋简体" w:hAnsi="方正小标宋简体" w:eastAsia="方正小标宋简体" w:cs="方正小标宋简体"/>
          <w:color w:val="auto"/>
          <w:sz w:val="52"/>
          <w:szCs w:val="72"/>
          <w:highlight w:val="none"/>
          <w:lang w:eastAsia="zh-CN"/>
        </w:rPr>
      </w:pPr>
    </w:p>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outlineLvl w:val="0"/>
        <w:rPr>
          <w:rFonts w:hint="eastAsia" w:ascii="黑体" w:hAnsi="黑体" w:eastAsia="黑体" w:cs="黑体"/>
          <w:color w:val="auto"/>
          <w:sz w:val="44"/>
          <w:szCs w:val="44"/>
          <w:highlight w:val="none"/>
          <w:lang w:val="en-US" w:eastAsia="zh-CN"/>
        </w:rPr>
        <w:sectPr>
          <w:pgSz w:w="11906" w:h="16838"/>
          <w:pgMar w:top="1814" w:right="1474" w:bottom="1814" w:left="1474" w:header="851" w:footer="992" w:gutter="0"/>
          <w:pgNumType w:fmt="numberInDash" w:start="1"/>
          <w:cols w:space="720" w:num="1"/>
          <w:docGrid w:type="lines" w:linePitch="312" w:charSpace="0"/>
        </w:sectPr>
      </w:pPr>
    </w:p>
    <w:p>
      <w:pPr>
        <w:pStyle w:val="4"/>
        <w:keepNext w:val="0"/>
        <w:keepLines w:val="0"/>
        <w:pageBreakBefore w:val="0"/>
        <w:widowControl w:val="0"/>
        <w:shd w:val="clear"/>
        <w:kinsoku/>
        <w:wordWrap/>
        <w:overflowPunct/>
        <w:topLinePunct w:val="0"/>
        <w:autoSpaceDE/>
        <w:autoSpaceDN/>
        <w:bidi w:val="0"/>
        <w:adjustRightInd/>
        <w:snapToGrid/>
        <w:spacing w:line="580" w:lineRule="exact"/>
        <w:jc w:val="left"/>
        <w:textAlignment w:val="auto"/>
        <w:rPr>
          <w:rFonts w:hint="eastAsia"/>
          <w:color w:val="auto"/>
          <w:highlight w:val="none"/>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为全面贯彻落实党的二十大和二十届二中、三中、四中全会精神，认真贯彻落实2025年中央经济工作会议精神，按照省、市有关工作安排，与我区“十五五”规划纲要衔接，结合202</w:t>
      </w:r>
      <w:r>
        <w:rPr>
          <w:rFonts w:hint="default" w:ascii="仿宋_GB2312" w:hAnsi="仿宋_GB2312" w:eastAsia="仿宋_GB2312" w:cs="仿宋_GB2312"/>
          <w:color w:val="auto"/>
          <w:spacing w:val="0"/>
          <w:sz w:val="32"/>
          <w:szCs w:val="32"/>
          <w:highlight w:val="none"/>
          <w:lang w:val="en-US" w:eastAsia="zh-CN"/>
        </w:rPr>
        <w:t>5</w:t>
      </w:r>
      <w:r>
        <w:rPr>
          <w:rFonts w:hint="eastAsia" w:ascii="仿宋_GB2312" w:hAnsi="仿宋_GB2312" w:eastAsia="仿宋_GB2312" w:cs="仿宋_GB2312"/>
          <w:color w:val="auto"/>
          <w:spacing w:val="0"/>
          <w:sz w:val="32"/>
          <w:szCs w:val="32"/>
          <w:highlight w:val="none"/>
          <w:lang w:val="en-US" w:eastAsia="zh-CN"/>
        </w:rPr>
        <w:t>年度区政府投资项目计划执行情况和202</w:t>
      </w:r>
      <w:r>
        <w:rPr>
          <w:rFonts w:hint="default" w:ascii="仿宋_GB2312" w:hAnsi="仿宋_GB2312" w:eastAsia="仿宋_GB2312" w:cs="仿宋_GB2312"/>
          <w:color w:val="auto"/>
          <w:spacing w:val="0"/>
          <w:sz w:val="32"/>
          <w:szCs w:val="32"/>
          <w:highlight w:val="none"/>
          <w:lang w:val="en-US" w:eastAsia="zh-CN"/>
        </w:rPr>
        <w:t>6</w:t>
      </w:r>
      <w:r>
        <w:rPr>
          <w:rFonts w:hint="eastAsia" w:ascii="仿宋_GB2312" w:hAnsi="仿宋_GB2312" w:eastAsia="仿宋_GB2312" w:cs="仿宋_GB2312"/>
          <w:color w:val="auto"/>
          <w:spacing w:val="0"/>
          <w:sz w:val="32"/>
          <w:szCs w:val="32"/>
          <w:highlight w:val="none"/>
          <w:lang w:val="en-US" w:eastAsia="zh-CN"/>
        </w:rPr>
        <w:t>年区财政资金供给情况，经综合平衡并征求各相关单位意见，形成《深圳市罗湖区2026年政府投资项目计划（草案）》。</w:t>
      </w:r>
    </w:p>
    <w:p>
      <w:pPr>
        <w:keepNext w:val="0"/>
        <w:keepLines w:val="0"/>
        <w:pageBreakBefore w:val="0"/>
        <w:widowControl w:val="0"/>
        <w:kinsoku/>
        <w:wordWrap/>
        <w:overflowPunct/>
        <w:topLinePunct w:val="0"/>
        <w:autoSpaceDE/>
        <w:autoSpaceDN/>
        <w:bidi w:val="0"/>
        <w:adjustRightInd/>
        <w:snapToGrid/>
        <w:spacing w:line="580" w:lineRule="exact"/>
        <w:ind w:firstLine="616" w:firstLineChars="200"/>
        <w:jc w:val="both"/>
        <w:textAlignment w:val="auto"/>
        <w:outlineLvl w:val="9"/>
        <w:rPr>
          <w:rFonts w:hint="eastAsia" w:ascii="黑体" w:hAnsi="黑体" w:eastAsia="黑体" w:cs="黑体"/>
          <w:spacing w:val="-6"/>
          <w:sz w:val="32"/>
          <w:szCs w:val="40"/>
          <w:highlight w:val="none"/>
          <w:lang w:val="en-US" w:eastAsia="zh-CN"/>
        </w:rPr>
      </w:pPr>
      <w:r>
        <w:rPr>
          <w:rFonts w:hint="eastAsia" w:ascii="黑体" w:hAnsi="黑体" w:eastAsia="黑体" w:cs="黑体"/>
          <w:spacing w:val="-6"/>
          <w:sz w:val="32"/>
          <w:szCs w:val="40"/>
          <w:highlight w:val="none"/>
          <w:lang w:val="en-US" w:eastAsia="zh-CN"/>
        </w:rPr>
        <w:t>一、202</w:t>
      </w:r>
      <w:r>
        <w:rPr>
          <w:rFonts w:hint="default" w:ascii="黑体" w:hAnsi="黑体" w:eastAsia="黑体" w:cs="黑体"/>
          <w:spacing w:val="-6"/>
          <w:sz w:val="32"/>
          <w:szCs w:val="40"/>
          <w:highlight w:val="none"/>
          <w:lang w:val="en-US" w:eastAsia="zh-CN"/>
        </w:rPr>
        <w:t>5</w:t>
      </w:r>
      <w:r>
        <w:rPr>
          <w:rFonts w:hint="eastAsia" w:ascii="黑体" w:hAnsi="黑体" w:eastAsia="黑体" w:cs="黑体"/>
          <w:spacing w:val="-6"/>
          <w:sz w:val="32"/>
          <w:szCs w:val="40"/>
          <w:highlight w:val="none"/>
          <w:lang w:val="en-US" w:eastAsia="zh-CN"/>
        </w:rPr>
        <w:t>年区政府投资项目计划执行情况</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2025年全区投资工作锚定“三力三区”建设，全区政府投资重点投向产业发展、基础教育、医疗卫生等领域，安排项目</w:t>
      </w:r>
      <w:r>
        <w:rPr>
          <w:rFonts w:hint="default" w:ascii="仿宋_GB2312" w:hAnsi="仿宋_GB2312" w:eastAsia="仿宋_GB2312" w:cs="仿宋_GB2312"/>
          <w:color w:val="auto"/>
          <w:spacing w:val="0"/>
          <w:sz w:val="32"/>
          <w:szCs w:val="32"/>
          <w:highlight w:val="none"/>
          <w:lang w:val="en-US" w:eastAsia="zh-CN"/>
        </w:rPr>
        <w:t>262</w:t>
      </w:r>
      <w:r>
        <w:rPr>
          <w:rFonts w:hint="eastAsia" w:ascii="仿宋_GB2312" w:hAnsi="仿宋_GB2312" w:eastAsia="仿宋_GB2312" w:cs="仿宋_GB2312"/>
          <w:color w:val="auto"/>
          <w:spacing w:val="0"/>
          <w:sz w:val="32"/>
          <w:szCs w:val="32"/>
          <w:highlight w:val="none"/>
          <w:lang w:val="en-US" w:eastAsia="zh-CN"/>
        </w:rPr>
        <w:t>个，推动全社会固定资产投资完成</w:t>
      </w:r>
      <w:r>
        <w:rPr>
          <w:rFonts w:hint="default" w:ascii="仿宋_GB2312" w:hAnsi="仿宋_GB2312" w:eastAsia="仿宋_GB2312" w:cs="仿宋_GB2312"/>
          <w:color w:val="auto"/>
          <w:spacing w:val="0"/>
          <w:sz w:val="32"/>
          <w:szCs w:val="32"/>
          <w:highlight w:val="none"/>
          <w:lang w:val="en-US" w:eastAsia="zh-CN"/>
        </w:rPr>
        <w:t>359</w:t>
      </w:r>
      <w:r>
        <w:rPr>
          <w:rFonts w:hint="eastAsia" w:ascii="仿宋_GB2312" w:hAnsi="仿宋_GB2312" w:eastAsia="仿宋_GB2312" w:cs="仿宋_GB2312"/>
          <w:color w:val="auto"/>
          <w:spacing w:val="0"/>
          <w:sz w:val="32"/>
          <w:szCs w:val="32"/>
          <w:highlight w:val="none"/>
          <w:lang w:val="en-US" w:eastAsia="zh-CN"/>
        </w:rPr>
        <w:t>亿元，较好地发挥了政府投</w:t>
      </w:r>
      <w:bookmarkStart w:id="0" w:name="_GoBack"/>
      <w:bookmarkEnd w:id="0"/>
      <w:r>
        <w:rPr>
          <w:rFonts w:hint="eastAsia" w:ascii="仿宋_GB2312" w:hAnsi="仿宋_GB2312" w:eastAsia="仿宋_GB2312" w:cs="仿宋_GB2312"/>
          <w:color w:val="auto"/>
          <w:spacing w:val="0"/>
          <w:sz w:val="32"/>
          <w:szCs w:val="32"/>
          <w:highlight w:val="none"/>
          <w:lang w:val="en-US" w:eastAsia="zh-CN"/>
        </w:rPr>
        <w:t>资的引导、撬动作用。</w:t>
      </w:r>
    </w:p>
    <w:p>
      <w:pPr>
        <w:keepNext w:val="0"/>
        <w:keepLines w:val="0"/>
        <w:pageBreakBefore w:val="0"/>
        <w:widowControl w:val="0"/>
        <w:kinsoku/>
        <w:wordWrap/>
        <w:overflowPunct/>
        <w:topLinePunct w:val="0"/>
        <w:autoSpaceDE/>
        <w:autoSpaceDN/>
        <w:bidi w:val="0"/>
        <w:adjustRightInd/>
        <w:snapToGrid/>
        <w:spacing w:line="580" w:lineRule="exact"/>
        <w:ind w:firstLine="616" w:firstLineChars="200"/>
        <w:jc w:val="both"/>
        <w:textAlignment w:val="auto"/>
        <w:outlineLvl w:val="9"/>
        <w:rPr>
          <w:rFonts w:hint="eastAsia" w:ascii="黑体" w:hAnsi="黑体" w:eastAsia="黑体" w:cs="黑体"/>
          <w:spacing w:val="-6"/>
          <w:sz w:val="32"/>
          <w:szCs w:val="40"/>
          <w:highlight w:val="none"/>
          <w:lang w:val="en-US" w:eastAsia="zh-CN"/>
        </w:rPr>
      </w:pPr>
      <w:r>
        <w:rPr>
          <w:rFonts w:hint="eastAsia" w:ascii="黑体" w:hAnsi="黑体" w:eastAsia="黑体" w:cs="黑体"/>
          <w:spacing w:val="-6"/>
          <w:sz w:val="32"/>
          <w:szCs w:val="40"/>
          <w:highlight w:val="none"/>
          <w:lang w:val="en-US" w:eastAsia="zh-CN"/>
        </w:rPr>
        <w:t>二、202</w:t>
      </w:r>
      <w:r>
        <w:rPr>
          <w:rFonts w:hint="default" w:ascii="黑体" w:hAnsi="黑体" w:eastAsia="黑体" w:cs="黑体"/>
          <w:spacing w:val="-6"/>
          <w:sz w:val="32"/>
          <w:szCs w:val="40"/>
          <w:highlight w:val="none"/>
          <w:lang w:val="en-US" w:eastAsia="zh-CN"/>
        </w:rPr>
        <w:t>6</w:t>
      </w:r>
      <w:r>
        <w:rPr>
          <w:rFonts w:hint="eastAsia" w:ascii="黑体" w:hAnsi="黑体" w:eastAsia="黑体" w:cs="黑体"/>
          <w:spacing w:val="-6"/>
          <w:sz w:val="32"/>
          <w:szCs w:val="40"/>
          <w:highlight w:val="none"/>
          <w:lang w:val="en-US" w:eastAsia="zh-CN"/>
        </w:rPr>
        <w:t>年区政府投资项目计划安排情况</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16" w:firstLineChars="200"/>
        <w:jc w:val="both"/>
        <w:textAlignment w:val="auto"/>
        <w:rPr>
          <w:rFonts w:hint="eastAsia" w:ascii="楷体_GB2312" w:hAnsi="楷体_GB2312" w:eastAsia="楷体_GB2312" w:cs="楷体_GB2312"/>
          <w:color w:val="auto"/>
          <w:spacing w:val="-6"/>
          <w:sz w:val="32"/>
          <w:szCs w:val="32"/>
          <w:highlight w:val="none"/>
          <w:lang w:val="en-US" w:eastAsia="zh-CN"/>
        </w:rPr>
      </w:pPr>
      <w:r>
        <w:rPr>
          <w:rFonts w:hint="eastAsia" w:ascii="楷体_GB2312" w:hAnsi="楷体_GB2312" w:eastAsia="楷体_GB2312" w:cs="楷体_GB2312"/>
          <w:color w:val="auto"/>
          <w:spacing w:val="-6"/>
          <w:sz w:val="32"/>
          <w:szCs w:val="32"/>
          <w:highlight w:val="none"/>
          <w:lang w:val="en-US" w:eastAsia="zh-CN"/>
        </w:rPr>
        <w:t>指导思想</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以习近平新时代中国特色社会主义思想为指导，贯彻落实党的二十大和二十届二中、三中、四中全会精神，深入学习习近平总书记对广东、深圳系列重要讲话和重要指示精神，落实2025年中央经济工作会议精神，围绕全面建成社会主义现代化强国、实现第二个百年奋斗目标，落实省委“1310”具体部署，立足</w:t>
      </w:r>
      <w:r>
        <w:rPr>
          <w:rFonts w:hint="default" w:ascii="仿宋_GB2312" w:hAnsi="仿宋_GB2312" w:eastAsia="仿宋_GB2312" w:cs="仿宋_GB2312"/>
          <w:color w:val="auto"/>
          <w:spacing w:val="0"/>
          <w:sz w:val="32"/>
          <w:szCs w:val="32"/>
          <w:highlight w:val="none"/>
          <w:lang w:val="en-US" w:eastAsia="zh-CN"/>
        </w:rPr>
        <w:t>“十五五”</w:t>
      </w:r>
      <w:r>
        <w:rPr>
          <w:rFonts w:hint="eastAsia" w:ascii="仿宋_GB2312" w:hAnsi="仿宋_GB2312" w:eastAsia="仿宋_GB2312" w:cs="仿宋_GB2312"/>
          <w:color w:val="auto"/>
          <w:spacing w:val="0"/>
          <w:sz w:val="32"/>
          <w:szCs w:val="32"/>
          <w:highlight w:val="none"/>
          <w:lang w:val="en-US" w:eastAsia="zh-CN"/>
        </w:rPr>
        <w:t>开局新起点</w:t>
      </w:r>
      <w:r>
        <w:rPr>
          <w:rFonts w:hint="default" w:ascii="仿宋_GB2312" w:hAnsi="仿宋_GB2312" w:eastAsia="仿宋_GB2312" w:cs="仿宋_GB2312"/>
          <w:color w:val="auto"/>
          <w:spacing w:val="0"/>
          <w:sz w:val="32"/>
          <w:szCs w:val="32"/>
          <w:highlight w:val="none"/>
          <w:lang w:val="en-US" w:eastAsia="zh-CN"/>
        </w:rPr>
        <w:t>，</w:t>
      </w:r>
      <w:r>
        <w:rPr>
          <w:rFonts w:hint="eastAsia" w:ascii="仿宋_GB2312" w:hAnsi="仿宋_GB2312" w:eastAsia="仿宋_GB2312" w:cs="仿宋_GB2312"/>
          <w:color w:val="auto"/>
          <w:spacing w:val="0"/>
          <w:sz w:val="32"/>
          <w:szCs w:val="32"/>
          <w:highlight w:val="none"/>
          <w:lang w:val="en-US" w:eastAsia="zh-CN"/>
        </w:rPr>
        <w:t>以“百千万工程”为引领，统筹高质量发展和高水平发展，推进“三力三区”建设，多渠道积极筹措资金，</w:t>
      </w:r>
      <w:r>
        <w:rPr>
          <w:rFonts w:hint="default" w:ascii="仿宋_GB2312" w:hAnsi="仿宋_GB2312" w:eastAsia="仿宋_GB2312" w:cs="仿宋_GB2312"/>
          <w:color w:val="auto"/>
          <w:spacing w:val="0"/>
          <w:sz w:val="32"/>
          <w:szCs w:val="32"/>
          <w:highlight w:val="none"/>
          <w:lang w:val="en-US" w:eastAsia="zh-CN"/>
        </w:rPr>
        <w:t>全周期强化项目谋划、储备、建设、投产，全力保障民生、产业、重大战略项目落地见效，</w:t>
      </w:r>
      <w:r>
        <w:rPr>
          <w:rFonts w:hint="eastAsia" w:ascii="仿宋_GB2312" w:hAnsi="仿宋_GB2312" w:eastAsia="仿宋_GB2312" w:cs="仿宋_GB2312"/>
          <w:color w:val="auto"/>
          <w:spacing w:val="0"/>
          <w:sz w:val="32"/>
          <w:szCs w:val="32"/>
          <w:highlight w:val="none"/>
          <w:lang w:val="en-US" w:eastAsia="zh-CN"/>
        </w:rPr>
        <w:t>优先保障续建、投产项目，加快建设社会主义现代化可持续发展先锋城区。</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16" w:firstLineChars="200"/>
        <w:jc w:val="both"/>
        <w:textAlignment w:val="auto"/>
        <w:rPr>
          <w:rFonts w:hint="eastAsia" w:ascii="楷体_GB2312" w:hAnsi="楷体_GB2312" w:eastAsia="楷体_GB2312" w:cs="楷体_GB2312"/>
          <w:color w:val="auto"/>
          <w:spacing w:val="-6"/>
          <w:sz w:val="32"/>
          <w:szCs w:val="32"/>
          <w:highlight w:val="none"/>
          <w:lang w:val="en-US" w:eastAsia="zh-CN"/>
        </w:rPr>
      </w:pPr>
      <w:r>
        <w:rPr>
          <w:rFonts w:hint="eastAsia" w:ascii="楷体_GB2312" w:hAnsi="楷体_GB2312" w:eastAsia="楷体_GB2312" w:cs="楷体_GB2312"/>
          <w:color w:val="auto"/>
          <w:spacing w:val="-6"/>
          <w:sz w:val="32"/>
          <w:szCs w:val="32"/>
          <w:highlight w:val="none"/>
          <w:lang w:val="en-US" w:eastAsia="zh-CN"/>
        </w:rPr>
        <w:t>安排原则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ascii="Times New Roman" w:hAnsi="Times New Roman" w:eastAsia="仿宋_GB2312" w:cs="Times New Roman"/>
          <w:b/>
          <w:bCs/>
          <w:color w:val="auto"/>
          <w:spacing w:val="0"/>
          <w:kern w:val="2"/>
          <w:sz w:val="32"/>
          <w:szCs w:val="32"/>
          <w:highlight w:val="none"/>
          <w:lang w:val="en-US" w:eastAsia="zh-CN" w:bidi="ar-SA"/>
        </w:rPr>
        <w:t>一是扩大有效投资，为高质量</w:t>
      </w:r>
      <w:r>
        <w:rPr>
          <w:rFonts w:hint="default" w:ascii="Times New Roman" w:hAnsi="Times New Roman" w:eastAsia="仿宋_GB2312" w:cs="Times New Roman"/>
          <w:b/>
          <w:bCs/>
          <w:color w:val="auto"/>
          <w:spacing w:val="0"/>
          <w:kern w:val="2"/>
          <w:sz w:val="32"/>
          <w:szCs w:val="32"/>
          <w:highlight w:val="none"/>
          <w:lang w:val="en-US" w:eastAsia="zh-CN" w:bidi="ar-SA"/>
        </w:rPr>
        <w:t>发展</w:t>
      </w:r>
      <w:r>
        <w:rPr>
          <w:rFonts w:hint="eastAsia" w:ascii="Times New Roman" w:hAnsi="Times New Roman" w:eastAsia="仿宋_GB2312" w:cs="Times New Roman"/>
          <w:b/>
          <w:bCs/>
          <w:color w:val="auto"/>
          <w:spacing w:val="0"/>
          <w:kern w:val="2"/>
          <w:sz w:val="32"/>
          <w:szCs w:val="32"/>
          <w:highlight w:val="none"/>
          <w:lang w:val="en-US" w:eastAsia="zh-CN" w:bidi="ar-SA"/>
        </w:rPr>
        <w:t>提供支撑。</w:t>
      </w:r>
      <w:r>
        <w:rPr>
          <w:rFonts w:hint="eastAsia" w:ascii="Times New Roman" w:hAnsi="Times New Roman" w:eastAsia="仿宋_GB2312" w:cs="Times New Roman"/>
          <w:b w:val="0"/>
          <w:bCs w:val="0"/>
          <w:color w:val="auto"/>
          <w:spacing w:val="0"/>
          <w:kern w:val="2"/>
          <w:sz w:val="32"/>
          <w:szCs w:val="32"/>
          <w:highlight w:val="none"/>
          <w:lang w:val="en-US" w:eastAsia="zh-CN" w:bidi="ar-SA"/>
        </w:rPr>
        <w:t>围绕辖区经济社会高质量发展，紧扣新质生产力培育和新型基础设施升级，以笋岗—清水河重点片区、大梧桐生态融合区、深港现代商贸业升级发展区三大重点区域为引擎，聚焦有效益项目精准发力，优先保障成熟度高、带动性强的优质项目，强化政府投资的基础性、引领性作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ascii="Times New Roman" w:hAnsi="Times New Roman" w:eastAsia="仿宋_GB2312" w:cs="Times New Roman"/>
          <w:b/>
          <w:bCs/>
          <w:color w:val="auto"/>
          <w:spacing w:val="0"/>
          <w:kern w:val="2"/>
          <w:sz w:val="32"/>
          <w:szCs w:val="32"/>
          <w:highlight w:val="none"/>
          <w:lang w:val="en-US" w:eastAsia="zh-CN" w:bidi="ar-SA"/>
        </w:rPr>
        <w:t>二是优化投资结构，全面提升投资效益。</w:t>
      </w:r>
      <w:r>
        <w:rPr>
          <w:rFonts w:hint="eastAsia" w:ascii="仿宋_GB2312" w:hAnsi="Calibri" w:eastAsia="仿宋_GB2312" w:cs="Times New Roman"/>
          <w:b w:val="0"/>
          <w:bCs w:val="0"/>
          <w:color w:val="auto"/>
          <w:spacing w:val="0"/>
          <w:sz w:val="32"/>
          <w:szCs w:val="32"/>
          <w:highlight w:val="none"/>
          <w:lang w:val="en-US" w:eastAsia="zh-CN"/>
        </w:rPr>
        <w:t>增加产业发展领域资金投入，引领新质生产力发展；提升城区环境品质领域投资比</w:t>
      </w:r>
      <w:r>
        <w:rPr>
          <w:rFonts w:hint="eastAsia" w:ascii="Times New Roman" w:hAnsi="Times New Roman" w:eastAsia="仿宋_GB2312" w:cs="Times New Roman"/>
          <w:b w:val="0"/>
          <w:bCs w:val="0"/>
          <w:color w:val="auto"/>
          <w:spacing w:val="0"/>
          <w:kern w:val="2"/>
          <w:sz w:val="32"/>
          <w:szCs w:val="32"/>
          <w:highlight w:val="none"/>
          <w:lang w:val="en-US" w:eastAsia="zh-CN" w:bidi="ar-SA"/>
        </w:rPr>
        <w:t>例，针对性弥补城区短板；</w:t>
      </w:r>
      <w:r>
        <w:rPr>
          <w:rFonts w:hint="eastAsia" w:ascii="Times New Roman" w:hAnsi="Times New Roman" w:eastAsia="仿宋_GB2312" w:cs="Times New Roman"/>
          <w:b w:val="0"/>
          <w:bCs w:val="0"/>
          <w:color w:val="auto"/>
          <w:spacing w:val="-6"/>
          <w:kern w:val="2"/>
          <w:sz w:val="32"/>
          <w:szCs w:val="32"/>
          <w:highlight w:val="none"/>
          <w:lang w:val="en-US" w:eastAsia="zh-CN" w:bidi="ar-SA"/>
        </w:rPr>
        <w:t>基础教育、医疗卫生领域从规模提升向提供优质供给转变，全面落实投资于人、优化公共服务体系的要求。</w:t>
      </w:r>
      <w:r>
        <w:rPr>
          <w:rFonts w:hint="eastAsia" w:ascii="Times New Roman" w:hAnsi="Times New Roman" w:eastAsia="仿宋_GB2312" w:cs="Times New Roman"/>
          <w:b w:val="0"/>
          <w:bCs w:val="0"/>
          <w:color w:val="auto"/>
          <w:spacing w:val="0"/>
          <w:kern w:val="2"/>
          <w:sz w:val="32"/>
          <w:szCs w:val="32"/>
          <w:highlight w:val="none"/>
          <w:lang w:val="en-US" w:eastAsia="zh-CN" w:bidi="ar-SA"/>
        </w:rPr>
        <w:t>坚持投资于物与投资于人相结合，支撑发展新格局。</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ascii="Times New Roman" w:hAnsi="Times New Roman" w:eastAsia="仿宋_GB2312" w:cs="Times New Roman"/>
          <w:b/>
          <w:bCs/>
          <w:color w:val="auto"/>
          <w:spacing w:val="0"/>
          <w:kern w:val="2"/>
          <w:sz w:val="32"/>
          <w:szCs w:val="32"/>
          <w:highlight w:val="none"/>
          <w:lang w:val="en-US" w:eastAsia="zh-CN" w:bidi="ar-SA"/>
        </w:rPr>
        <w:t>三是强化资金筹措，多渠道保障项目建设。</w:t>
      </w:r>
      <w:r>
        <w:rPr>
          <w:rFonts w:hint="eastAsia" w:ascii="Times New Roman" w:hAnsi="Times New Roman" w:eastAsia="仿宋_GB2312" w:cs="Times New Roman"/>
          <w:b w:val="0"/>
          <w:bCs w:val="0"/>
          <w:color w:val="auto"/>
          <w:spacing w:val="0"/>
          <w:kern w:val="2"/>
          <w:sz w:val="32"/>
          <w:szCs w:val="32"/>
          <w:highlight w:val="none"/>
          <w:lang w:val="en-US" w:eastAsia="zh-CN" w:bidi="ar-SA"/>
        </w:rPr>
        <w:t>紧扣高效配置资源要求，推动资金、资源精准投放。全力争取专项债券，最大化争取市重点区域补助、中央预算内投资、超长期特别国债等上级政策性资金，保障重点区域、重点项目建设；优先发行一般债券，保障结决算项目资金。</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16" w:firstLineChars="200"/>
        <w:jc w:val="both"/>
        <w:textAlignment w:val="auto"/>
        <w:rPr>
          <w:rFonts w:hint="eastAsia" w:ascii="楷体_GB2312" w:hAnsi="楷体_GB2312" w:eastAsia="楷体_GB2312" w:cs="楷体_GB2312"/>
          <w:color w:val="auto"/>
          <w:spacing w:val="-6"/>
          <w:sz w:val="32"/>
          <w:szCs w:val="32"/>
          <w:highlight w:val="none"/>
          <w:lang w:val="en-US" w:eastAsia="zh-CN"/>
        </w:rPr>
      </w:pPr>
      <w:r>
        <w:rPr>
          <w:rFonts w:hint="eastAsia" w:ascii="楷体_GB2312" w:hAnsi="楷体_GB2312" w:eastAsia="楷体_GB2312" w:cs="楷体_GB2312"/>
          <w:color w:val="auto"/>
          <w:spacing w:val="-6"/>
          <w:sz w:val="32"/>
          <w:szCs w:val="32"/>
          <w:highlight w:val="none"/>
          <w:lang w:val="en-US" w:eastAsia="zh-CN"/>
        </w:rPr>
        <w:t>投资规模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16" w:firstLineChars="200"/>
        <w:jc w:val="both"/>
        <w:textAlignment w:val="auto"/>
        <w:rPr>
          <w:rFonts w:hint="default" w:ascii="仿宋_GB2312" w:hAnsi="仿宋_GB2312" w:eastAsia="仿宋_GB2312" w:cs="仿宋_GB2312"/>
          <w:b w:val="0"/>
          <w:bCs w:val="0"/>
          <w:color w:val="auto"/>
          <w:spacing w:val="-6"/>
          <w:sz w:val="32"/>
          <w:szCs w:val="32"/>
          <w:highlight w:val="none"/>
          <w:lang w:val="en-US" w:eastAsia="zh-CN"/>
        </w:rPr>
      </w:pPr>
      <w:r>
        <w:rPr>
          <w:rFonts w:hint="eastAsia" w:ascii="仿宋_GB2312" w:hAnsi="仿宋_GB2312" w:eastAsia="仿宋_GB2312" w:cs="仿宋_GB2312"/>
          <w:b w:val="0"/>
          <w:bCs w:val="0"/>
          <w:color w:val="auto"/>
          <w:spacing w:val="-6"/>
          <w:sz w:val="32"/>
          <w:szCs w:val="32"/>
          <w:highlight w:val="none"/>
          <w:lang w:val="en-US" w:eastAsia="zh-CN"/>
        </w:rPr>
        <w:t>202</w:t>
      </w:r>
      <w:r>
        <w:rPr>
          <w:rFonts w:hint="default" w:ascii="仿宋_GB2312" w:hAnsi="仿宋_GB2312" w:eastAsia="仿宋_GB2312" w:cs="仿宋_GB2312"/>
          <w:b w:val="0"/>
          <w:bCs w:val="0"/>
          <w:color w:val="auto"/>
          <w:spacing w:val="-6"/>
          <w:sz w:val="32"/>
          <w:szCs w:val="32"/>
          <w:highlight w:val="none"/>
          <w:lang w:val="en-US" w:eastAsia="zh-CN"/>
        </w:rPr>
        <w:t>6</w:t>
      </w:r>
      <w:r>
        <w:rPr>
          <w:rFonts w:hint="eastAsia" w:ascii="仿宋_GB2312" w:hAnsi="仿宋_GB2312" w:eastAsia="仿宋_GB2312" w:cs="仿宋_GB2312"/>
          <w:b w:val="0"/>
          <w:bCs w:val="0"/>
          <w:color w:val="auto"/>
          <w:spacing w:val="-6"/>
          <w:sz w:val="32"/>
          <w:szCs w:val="32"/>
          <w:highlight w:val="none"/>
          <w:lang w:val="en-US" w:eastAsia="zh-CN"/>
        </w:rPr>
        <w:t>年区政府投资项目计划总规模51亿元。</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16" w:firstLineChars="200"/>
        <w:jc w:val="both"/>
        <w:textAlignment w:val="auto"/>
        <w:rPr>
          <w:rFonts w:hint="eastAsia" w:ascii="楷体_GB2312" w:hAnsi="楷体_GB2312" w:eastAsia="楷体_GB2312" w:cs="楷体_GB2312"/>
          <w:color w:val="auto"/>
          <w:spacing w:val="-6"/>
          <w:sz w:val="32"/>
          <w:szCs w:val="32"/>
          <w:highlight w:val="none"/>
          <w:lang w:val="en-US" w:eastAsia="zh-CN"/>
        </w:rPr>
      </w:pPr>
      <w:r>
        <w:rPr>
          <w:rFonts w:hint="eastAsia" w:ascii="楷体_GB2312" w:hAnsi="楷体_GB2312" w:eastAsia="楷体_GB2312" w:cs="楷体_GB2312"/>
          <w:color w:val="auto"/>
          <w:spacing w:val="-6"/>
          <w:sz w:val="32"/>
          <w:szCs w:val="32"/>
          <w:highlight w:val="none"/>
          <w:lang w:val="en-US" w:eastAsia="zh-CN"/>
        </w:rPr>
        <w:t>各领域投资情况</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楷体" w:hAnsi="楷体" w:eastAsia="楷体" w:cs="楷体"/>
          <w:b w:val="0"/>
          <w:bCs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val="en-US" w:eastAsia="zh-CN"/>
        </w:rPr>
        <w:t>——</w:t>
      </w:r>
      <w:r>
        <w:rPr>
          <w:rFonts w:hint="eastAsia" w:ascii="仿宋_GB2312" w:hAnsi="仿宋_GB2312" w:eastAsia="仿宋_GB2312" w:cs="仿宋_GB2312"/>
          <w:b/>
          <w:bCs/>
          <w:color w:val="auto"/>
          <w:spacing w:val="0"/>
          <w:sz w:val="32"/>
          <w:szCs w:val="32"/>
          <w:highlight w:val="none"/>
          <w:lang w:val="en-US" w:eastAsia="zh-CN"/>
        </w:rPr>
        <w:t>产业发展领域：</w:t>
      </w:r>
      <w:r>
        <w:rPr>
          <w:rFonts w:hint="default" w:ascii="Times New Roman" w:hAnsi="Times New Roman" w:eastAsia="仿宋_GB2312" w:cs="Times New Roman"/>
          <w:b w:val="0"/>
          <w:bCs w:val="0"/>
          <w:spacing w:val="0"/>
          <w:sz w:val="32"/>
          <w:szCs w:val="32"/>
          <w:highlight w:val="none"/>
          <w:lang w:val="en-US" w:eastAsia="zh-CN"/>
        </w:rPr>
        <w:t>加快五大特色消费街区建设，</w:t>
      </w:r>
      <w:r>
        <w:rPr>
          <w:rFonts w:hint="eastAsia" w:ascii="仿宋_GB2312" w:hAnsi="仿宋_GB2312" w:eastAsia="仿宋_GB2312" w:cs="仿宋_GB2312"/>
          <w:b w:val="0"/>
          <w:bCs w:val="0"/>
          <w:color w:val="auto"/>
          <w:spacing w:val="0"/>
          <w:sz w:val="32"/>
          <w:szCs w:val="32"/>
          <w:highlight w:val="none"/>
          <w:lang w:val="en-US" w:eastAsia="zh-CN"/>
        </w:rPr>
        <w:t>推动笋岗家文化消费街区、水贝时尚设计总部经济集聚街区、东门商业步行街改造提升及人民南深港融合消费街区建设工程完工，</w:t>
      </w:r>
      <w:r>
        <w:rPr>
          <w:rFonts w:hint="default" w:ascii="Times New Roman" w:hAnsi="Times New Roman" w:eastAsia="仿宋_GB2312" w:cs="Times New Roman"/>
          <w:b w:val="0"/>
          <w:bCs w:val="0"/>
          <w:spacing w:val="0"/>
          <w:sz w:val="32"/>
          <w:szCs w:val="32"/>
          <w:highlight w:val="none"/>
          <w:lang w:val="en-US" w:eastAsia="zh-CN"/>
        </w:rPr>
        <w:t>打造国际消费中心城市核心区</w:t>
      </w:r>
      <w:r>
        <w:rPr>
          <w:rFonts w:hint="eastAsia" w:ascii="仿宋_GB2312" w:hAnsi="仿宋_GB2312" w:eastAsia="仿宋_GB2312" w:cs="仿宋_GB2312"/>
          <w:b w:val="0"/>
          <w:bCs w:val="0"/>
          <w:color w:val="auto"/>
          <w:spacing w:val="0"/>
          <w:sz w:val="32"/>
          <w:szCs w:val="32"/>
          <w:highlight w:val="none"/>
          <w:lang w:val="en-US" w:eastAsia="zh-CN"/>
        </w:rPr>
        <w:t>；</w:t>
      </w:r>
      <w:r>
        <w:rPr>
          <w:rFonts w:hint="eastAsia" w:ascii="Times New Roman" w:hAnsi="Times New Roman" w:eastAsia="仿宋_GB2312" w:cs="Times New Roman"/>
          <w:b w:val="0"/>
          <w:bCs w:val="0"/>
          <w:color w:val="auto"/>
          <w:spacing w:val="-6"/>
          <w:kern w:val="2"/>
          <w:sz w:val="32"/>
          <w:szCs w:val="32"/>
          <w:highlight w:val="none"/>
          <w:lang w:val="en-US" w:eastAsia="zh-CN" w:bidi="ar-SA"/>
        </w:rPr>
        <w:t>笋岗—清水河重点片区、大梧桐生态融合区、深港现代商贸业升级发展区等重点区域开发提速</w:t>
      </w:r>
      <w:r>
        <w:rPr>
          <w:rFonts w:hint="eastAsia" w:ascii="仿宋_GB2312" w:hAnsi="仿宋_GB2312" w:eastAsia="仿宋_GB2312" w:cs="仿宋_GB2312"/>
          <w:b w:val="0"/>
          <w:bCs w:val="0"/>
          <w:color w:val="auto"/>
          <w:spacing w:val="0"/>
          <w:sz w:val="32"/>
          <w:szCs w:val="32"/>
          <w:highlight w:val="none"/>
          <w:lang w:val="en-US" w:eastAsia="zh-CN"/>
        </w:rPr>
        <w:t>，加快玉</w:t>
      </w:r>
      <w:r>
        <w:rPr>
          <w:rFonts w:hint="eastAsia" w:ascii="仿宋_GB2312" w:hAnsi="Times New Roman" w:eastAsia="仿宋_GB2312"/>
          <w:color w:val="auto"/>
          <w:spacing w:val="0"/>
          <w:kern w:val="2"/>
          <w:sz w:val="32"/>
          <w:szCs w:val="32"/>
          <w:highlight w:val="none"/>
          <w:lang w:val="en-US" w:eastAsia="zh-CN" w:bidi="ar-SA"/>
        </w:rPr>
        <w:t>龙填埋场环境修复工程、深汕铁路罗湖北站站城一体化及上盖物业开发建设工程、深南东1号人工智能研发中心项目建设，争取</w:t>
      </w:r>
      <w:r>
        <w:rPr>
          <w:rFonts w:hint="eastAsia" w:ascii="仿宋_GB2312" w:hAnsi="Calibri" w:eastAsia="仿宋_GB2312" w:cs="Times New Roman"/>
          <w:color w:val="auto"/>
          <w:spacing w:val="0"/>
          <w:sz w:val="32"/>
          <w:szCs w:val="32"/>
          <w:highlight w:val="none"/>
          <w:lang w:val="en-US" w:eastAsia="zh-CN"/>
        </w:rPr>
        <w:t>罗湖区低空基础设施建设项目开工，</w:t>
      </w:r>
      <w:r>
        <w:rPr>
          <w:rFonts w:hint="eastAsia" w:ascii="仿宋_GB2312" w:hAnsi="Times New Roman" w:eastAsia="仿宋_GB2312"/>
          <w:color w:val="auto"/>
          <w:spacing w:val="0"/>
          <w:kern w:val="2"/>
          <w:sz w:val="32"/>
          <w:szCs w:val="32"/>
          <w:highlight w:val="none"/>
          <w:lang w:val="en-US" w:eastAsia="zh-CN" w:bidi="ar-SA"/>
        </w:rPr>
        <w:t>开展笋岗客整所上盖盖板及配套建设工程项目前期工作，继续</w:t>
      </w:r>
      <w:r>
        <w:rPr>
          <w:rFonts w:hint="eastAsia" w:ascii="Times New Roman" w:hAnsi="Times New Roman" w:eastAsia="仿宋_GB2312" w:cs="Times New Roman"/>
          <w:b w:val="0"/>
          <w:bCs w:val="0"/>
          <w:color w:val="auto"/>
          <w:spacing w:val="-6"/>
          <w:kern w:val="2"/>
          <w:sz w:val="32"/>
          <w:szCs w:val="32"/>
          <w:highlight w:val="none"/>
          <w:lang w:val="en-US" w:eastAsia="zh-CN" w:bidi="ar-SA"/>
        </w:rPr>
        <w:t>发挥三大重点片区的引擎带动作用。</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firstLine="642" w:firstLineChars="200"/>
        <w:jc w:val="both"/>
        <w:textAlignment w:val="auto"/>
        <w:rPr>
          <w:rFonts w:hint="eastAsia"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——基础教育领域：</w:t>
      </w:r>
      <w:r>
        <w:rPr>
          <w:rFonts w:hint="eastAsia" w:ascii="仿宋_GB2312" w:hAnsi="仿宋_GB2312" w:eastAsia="仿宋_GB2312" w:cs="仿宋_GB2312"/>
          <w:b w:val="0"/>
          <w:bCs w:val="0"/>
          <w:color w:val="auto"/>
          <w:spacing w:val="0"/>
          <w:sz w:val="32"/>
          <w:szCs w:val="32"/>
          <w:highlight w:val="none"/>
          <w:lang w:val="en-US" w:eastAsia="zh-CN"/>
        </w:rPr>
        <w:t>教育领域投资</w:t>
      </w:r>
      <w:r>
        <w:rPr>
          <w:rFonts w:hint="eastAsia" w:ascii="Times New Roman" w:hAnsi="Times New Roman" w:eastAsia="仿宋_GB2312" w:cs="Times New Roman"/>
          <w:b w:val="0"/>
          <w:bCs w:val="0"/>
          <w:color w:val="auto"/>
          <w:spacing w:val="-6"/>
          <w:kern w:val="2"/>
          <w:sz w:val="32"/>
          <w:szCs w:val="32"/>
          <w:highlight w:val="none"/>
          <w:lang w:val="en-US" w:eastAsia="zh-CN" w:bidi="ar-SA"/>
        </w:rPr>
        <w:t>从规模提升向提供优质供给转变，</w:t>
      </w:r>
      <w:r>
        <w:rPr>
          <w:rFonts w:hint="eastAsia" w:ascii="仿宋_GB2312" w:hAnsi="仿宋_GB2312" w:eastAsia="仿宋_GB2312" w:cs="仿宋_GB2312"/>
          <w:b w:val="0"/>
          <w:bCs w:val="0"/>
          <w:color w:val="auto"/>
          <w:spacing w:val="0"/>
          <w:sz w:val="32"/>
          <w:szCs w:val="32"/>
          <w:highlight w:val="none"/>
          <w:lang w:val="en-US" w:eastAsia="zh-CN"/>
        </w:rPr>
        <w:t>推动滨河实验学校新建工程、罗沙南地块学校新建工程、桂园中学改扩建工程、布心小学拆建工程等项目完工并投入使用；推动罗湖外语学校全寄宿制高中新建工程二期教师宿舍、翠园中学新校区新建二期综合宿舍楼工程、罗湖区学校食堂扩容改造提升工程等教育配套工程建设完成；加快红桂中学改扩建工程等项目建设进度；推动深圳市罗湖高级中学改扩建工程等项目新开工，</w:t>
      </w:r>
      <w:r>
        <w:rPr>
          <w:rFonts w:hint="eastAsia" w:ascii="Times New Roman" w:hAnsi="Times New Roman" w:eastAsia="仿宋_GB2312" w:cs="Times New Roman"/>
          <w:b w:val="0"/>
          <w:bCs w:val="0"/>
          <w:color w:val="auto"/>
          <w:spacing w:val="-6"/>
          <w:kern w:val="2"/>
          <w:sz w:val="32"/>
          <w:szCs w:val="32"/>
          <w:highlight w:val="none"/>
          <w:lang w:val="en-US" w:eastAsia="zh-CN" w:bidi="ar-SA"/>
        </w:rPr>
        <w:t>增加普通高中学位供给。</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sz w:val="32"/>
          <w:szCs w:val="32"/>
          <w:highlight w:val="none"/>
          <w:lang w:val="en-US" w:eastAsia="zh-CN"/>
        </w:rPr>
        <w:t>——</w:t>
      </w:r>
      <w:r>
        <w:rPr>
          <w:rFonts w:hint="eastAsia" w:ascii="仿宋_GB2312" w:hAnsi="仿宋_GB2312" w:eastAsia="仿宋_GB2312" w:cs="仿宋_GB2312"/>
          <w:b/>
          <w:bCs/>
          <w:color w:val="auto"/>
          <w:spacing w:val="0"/>
          <w:sz w:val="32"/>
          <w:szCs w:val="32"/>
          <w:highlight w:val="none"/>
          <w:lang w:val="en-US" w:eastAsia="zh-CN"/>
        </w:rPr>
        <w:t>医疗卫生领域：</w:t>
      </w:r>
      <w:r>
        <w:rPr>
          <w:rFonts w:hint="eastAsia" w:ascii="仿宋_GB2312" w:hAnsi="仿宋_GB2312" w:eastAsia="仿宋_GB2312" w:cs="仿宋_GB2312"/>
          <w:b w:val="0"/>
          <w:bCs w:val="0"/>
          <w:color w:val="auto"/>
          <w:spacing w:val="0"/>
          <w:sz w:val="32"/>
          <w:szCs w:val="32"/>
          <w:highlight w:val="none"/>
          <w:lang w:val="en-US" w:eastAsia="zh-CN"/>
        </w:rPr>
        <w:t>推动罗湖区妇幼保健院改扩建工程一期新楼交付使用并开办；完成生殖医学中心配套建设及医联体信息化、罗湖区翠竹社康新址改造工程建设；稳步推进罗湖区中医院扩建工程、市人民医院周边片区拆迁安置工程等项目建设，切实扩大优质医疗资源供给，</w:t>
      </w:r>
      <w:r>
        <w:rPr>
          <w:rFonts w:hint="eastAsia" w:ascii="仿宋_GB2312" w:hAnsi="Times New Roman" w:eastAsia="仿宋_GB2312"/>
          <w:color w:val="auto"/>
          <w:spacing w:val="0"/>
          <w:kern w:val="2"/>
          <w:sz w:val="32"/>
          <w:szCs w:val="32"/>
          <w:highlight w:val="none"/>
          <w:lang w:val="en-US" w:eastAsia="zh-CN" w:bidi="ar-SA"/>
        </w:rPr>
        <w:t>持续提升辖区医疗卫生服务水平。</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val="en-US" w:eastAsia="zh-CN"/>
        </w:rPr>
        <w:t>——</w:t>
      </w:r>
      <w:r>
        <w:rPr>
          <w:rFonts w:hint="eastAsia" w:ascii="仿宋_GB2312" w:hAnsi="仿宋_GB2312" w:eastAsia="仿宋_GB2312" w:cs="仿宋_GB2312"/>
          <w:b/>
          <w:bCs/>
          <w:color w:val="auto"/>
          <w:spacing w:val="0"/>
          <w:sz w:val="32"/>
          <w:szCs w:val="32"/>
          <w:highlight w:val="none"/>
          <w:lang w:val="en-US" w:eastAsia="zh-CN"/>
        </w:rPr>
        <w:t>综合交通领域：</w:t>
      </w:r>
      <w:r>
        <w:rPr>
          <w:rFonts w:hint="eastAsia" w:ascii="仿宋_GB2312" w:hAnsi="Times New Roman" w:eastAsia="仿宋_GB2312" w:cs="Times New Roman"/>
          <w:color w:val="auto"/>
          <w:spacing w:val="0"/>
          <w:kern w:val="2"/>
          <w:sz w:val="32"/>
          <w:szCs w:val="32"/>
          <w:highlight w:val="none"/>
          <w:lang w:val="en-US" w:eastAsia="zh-CN" w:bidi="ar-SA"/>
        </w:rPr>
        <w:t>完成</w:t>
      </w:r>
      <w:r>
        <w:rPr>
          <w:rFonts w:hint="eastAsia" w:ascii="仿宋_GB2312" w:hAnsi="Times New Roman" w:eastAsia="仿宋_GB2312"/>
          <w:color w:val="auto"/>
          <w:spacing w:val="0"/>
          <w:kern w:val="2"/>
          <w:sz w:val="32"/>
          <w:szCs w:val="32"/>
          <w:highlight w:val="none"/>
          <w:lang w:val="en-US" w:eastAsia="zh-CN" w:bidi="ar-SA"/>
        </w:rPr>
        <w:t>东门路升级改造、</w:t>
      </w:r>
      <w:r>
        <w:rPr>
          <w:rFonts w:hint="eastAsia" w:ascii="仿宋_GB2312" w:hAnsi="Calibri" w:eastAsia="仿宋_GB2312" w:cs="Times New Roman"/>
          <w:color w:val="auto"/>
          <w:spacing w:val="0"/>
          <w:sz w:val="32"/>
          <w:szCs w:val="32"/>
          <w:highlight w:val="none"/>
          <w:lang w:val="en-US" w:eastAsia="zh-CN"/>
        </w:rPr>
        <w:t>环仓南路建设工程、清水河三路拓宽改造工程</w:t>
      </w:r>
      <w:r>
        <w:rPr>
          <w:rFonts w:hint="eastAsia" w:ascii="仿宋_GB2312" w:hAnsi="Times New Roman" w:eastAsia="仿宋_GB2312"/>
          <w:color w:val="auto"/>
          <w:spacing w:val="0"/>
          <w:kern w:val="2"/>
          <w:sz w:val="32"/>
          <w:szCs w:val="32"/>
          <w:highlight w:val="none"/>
          <w:lang w:val="en-US" w:eastAsia="zh-CN" w:bidi="ar-SA"/>
        </w:rPr>
        <w:t>等项目建设；推进东部过境通道龙过水立交及衔接通道市政工程、罗湖深港现代商贸业升级发展区莲塘口岸配套连通工程、罗湖B1地块先行启动区配套市政工程开工建设；开展宝岗立交改造工程、红岗路道路改扩建工程等项目前期工作；打通重点</w:t>
      </w:r>
      <w:r>
        <w:rPr>
          <w:rFonts w:hint="eastAsia" w:ascii="仿宋_GB2312" w:hAnsi="Times New Roman" w:eastAsia="仿宋_GB2312" w:cs="Times New Roman"/>
          <w:color w:val="auto"/>
          <w:spacing w:val="0"/>
          <w:kern w:val="2"/>
          <w:sz w:val="32"/>
          <w:szCs w:val="32"/>
          <w:highlight w:val="none"/>
          <w:lang w:val="en-US" w:eastAsia="zh-CN" w:bidi="ar-SA"/>
        </w:rPr>
        <w:t>片区</w:t>
      </w:r>
      <w:r>
        <w:rPr>
          <w:rFonts w:hint="eastAsia" w:ascii="Times New Roman" w:hAnsi="Times New Roman" w:eastAsia="仿宋_GB2312" w:cs="Times New Roman"/>
          <w:b w:val="0"/>
          <w:bCs w:val="0"/>
          <w:color w:val="auto"/>
          <w:spacing w:val="-6"/>
          <w:kern w:val="2"/>
          <w:sz w:val="32"/>
          <w:szCs w:val="32"/>
          <w:highlight w:val="none"/>
          <w:lang w:val="en-US" w:eastAsia="zh-CN" w:bidi="ar-SA"/>
        </w:rPr>
        <w:t>对外通道，</w:t>
      </w:r>
      <w:r>
        <w:rPr>
          <w:rFonts w:hint="eastAsia" w:ascii="仿宋_GB2312" w:hAnsi="Times New Roman" w:eastAsia="仿宋_GB2312"/>
          <w:color w:val="auto"/>
          <w:spacing w:val="0"/>
          <w:kern w:val="2"/>
          <w:sz w:val="32"/>
          <w:szCs w:val="32"/>
          <w:highlight w:val="none"/>
          <w:lang w:val="en-US" w:eastAsia="zh-CN" w:bidi="ar-SA"/>
        </w:rPr>
        <w:t>优化</w:t>
      </w:r>
      <w:r>
        <w:rPr>
          <w:rFonts w:hint="eastAsia" w:ascii="仿宋_GB2312" w:hAnsi="Times New Roman" w:eastAsia="仿宋_GB2312" w:cs="Times New Roman"/>
          <w:color w:val="auto"/>
          <w:spacing w:val="0"/>
          <w:kern w:val="2"/>
          <w:sz w:val="32"/>
          <w:szCs w:val="32"/>
          <w:highlight w:val="none"/>
          <w:lang w:val="en-US" w:eastAsia="zh-CN" w:bidi="ar-SA"/>
        </w:rPr>
        <w:t>交通主干道与</w:t>
      </w:r>
      <w:r>
        <w:rPr>
          <w:rFonts w:hint="eastAsia" w:ascii="仿宋_GB2312" w:hAnsi="Times New Roman" w:eastAsia="仿宋_GB2312"/>
          <w:color w:val="auto"/>
          <w:spacing w:val="0"/>
          <w:kern w:val="2"/>
          <w:sz w:val="32"/>
          <w:szCs w:val="32"/>
          <w:highlight w:val="none"/>
          <w:lang w:val="en-US" w:eastAsia="zh-CN" w:bidi="ar-SA"/>
        </w:rPr>
        <w:t>区域</w:t>
      </w:r>
      <w:r>
        <w:rPr>
          <w:rFonts w:hint="eastAsia" w:ascii="仿宋_GB2312" w:hAnsi="Times New Roman" w:eastAsia="仿宋_GB2312" w:cs="Times New Roman"/>
          <w:color w:val="auto"/>
          <w:spacing w:val="0"/>
          <w:kern w:val="2"/>
          <w:sz w:val="32"/>
          <w:szCs w:val="32"/>
          <w:highlight w:val="none"/>
          <w:lang w:val="en-US" w:eastAsia="zh-CN" w:bidi="ar-SA"/>
        </w:rPr>
        <w:t>微循环</w:t>
      </w:r>
      <w:r>
        <w:rPr>
          <w:rFonts w:hint="eastAsia" w:ascii="仿宋_GB2312" w:hAnsi="Times New Roman" w:eastAsia="仿宋_GB2312"/>
          <w:color w:val="auto"/>
          <w:spacing w:val="0"/>
          <w:kern w:val="2"/>
          <w:sz w:val="32"/>
          <w:szCs w:val="32"/>
          <w:highlight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仿宋_GB2312"/>
          <w:b w:val="0"/>
          <w:i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val="en-US" w:eastAsia="zh-CN"/>
        </w:rPr>
        <w:t>——</w:t>
      </w:r>
      <w:r>
        <w:rPr>
          <w:rFonts w:hint="eastAsia" w:ascii="仿宋_GB2312" w:hAnsi="仿宋_GB2312" w:eastAsia="仿宋_GB2312" w:cs="仿宋_GB2312"/>
          <w:b/>
          <w:bCs/>
          <w:color w:val="auto"/>
          <w:spacing w:val="0"/>
          <w:sz w:val="32"/>
          <w:szCs w:val="32"/>
          <w:highlight w:val="none"/>
          <w:lang w:val="en-US" w:eastAsia="zh-CN"/>
        </w:rPr>
        <w:t>住房保障领域：</w:t>
      </w:r>
      <w:r>
        <w:rPr>
          <w:rFonts w:hint="eastAsia" w:ascii="仿宋_GB2312" w:hAnsi="宋体" w:eastAsia="仿宋_GB2312" w:cs="仿宋_GB2312"/>
          <w:b w:val="0"/>
          <w:i w:val="0"/>
          <w:color w:val="auto"/>
          <w:spacing w:val="0"/>
          <w:sz w:val="32"/>
          <w:szCs w:val="32"/>
          <w:highlight w:val="none"/>
          <w:lang w:val="en-US" w:eastAsia="zh-CN"/>
        </w:rPr>
        <w:t>持续完善住房保障，完成“二线插花地”棚户区改造项目收尾工作，交出和谐人居环境的幸福答卷；完成笋岗街道H301-0036宗地土地整备安置房建设，提供重大项目储备安置房及公共配套设施；推动罗湖区螺岭片区改造项目开工建设，为城市更新注入新动能，助力提升区域功能品质与综合承载力。</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Calibri" w:eastAsia="仿宋_GB2312" w:cs="Times New Roman"/>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val="en-US" w:eastAsia="zh-CN"/>
        </w:rPr>
        <w:t>——</w:t>
      </w:r>
      <w:r>
        <w:rPr>
          <w:rFonts w:hint="eastAsia" w:ascii="仿宋_GB2312" w:hAnsi="仿宋_GB2312" w:eastAsia="仿宋_GB2312" w:cs="仿宋_GB2312"/>
          <w:b/>
          <w:bCs/>
          <w:color w:val="auto"/>
          <w:spacing w:val="0"/>
          <w:sz w:val="32"/>
          <w:szCs w:val="32"/>
          <w:highlight w:val="none"/>
          <w:lang w:val="en-US" w:eastAsia="zh-CN"/>
        </w:rPr>
        <w:t>治水提质领域：</w:t>
      </w:r>
      <w:r>
        <w:rPr>
          <w:rFonts w:hint="eastAsia" w:ascii="仿宋_GB2312" w:hAnsi="仿宋_GB2312" w:eastAsia="仿宋_GB2312" w:cs="仿宋_GB2312"/>
          <w:b w:val="0"/>
          <w:bCs w:val="0"/>
          <w:color w:val="auto"/>
          <w:spacing w:val="0"/>
          <w:sz w:val="32"/>
          <w:szCs w:val="32"/>
          <w:highlight w:val="none"/>
          <w:lang w:val="en-US" w:eastAsia="zh-CN"/>
        </w:rPr>
        <w:t>坚持做好供水保障、污水治理和排涝减灾建设，推动罗湖区2023年优质饮用水入户改造和二次供水设施提标改造工程、罗湖区公共机构（建筑）供水设施提标改造工程、深圳河（罗湖桥段）连通工程、深圳河（深圳水库排洪河河口）连通工程等续建项目完工；加快深圳水库沙湾路侧水质保障工程、东湖公园雨水行泄通道工程建设进度；有序推进罗湖区小区正本清源巩固提升工程(第四批)、大坑水库排洪河防洪治理工程、罗湖区公共机构（建筑）供水设施提标改造工程(第三批)新开工建设，推进城区建筑老旧供排水设施提标改造。</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宋体" w:eastAsia="仿宋_GB2312" w:cs="仿宋_GB2312"/>
          <w:b w:val="0"/>
          <w:i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val="en-US" w:eastAsia="zh-CN"/>
        </w:rPr>
        <w:t>——</w:t>
      </w:r>
      <w:r>
        <w:rPr>
          <w:rFonts w:hint="eastAsia" w:ascii="仿宋_GB2312" w:hAnsi="仿宋_GB2312" w:eastAsia="仿宋_GB2312" w:cs="仿宋_GB2312"/>
          <w:b/>
          <w:bCs/>
          <w:color w:val="auto"/>
          <w:spacing w:val="0"/>
          <w:sz w:val="32"/>
          <w:szCs w:val="32"/>
          <w:highlight w:val="none"/>
          <w:lang w:val="en-US" w:eastAsia="zh-CN"/>
        </w:rPr>
        <w:t>文化体育领域：</w:t>
      </w:r>
      <w:r>
        <w:rPr>
          <w:rFonts w:hint="eastAsia" w:ascii="仿宋_GB2312" w:hAnsi="宋体" w:eastAsia="仿宋_GB2312" w:cs="仿宋_GB2312"/>
          <w:b w:val="0"/>
          <w:i w:val="0"/>
          <w:color w:val="auto"/>
          <w:spacing w:val="0"/>
          <w:sz w:val="32"/>
          <w:szCs w:val="32"/>
          <w:highlight w:val="none"/>
          <w:lang w:val="en-US" w:eastAsia="zh-CN"/>
        </w:rPr>
        <w:t>完善公共文化基础设施建设，全力推进“一馆一中心”项目完工并投入使用，</w:t>
      </w:r>
      <w:r>
        <w:rPr>
          <w:rFonts w:hint="eastAsia" w:ascii="仿宋_GB2312" w:hAnsi="宋体" w:eastAsia="仿宋_GB2312" w:cs="仿宋_GB2312"/>
          <w:b w:val="0"/>
          <w:i w:val="0"/>
          <w:color w:val="000000"/>
          <w:spacing w:val="0"/>
          <w:sz w:val="32"/>
          <w:szCs w:val="32"/>
          <w:highlight w:val="none"/>
          <w:lang w:val="en-US" w:eastAsia="zh-CN"/>
        </w:rPr>
        <w:t>改善公共文化设施服务条件</w:t>
      </w:r>
      <w:r>
        <w:rPr>
          <w:rFonts w:hint="eastAsia" w:ascii="仿宋_GB2312" w:hAnsi="宋体" w:eastAsia="仿宋_GB2312" w:cs="仿宋_GB2312"/>
          <w:b w:val="0"/>
          <w:i w:val="0"/>
          <w:color w:val="auto"/>
          <w:spacing w:val="0"/>
          <w:sz w:val="32"/>
          <w:szCs w:val="32"/>
          <w:highlight w:val="none"/>
          <w:lang w:val="en-US" w:eastAsia="zh-CN"/>
        </w:rPr>
        <w:t>；推动罗湖区文化馆新建工程、罗湖区美术馆升级改造工程加快建设，打造罗湖文化新地标；推动罗湖鹿丹运动中心新建工程、罗湖体育中心及周边配套设施建设工程新开工建设，推动罗湖文化强区建设</w:t>
      </w:r>
      <w:r>
        <w:rPr>
          <w:rFonts w:hint="eastAsia" w:ascii="Times New Roman" w:hAnsi="Times New Roman" w:eastAsia="仿宋_GB2312" w:cs="Times New Roman"/>
          <w:b w:val="0"/>
          <w:bCs w:val="0"/>
          <w:color w:val="auto"/>
          <w:spacing w:val="-6"/>
          <w:kern w:val="2"/>
          <w:sz w:val="32"/>
          <w:szCs w:val="32"/>
          <w:highlight w:val="none"/>
          <w:lang w:val="en-US" w:eastAsia="zh-CN" w:bidi="ar-SA"/>
        </w:rPr>
        <w:t>，为人民群众提供优质文体资源。</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bCs/>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w:t>
      </w:r>
      <w:r>
        <w:rPr>
          <w:rFonts w:hint="eastAsia" w:ascii="仿宋_GB2312" w:hAnsi="仿宋_GB2312" w:eastAsia="仿宋_GB2312" w:cs="仿宋_GB2312"/>
          <w:b/>
          <w:bCs/>
          <w:color w:val="auto"/>
          <w:spacing w:val="0"/>
          <w:kern w:val="2"/>
          <w:sz w:val="32"/>
          <w:szCs w:val="32"/>
          <w:highlight w:val="none"/>
          <w:lang w:val="en-US" w:eastAsia="zh-CN" w:bidi="ar-SA"/>
        </w:rPr>
        <w:t>城区品质领域：</w:t>
      </w:r>
      <w:r>
        <w:rPr>
          <w:rFonts w:hint="eastAsia" w:ascii="仿宋_GB2312" w:hAnsi="宋体" w:eastAsia="仿宋_GB2312" w:cs="仿宋_GB2312"/>
          <w:b w:val="0"/>
          <w:i w:val="0"/>
          <w:color w:val="auto"/>
          <w:spacing w:val="-6"/>
          <w:kern w:val="2"/>
          <w:sz w:val="32"/>
          <w:szCs w:val="32"/>
          <w:highlight w:val="none"/>
          <w:lang w:val="en-US" w:eastAsia="zh-CN" w:bidi="ar-SA"/>
        </w:rPr>
        <w:t>加快落实山海连城计划，</w:t>
      </w:r>
      <w:r>
        <w:rPr>
          <w:rFonts w:hint="default" w:ascii="仿宋_GB2312" w:hAnsi="宋体" w:eastAsia="仿宋_GB2312" w:cs="仿宋_GB2312"/>
          <w:b w:val="0"/>
          <w:i w:val="0"/>
          <w:color w:val="auto"/>
          <w:spacing w:val="-6"/>
          <w:kern w:val="2"/>
          <w:sz w:val="32"/>
          <w:szCs w:val="32"/>
          <w:highlight w:val="none"/>
          <w:lang w:val="en-US" w:eastAsia="zh-CN" w:bidi="ar-SA"/>
        </w:rPr>
        <w:t>完成红岗公园改造提升及周边生态廊桥（中、西廊桥）建设工程（二期）、围岭</w:t>
      </w:r>
      <w:r>
        <w:rPr>
          <w:rFonts w:hint="eastAsia" w:ascii="仿宋_GB2312" w:hAnsi="宋体" w:eastAsia="仿宋_GB2312" w:cs="仿宋_GB2312"/>
          <w:b w:val="0"/>
          <w:i w:val="0"/>
          <w:color w:val="auto"/>
          <w:spacing w:val="-6"/>
          <w:kern w:val="2"/>
          <w:sz w:val="32"/>
          <w:szCs w:val="32"/>
          <w:highlight w:val="none"/>
          <w:lang w:val="en-US" w:eastAsia="zh-CN" w:bidi="ar-SA"/>
        </w:rPr>
        <w:t>—</w:t>
      </w:r>
      <w:r>
        <w:rPr>
          <w:rFonts w:hint="default" w:ascii="仿宋_GB2312" w:hAnsi="宋体" w:eastAsia="仿宋_GB2312" w:cs="仿宋_GB2312"/>
          <w:b w:val="0"/>
          <w:i w:val="0"/>
          <w:color w:val="auto"/>
          <w:spacing w:val="-6"/>
          <w:kern w:val="2"/>
          <w:sz w:val="32"/>
          <w:szCs w:val="32"/>
          <w:highlight w:val="none"/>
          <w:lang w:val="en-US" w:eastAsia="zh-CN" w:bidi="ar-SA"/>
        </w:rPr>
        <w:t>布心山生态廊桥及东晓公园改扩建工程、深圳市儿童公园停车场改扩建工程、沿河北路低线公园等改造工程等8个项目建设；</w:t>
      </w:r>
      <w:r>
        <w:rPr>
          <w:rFonts w:hint="eastAsia" w:ascii="仿宋_GB2312" w:hAnsi="宋体" w:eastAsia="仿宋_GB2312" w:cs="仿宋_GB2312"/>
          <w:b w:val="0"/>
          <w:i w:val="0"/>
          <w:color w:val="auto"/>
          <w:spacing w:val="-6"/>
          <w:kern w:val="2"/>
          <w:sz w:val="32"/>
          <w:szCs w:val="32"/>
          <w:highlight w:val="none"/>
          <w:lang w:val="en-US" w:eastAsia="zh-CN" w:bidi="ar-SA"/>
        </w:rPr>
        <w:t>推动笋岗村整治提升工程、东湖街道梧桐山村整治提升项目开工建设，提升城区品质环境</w:t>
      </w:r>
      <w:r>
        <w:rPr>
          <w:rFonts w:hint="default" w:ascii="仿宋_GB2312" w:hAnsi="宋体" w:eastAsia="仿宋_GB2312" w:cs="仿宋_GB2312"/>
          <w:b w:val="0"/>
          <w:i w:val="0"/>
          <w:color w:val="auto"/>
          <w:spacing w:val="-6"/>
          <w:kern w:val="2"/>
          <w:sz w:val="32"/>
          <w:szCs w:val="32"/>
          <w:highlight w:val="none"/>
          <w:lang w:val="en-US" w:eastAsia="zh-CN" w:bidi="ar-SA"/>
        </w:rPr>
        <w:t>；</w:t>
      </w:r>
      <w:r>
        <w:rPr>
          <w:rFonts w:hint="eastAsia" w:ascii="仿宋_GB2312" w:hAnsi="宋体" w:eastAsia="仿宋_GB2312" w:cs="仿宋_GB2312"/>
          <w:b w:val="0"/>
          <w:i w:val="0"/>
          <w:color w:val="auto"/>
          <w:spacing w:val="-6"/>
          <w:kern w:val="2"/>
          <w:sz w:val="32"/>
          <w:szCs w:val="32"/>
          <w:highlight w:val="none"/>
          <w:lang w:val="en-US" w:eastAsia="zh-CN" w:bidi="ar-SA"/>
        </w:rPr>
        <w:t>有序推进环深圳水库绿道（修筑直接为林业生产服务的工程设施）</w:t>
      </w:r>
      <w:r>
        <w:rPr>
          <w:rFonts w:hint="default" w:ascii="仿宋_GB2312" w:hAnsi="宋体" w:eastAsia="仿宋_GB2312" w:cs="仿宋_GB2312"/>
          <w:b w:val="0"/>
          <w:i w:val="0"/>
          <w:color w:val="auto"/>
          <w:spacing w:val="-6"/>
          <w:kern w:val="2"/>
          <w:sz w:val="32"/>
          <w:szCs w:val="32"/>
          <w:highlight w:val="none"/>
          <w:lang w:val="en-US" w:eastAsia="zh-CN" w:bidi="ar-SA"/>
        </w:rPr>
        <w:t>、</w:t>
      </w:r>
      <w:r>
        <w:rPr>
          <w:rFonts w:hint="eastAsia" w:ascii="仿宋_GB2312" w:hAnsi="宋体" w:eastAsia="仿宋_GB2312" w:cs="仿宋_GB2312"/>
          <w:b w:val="0"/>
          <w:i w:val="0"/>
          <w:color w:val="auto"/>
          <w:spacing w:val="-6"/>
          <w:kern w:val="2"/>
          <w:sz w:val="32"/>
          <w:szCs w:val="32"/>
          <w:highlight w:val="none"/>
          <w:lang w:val="en-US" w:eastAsia="zh-CN" w:bidi="ar-SA"/>
        </w:rPr>
        <w:t>围岭片区文旅配套工程等项目开工建设，提</w:t>
      </w:r>
      <w:r>
        <w:rPr>
          <w:rFonts w:hint="eastAsia" w:ascii="仿宋_GB2312" w:hAnsi="Times New Roman" w:eastAsia="仿宋_GB2312" w:cs="Times New Roman"/>
          <w:b w:val="0"/>
          <w:bCs w:val="0"/>
          <w:color w:val="auto"/>
          <w:spacing w:val="-6"/>
          <w:sz w:val="32"/>
          <w:szCs w:val="32"/>
          <w:highlight w:val="none"/>
          <w:lang w:val="en-US" w:eastAsia="zh-CN"/>
        </w:rPr>
        <w:t>升城区环境品质</w:t>
      </w:r>
      <w:r>
        <w:rPr>
          <w:rFonts w:hint="eastAsia" w:ascii="Times New Roman" w:hAnsi="Times New Roman" w:eastAsia="仿宋_GB2312" w:cs="Times New Roman"/>
          <w:b w:val="0"/>
          <w:bCs w:val="0"/>
          <w:color w:val="auto"/>
          <w:spacing w:val="-6"/>
          <w:kern w:val="2"/>
          <w:sz w:val="32"/>
          <w:szCs w:val="32"/>
          <w:highlight w:val="none"/>
          <w:lang w:val="en-US" w:eastAsia="zh-CN" w:bidi="ar-SA"/>
        </w:rPr>
        <w:t>，有针对性地弥补城区短板。</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仿宋_GB2312"/>
          <w:b w:val="0"/>
          <w:i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val="en-US" w:eastAsia="zh-CN"/>
        </w:rPr>
        <w:t>——</w:t>
      </w:r>
      <w:r>
        <w:rPr>
          <w:rFonts w:hint="eastAsia" w:ascii="仿宋_GB2312" w:hAnsi="仿宋_GB2312" w:eastAsia="仿宋_GB2312" w:cs="仿宋_GB2312"/>
          <w:b/>
          <w:bCs/>
          <w:color w:val="auto"/>
          <w:spacing w:val="0"/>
          <w:sz w:val="32"/>
          <w:szCs w:val="32"/>
          <w:highlight w:val="none"/>
          <w:lang w:val="en-US" w:eastAsia="zh-CN"/>
        </w:rPr>
        <w:t>数字城区领域：</w:t>
      </w:r>
      <w:r>
        <w:rPr>
          <w:rFonts w:hint="eastAsia" w:ascii="仿宋_GB2312" w:hAnsi="宋体" w:eastAsia="仿宋_GB2312" w:cs="仿宋_GB2312"/>
          <w:b w:val="0"/>
          <w:i w:val="0"/>
          <w:color w:val="auto"/>
          <w:spacing w:val="0"/>
          <w:sz w:val="32"/>
          <w:szCs w:val="32"/>
          <w:highlight w:val="none"/>
          <w:lang w:val="en-US" w:eastAsia="zh-CN"/>
        </w:rPr>
        <w:t>持续推进城区服务、公共安全数字基础设施建设，</w:t>
      </w:r>
      <w:r>
        <w:rPr>
          <w:rFonts w:hint="eastAsia" w:ascii="仿宋_GB2312" w:hAnsi="宋体" w:eastAsia="仿宋_GB2312" w:cs="仿宋_GB2312"/>
          <w:b w:val="0"/>
          <w:i w:val="0"/>
          <w:color w:val="auto"/>
          <w:spacing w:val="0"/>
          <w:sz w:val="32"/>
          <w:szCs w:val="32"/>
          <w:highlight w:val="none"/>
          <w:lang w:eastAsia="zh-CN"/>
        </w:rPr>
        <w:t>推动</w:t>
      </w:r>
      <w:r>
        <w:rPr>
          <w:rFonts w:hint="eastAsia" w:ascii="仿宋_GB2312" w:hAnsi="宋体" w:eastAsia="仿宋_GB2312" w:cs="仿宋_GB2312"/>
          <w:b w:val="0"/>
          <w:i w:val="0"/>
          <w:color w:val="auto"/>
          <w:spacing w:val="0"/>
          <w:sz w:val="32"/>
          <w:szCs w:val="32"/>
          <w:highlight w:val="none"/>
          <w:lang w:val="en-US" w:eastAsia="zh-CN"/>
        </w:rPr>
        <w:t>罗湖区语料中心建设项目</w:t>
      </w:r>
      <w:r>
        <w:rPr>
          <w:rFonts w:hint="eastAsia" w:ascii="仿宋_GB2312" w:hAnsi="宋体" w:eastAsia="仿宋_GB2312" w:cs="仿宋_GB2312"/>
          <w:b w:val="0"/>
          <w:i w:val="0"/>
          <w:color w:val="auto"/>
          <w:spacing w:val="0"/>
          <w:sz w:val="32"/>
          <w:szCs w:val="32"/>
          <w:highlight w:val="none"/>
          <w:lang w:eastAsia="zh-CN"/>
        </w:rPr>
        <w:t>、罗湖区民生诉求智慧管理平台（二期）</w:t>
      </w:r>
      <w:r>
        <w:rPr>
          <w:rFonts w:hint="eastAsia" w:ascii="仿宋_GB2312" w:hAnsi="宋体" w:eastAsia="仿宋_GB2312" w:cs="仿宋_GB2312"/>
          <w:b w:val="0"/>
          <w:i w:val="0"/>
          <w:color w:val="auto"/>
          <w:spacing w:val="0"/>
          <w:sz w:val="32"/>
          <w:szCs w:val="32"/>
          <w:highlight w:val="none"/>
          <w:lang w:val="en-US" w:eastAsia="zh-CN"/>
        </w:rPr>
        <w:t>等4个项目年内完工，推动罗湖区街道智慧应急监测预警指挥中心项目完成前期工作，为罗湖基础服务、治理能力现代化提供保障。</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val="en-US" w:eastAsia="zh-CN"/>
        </w:rPr>
        <w:t>——</w:t>
      </w:r>
      <w:r>
        <w:rPr>
          <w:rFonts w:hint="eastAsia" w:ascii="仿宋_GB2312" w:hAnsi="仿宋_GB2312" w:eastAsia="仿宋_GB2312" w:cs="仿宋_GB2312"/>
          <w:b/>
          <w:bCs/>
          <w:color w:val="auto"/>
          <w:spacing w:val="0"/>
          <w:sz w:val="32"/>
          <w:szCs w:val="32"/>
          <w:highlight w:val="none"/>
          <w:lang w:val="en-US" w:eastAsia="zh-CN"/>
        </w:rPr>
        <w:t>城区安全领域：</w:t>
      </w:r>
      <w:r>
        <w:rPr>
          <w:rFonts w:hint="eastAsia" w:ascii="仿宋_GB2312" w:hAnsi="宋体" w:eastAsia="仿宋_GB2312" w:cs="仿宋_GB2312"/>
          <w:b w:val="0"/>
          <w:i w:val="0"/>
          <w:color w:val="auto"/>
          <w:spacing w:val="0"/>
          <w:sz w:val="32"/>
          <w:szCs w:val="32"/>
          <w:highlight w:val="none"/>
          <w:lang w:val="en-US" w:eastAsia="zh-CN"/>
        </w:rPr>
        <w:t>增强城区安全防护韧性，完成</w:t>
      </w:r>
      <w:r>
        <w:rPr>
          <w:rFonts w:hint="eastAsia" w:ascii="仿宋_GB2312" w:hAnsi="宋体" w:eastAsia="仿宋_GB2312" w:cs="仿宋_GB2312"/>
          <w:b w:val="0"/>
          <w:i w:val="0"/>
          <w:color w:val="auto"/>
          <w:spacing w:val="0"/>
          <w:sz w:val="32"/>
          <w:szCs w:val="32"/>
          <w:highlight w:val="none"/>
          <w:lang w:eastAsia="zh-CN"/>
        </w:rPr>
        <w:t>罗湖区老旧电气安全隐患全面排查整治第二阶段老旧住宅部分工程第一批项目、省立绿道2号线（梧桐山二线巡逻路段）10处危险边坡治理工程等</w:t>
      </w:r>
      <w:r>
        <w:rPr>
          <w:rFonts w:hint="eastAsia" w:ascii="仿宋_GB2312" w:hAnsi="宋体" w:eastAsia="仿宋_GB2312" w:cs="仿宋_GB2312"/>
          <w:b w:val="0"/>
          <w:i w:val="0"/>
          <w:color w:val="auto"/>
          <w:spacing w:val="0"/>
          <w:sz w:val="32"/>
          <w:szCs w:val="32"/>
          <w:highlight w:val="none"/>
          <w:lang w:val="en-US" w:eastAsia="zh-CN"/>
        </w:rPr>
        <w:t>4个项目全部建设内容；推动罗湖区老旧居民住宅供配电系统安全改造（抄表到户）配套工程项目、布心城市更新片区配套电力基础设施建设项目等项目开工建设，解决</w:t>
      </w:r>
      <w:r>
        <w:rPr>
          <w:rFonts w:hint="eastAsia" w:ascii="仿宋_GB2312" w:hAnsi="仿宋_GB2312" w:eastAsia="仿宋_GB2312" w:cs="仿宋_GB2312"/>
          <w:b w:val="0"/>
          <w:bCs w:val="0"/>
          <w:color w:val="auto"/>
          <w:spacing w:val="0"/>
          <w:sz w:val="32"/>
          <w:szCs w:val="32"/>
          <w:highlight w:val="none"/>
          <w:lang w:val="en-US" w:eastAsia="zh-CN"/>
        </w:rPr>
        <w:t>供电设施老旧可能引起的电气火灾、触电等安全问题，消除城区安全隐患</w:t>
      </w:r>
      <w:r>
        <w:rPr>
          <w:rFonts w:hint="eastAsia" w:ascii="仿宋_GB2312" w:hAnsi="宋体" w:eastAsia="仿宋_GB2312" w:cs="仿宋_GB2312"/>
          <w:b w:val="0"/>
          <w:i w:val="0"/>
          <w:color w:val="auto"/>
          <w:spacing w:val="0"/>
          <w:sz w:val="32"/>
          <w:szCs w:val="32"/>
          <w:highlight w:val="none"/>
          <w:lang w:eastAsia="zh-CN"/>
        </w:rPr>
        <w:t>。</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仿宋_GB2312"/>
          <w:b w:val="0"/>
          <w:i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val="en-US" w:eastAsia="zh-CN"/>
        </w:rPr>
        <w:t>——</w:t>
      </w:r>
      <w:r>
        <w:rPr>
          <w:rFonts w:hint="eastAsia" w:ascii="仿宋_GB2312" w:hAnsi="仿宋_GB2312" w:eastAsia="仿宋_GB2312" w:cs="仿宋_GB2312"/>
          <w:b/>
          <w:bCs/>
          <w:color w:val="auto"/>
          <w:spacing w:val="0"/>
          <w:sz w:val="32"/>
          <w:szCs w:val="32"/>
          <w:highlight w:val="none"/>
          <w:lang w:val="en-US" w:eastAsia="zh-CN"/>
        </w:rPr>
        <w:t>基层社会治理领域：</w:t>
      </w:r>
      <w:r>
        <w:rPr>
          <w:rFonts w:hint="eastAsia" w:ascii="仿宋_GB2312" w:hAnsi="宋体" w:eastAsia="仿宋_GB2312" w:cs="仿宋_GB2312"/>
          <w:b w:val="0"/>
          <w:i w:val="0"/>
          <w:color w:val="auto"/>
          <w:spacing w:val="0"/>
          <w:sz w:val="32"/>
          <w:szCs w:val="32"/>
          <w:highlight w:val="none"/>
          <w:lang w:val="en-US" w:eastAsia="zh-CN"/>
        </w:rPr>
        <w:t>推动基层治理体系现代化、提高基层治理效能，推动</w:t>
      </w:r>
      <w:r>
        <w:rPr>
          <w:rFonts w:hint="eastAsia" w:ascii="仿宋_GB2312" w:hAnsi="Calibri" w:eastAsia="仿宋_GB2312" w:cs="Times New Roman"/>
          <w:color w:val="auto"/>
          <w:spacing w:val="-6"/>
          <w:sz w:val="32"/>
          <w:szCs w:val="32"/>
          <w:highlight w:val="none"/>
          <w:lang w:val="en-US" w:eastAsia="zh-CN"/>
        </w:rPr>
        <w:t>罗湖交警大队基层业务用房及配套设施迁址重建项目、</w:t>
      </w:r>
      <w:r>
        <w:rPr>
          <w:rFonts w:hint="eastAsia" w:ascii="仿宋_GB2312" w:hAnsi="宋体" w:eastAsia="仿宋_GB2312" w:cs="仿宋_GB2312"/>
          <w:b w:val="0"/>
          <w:i w:val="0"/>
          <w:color w:val="auto"/>
          <w:spacing w:val="0"/>
          <w:sz w:val="32"/>
          <w:szCs w:val="32"/>
          <w:highlight w:val="none"/>
          <w:lang w:val="en-US" w:eastAsia="zh-CN"/>
        </w:rPr>
        <w:t>东晓派出所原址拆除重建工程等</w:t>
      </w:r>
      <w:r>
        <w:rPr>
          <w:rFonts w:hint="default" w:ascii="仿宋_GB2312" w:hAnsi="宋体" w:eastAsia="仿宋_GB2312" w:cs="仿宋_GB2312"/>
          <w:b w:val="0"/>
          <w:i w:val="0"/>
          <w:color w:val="auto"/>
          <w:spacing w:val="0"/>
          <w:sz w:val="32"/>
          <w:szCs w:val="32"/>
          <w:highlight w:val="none"/>
          <w:lang w:val="en-US" w:eastAsia="zh-CN"/>
        </w:rPr>
        <w:t>3</w:t>
      </w:r>
      <w:r>
        <w:rPr>
          <w:rFonts w:hint="eastAsia" w:ascii="仿宋_GB2312" w:hAnsi="宋体" w:eastAsia="仿宋_GB2312" w:cs="仿宋_GB2312"/>
          <w:b w:val="0"/>
          <w:i w:val="0"/>
          <w:color w:val="auto"/>
          <w:spacing w:val="0"/>
          <w:sz w:val="32"/>
          <w:szCs w:val="32"/>
          <w:highlight w:val="none"/>
          <w:lang w:val="en-US" w:eastAsia="zh-CN"/>
        </w:rPr>
        <w:t>个续建项目收尾完工，完善基层警务支持架构；加速</w:t>
      </w:r>
      <w:r>
        <w:rPr>
          <w:rFonts w:hint="eastAsia" w:ascii="仿宋_GB2312" w:hAnsi="宋体" w:eastAsia="仿宋_GB2312" w:cs="仿宋_GB2312"/>
          <w:b w:val="0"/>
          <w:i w:val="0"/>
          <w:color w:val="auto"/>
          <w:spacing w:val="0"/>
          <w:sz w:val="32"/>
          <w:szCs w:val="32"/>
          <w:highlight w:val="none"/>
          <w:lang w:eastAsia="zh-CN"/>
        </w:rPr>
        <w:t>推进深圳公安分局东湖派出所（燕鹏工作点）建设工程</w:t>
      </w:r>
      <w:r>
        <w:rPr>
          <w:rFonts w:hint="eastAsia" w:ascii="仿宋_GB2312" w:hAnsi="宋体" w:eastAsia="仿宋_GB2312" w:cs="仿宋_GB2312"/>
          <w:b w:val="0"/>
          <w:i w:val="0"/>
          <w:color w:val="auto"/>
          <w:spacing w:val="0"/>
          <w:sz w:val="32"/>
          <w:szCs w:val="32"/>
          <w:highlight w:val="none"/>
          <w:lang w:val="en-US" w:eastAsia="zh-CN"/>
        </w:rPr>
        <w:t>，夯实社区安全基础。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16" w:firstLineChars="200"/>
        <w:jc w:val="both"/>
        <w:textAlignment w:val="auto"/>
        <w:rPr>
          <w:rFonts w:hint="eastAsia" w:ascii="黑体" w:hAnsi="黑体" w:eastAsia="黑体" w:cs="黑体"/>
          <w:b w:val="0"/>
          <w:bCs w:val="0"/>
          <w:color w:val="auto"/>
          <w:spacing w:val="-6"/>
          <w:sz w:val="32"/>
          <w:szCs w:val="32"/>
          <w:highlight w:val="none"/>
          <w:lang w:val="en-US" w:eastAsia="zh-CN"/>
        </w:rPr>
      </w:pPr>
      <w:r>
        <w:rPr>
          <w:rFonts w:hint="eastAsia" w:ascii="黑体" w:hAnsi="黑体" w:eastAsia="黑体" w:cs="黑体"/>
          <w:b w:val="0"/>
          <w:bCs w:val="0"/>
          <w:color w:val="auto"/>
          <w:spacing w:val="-6"/>
          <w:sz w:val="32"/>
          <w:szCs w:val="32"/>
          <w:highlight w:val="none"/>
          <w:lang w:val="en-US" w:eastAsia="zh-CN"/>
        </w:rPr>
        <w:t>三、保障措施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18" w:firstLineChars="200"/>
        <w:jc w:val="both"/>
        <w:textAlignment w:val="auto"/>
        <w:rPr>
          <w:rFonts w:hint="eastAsia" w:ascii="仿宋_GB2312" w:hAnsi="仿宋_GB2312" w:eastAsia="仿宋_GB2312" w:cs="仿宋_GB2312"/>
          <w:b w:val="0"/>
          <w:bCs w:val="0"/>
          <w:spacing w:val="0"/>
          <w:kern w:val="2"/>
          <w:sz w:val="32"/>
          <w:szCs w:val="32"/>
          <w:highlight w:val="none"/>
          <w:u w:val="none" w:color="F43308"/>
          <w:lang w:val="en-US" w:eastAsia="zh-CN" w:bidi="ar"/>
        </w:rPr>
      </w:pPr>
      <w:r>
        <w:rPr>
          <w:rFonts w:hint="eastAsia" w:ascii="仿宋_GB2312" w:hAnsi="仿宋_GB2312" w:eastAsia="仿宋_GB2312" w:cs="仿宋_GB2312"/>
          <w:b/>
          <w:bCs/>
          <w:color w:val="auto"/>
          <w:spacing w:val="-6"/>
          <w:kern w:val="2"/>
          <w:sz w:val="32"/>
          <w:szCs w:val="32"/>
          <w:highlight w:val="none"/>
          <w:u w:val="none" w:color="F43308"/>
          <w:lang w:val="en-US" w:eastAsia="zh-CN" w:bidi="ar-SA"/>
        </w:rPr>
        <w:t>（一）</w:t>
      </w:r>
      <w:r>
        <w:rPr>
          <w:rFonts w:hint="eastAsia" w:ascii="仿宋_GB2312" w:hAnsi="仿宋_GB2312" w:eastAsia="仿宋_GB2312" w:cs="仿宋_GB2312"/>
          <w:b/>
          <w:bCs/>
          <w:spacing w:val="0"/>
          <w:kern w:val="2"/>
          <w:sz w:val="32"/>
          <w:szCs w:val="32"/>
          <w:highlight w:val="none"/>
          <w:u w:val="none" w:color="F43308"/>
          <w:lang w:val="en-US" w:eastAsia="zh-CN" w:bidi="ar"/>
        </w:rPr>
        <w:t>优化项目谋划调度机制，加大项目前期工作力度。</w:t>
      </w:r>
      <w:r>
        <w:rPr>
          <w:rFonts w:hint="eastAsia" w:ascii="仿宋_GB2312" w:hAnsi="仿宋_GB2312" w:eastAsia="仿宋_GB2312" w:cs="仿宋_GB2312"/>
          <w:b w:val="0"/>
          <w:bCs w:val="0"/>
          <w:spacing w:val="0"/>
          <w:kern w:val="2"/>
          <w:sz w:val="32"/>
          <w:szCs w:val="32"/>
          <w:highlight w:val="none"/>
          <w:u w:val="none" w:color="F43308"/>
          <w:lang w:val="en-US" w:eastAsia="zh-CN" w:bidi="ar"/>
        </w:rPr>
        <w:t>加强项目前期预研谋划和策划生成管理，建立“全周期、多层次、高效率”的项目谋划调度体系，确保项目谋划有方向、推进有保障。健全谋划一批、储备一批、前期一批、建设一批的重大项目接续实施机制，强化跟踪督办与决策支撑，设定各单位年度谋划项目指标，定期分析各单位报送、评审及生成情况，每半年形成专题报告呈报区主要领导，为投资决策提供依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18" w:firstLineChars="200"/>
        <w:jc w:val="both"/>
        <w:textAlignment w:val="auto"/>
        <w:rPr>
          <w:rFonts w:hint="eastAsia" w:ascii="仿宋_GB2312" w:hAnsi="仿宋_GB2312" w:eastAsia="仿宋_GB2312" w:cs="仿宋_GB2312"/>
          <w:b w:val="0"/>
          <w:bCs w:val="0"/>
          <w:color w:val="auto"/>
          <w:spacing w:val="-6"/>
          <w:kern w:val="2"/>
          <w:sz w:val="32"/>
          <w:szCs w:val="32"/>
          <w:highlight w:val="none"/>
          <w:u w:val="none" w:color="F43308"/>
          <w:lang w:val="en" w:eastAsia="zh-CN" w:bidi="ar-SA"/>
        </w:rPr>
      </w:pPr>
      <w:r>
        <w:rPr>
          <w:rFonts w:hint="eastAsia" w:ascii="仿宋_GB2312" w:hAnsi="仿宋_GB2312" w:eastAsia="仿宋_GB2312" w:cs="仿宋_GB2312"/>
          <w:b/>
          <w:bCs/>
          <w:color w:val="auto"/>
          <w:spacing w:val="-6"/>
          <w:kern w:val="2"/>
          <w:sz w:val="32"/>
          <w:szCs w:val="32"/>
          <w:highlight w:val="none"/>
          <w:u w:val="none" w:color="F43308"/>
          <w:lang w:val="en-US" w:eastAsia="zh-CN" w:bidi="ar-SA"/>
        </w:rPr>
        <w:t>（二）加强项目资金来源筹措，提高资金使用效益。</w:t>
      </w:r>
      <w:r>
        <w:rPr>
          <w:rFonts w:hint="eastAsia" w:ascii="仿宋_GB2312" w:hAnsi="仿宋_GB2312" w:eastAsia="仿宋_GB2312" w:cs="仿宋_GB2312"/>
          <w:b w:val="0"/>
          <w:bCs w:val="0"/>
          <w:color w:val="auto"/>
          <w:spacing w:val="-6"/>
          <w:kern w:val="2"/>
          <w:sz w:val="32"/>
          <w:szCs w:val="32"/>
          <w:highlight w:val="none"/>
          <w:u w:val="none" w:color="F43308"/>
          <w:lang w:val="en-US" w:eastAsia="zh-CN" w:bidi="ar-SA"/>
        </w:rPr>
        <w:t>一是满足专项债发行相关要求的项目优先考虑通过发债筹措资金，进一步强化谋划意识，充分挖掘项目潜在收入来源，提高专项债项目质量，提升审核“双通过”率。二是全力争取上级无偿、低息、长期资金，重点争取重点区域补助、中央预算内投资、超长期特别国债等上级资金倾斜支持。三是积极争取一般债券用于结决算尾款，全力保障农民工工资支付。四是积极落实政府和社会资本合作新机制，对使用者付费项目鼓励通过“特许经营”方式筹措解决资金</w:t>
      </w:r>
      <w:r>
        <w:rPr>
          <w:rFonts w:hint="eastAsia" w:ascii="仿宋_GB2312" w:hAnsi="仿宋_GB2312" w:eastAsia="仿宋_GB2312" w:cs="仿宋_GB2312"/>
          <w:b w:val="0"/>
          <w:bCs w:val="0"/>
          <w:color w:val="auto"/>
          <w:spacing w:val="-6"/>
          <w:kern w:val="2"/>
          <w:sz w:val="32"/>
          <w:szCs w:val="32"/>
          <w:highlight w:val="none"/>
          <w:u w:val="none" w:color="F43308"/>
          <w:lang w:val="en"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18" w:firstLineChars="200"/>
        <w:jc w:val="both"/>
        <w:textAlignment w:val="auto"/>
        <w:rPr>
          <w:rFonts w:hint="eastAsia" w:ascii="Times New Roman" w:hAnsi="Times New Roman" w:eastAsia="仿宋_GB2312" w:cs="Times New Roman"/>
          <w:b w:val="0"/>
          <w:bCs w:val="0"/>
          <w:color w:val="auto"/>
          <w:spacing w:val="0"/>
          <w:kern w:val="2"/>
          <w:sz w:val="32"/>
          <w:szCs w:val="32"/>
          <w:highlight w:val="none"/>
          <w:u w:val="none" w:color="F43308"/>
          <w:lang w:val="en-US" w:eastAsia="zh-CN" w:bidi="ar-SA"/>
        </w:rPr>
      </w:pPr>
      <w:r>
        <w:rPr>
          <w:rFonts w:hint="eastAsia" w:ascii="仿宋_GB2312" w:hAnsi="仿宋_GB2312" w:eastAsia="仿宋_GB2312" w:cs="仿宋_GB2312"/>
          <w:b/>
          <w:bCs/>
          <w:color w:val="auto"/>
          <w:spacing w:val="-6"/>
          <w:kern w:val="2"/>
          <w:sz w:val="32"/>
          <w:szCs w:val="32"/>
          <w:highlight w:val="none"/>
          <w:u w:val="none" w:color="F43308"/>
          <w:lang w:val="en-US" w:eastAsia="zh-CN" w:bidi="ar-SA"/>
        </w:rPr>
        <w:t>（三）常态化过紧日子，树牢投资节约意识。</w:t>
      </w:r>
      <w:r>
        <w:rPr>
          <w:rFonts w:hint="eastAsia" w:ascii="Times New Roman" w:hAnsi="Times New Roman" w:eastAsia="仿宋_GB2312" w:cs="Times New Roman"/>
          <w:b w:val="0"/>
          <w:bCs w:val="0"/>
          <w:color w:val="auto"/>
          <w:spacing w:val="0"/>
          <w:kern w:val="2"/>
          <w:sz w:val="32"/>
          <w:szCs w:val="32"/>
          <w:highlight w:val="none"/>
          <w:u w:val="none" w:color="F43308"/>
          <w:lang w:val="en-US" w:eastAsia="zh-CN" w:bidi="ar-SA"/>
        </w:rPr>
        <w:t>自觉把过紧日子作为常态化、习惯性的要求，</w:t>
      </w:r>
      <w:r>
        <w:rPr>
          <w:rFonts w:hint="eastAsia" w:ascii="仿宋_GB2312" w:hAnsi="仿宋_GB2312" w:eastAsia="仿宋_GB2312" w:cs="仿宋_GB2312"/>
          <w:b w:val="0"/>
          <w:bCs w:val="0"/>
          <w:color w:val="auto"/>
          <w:spacing w:val="-6"/>
          <w:kern w:val="2"/>
          <w:sz w:val="32"/>
          <w:szCs w:val="32"/>
          <w:highlight w:val="none"/>
          <w:u w:val="none" w:color="F43308"/>
          <w:lang w:val="en-US" w:eastAsia="zh-CN" w:bidi="ar-SA"/>
        </w:rPr>
        <w:t>坚持政府投资项目经济实用、集约高效、厉行节约原则。在新项目立项阶段严把准入关；在方案设计阶段，严控建设标准，</w:t>
      </w:r>
      <w:r>
        <w:rPr>
          <w:rFonts w:hint="eastAsia" w:ascii="Times New Roman" w:hAnsi="Times New Roman" w:eastAsia="仿宋_GB2312" w:cs="Times New Roman"/>
          <w:b w:val="0"/>
          <w:bCs w:val="0"/>
          <w:color w:val="auto"/>
          <w:spacing w:val="0"/>
          <w:kern w:val="2"/>
          <w:sz w:val="32"/>
          <w:szCs w:val="32"/>
          <w:highlight w:val="none"/>
          <w:u w:val="none" w:color="F43308"/>
          <w:lang w:val="en-US" w:eastAsia="zh-CN" w:bidi="ar-SA"/>
        </w:rPr>
        <w:t>杜绝投资浪费；</w:t>
      </w:r>
      <w:r>
        <w:rPr>
          <w:rFonts w:hint="eastAsia" w:ascii="仿宋_GB2312" w:hAnsi="仿宋_GB2312" w:eastAsia="仿宋_GB2312" w:cs="仿宋_GB2312"/>
          <w:b w:val="0"/>
          <w:bCs w:val="0"/>
          <w:color w:val="auto"/>
          <w:spacing w:val="-6"/>
          <w:kern w:val="2"/>
          <w:sz w:val="32"/>
          <w:szCs w:val="32"/>
          <w:highlight w:val="none"/>
          <w:u w:val="none" w:color="F43308"/>
          <w:lang w:val="en-US" w:eastAsia="zh-CN" w:bidi="ar-SA"/>
        </w:rPr>
        <w:t>在实施阶段从严从紧把关设计变更和项目验收、双算、后评价，促进项目规范管理。</w:t>
      </w:r>
      <w:r>
        <w:rPr>
          <w:rFonts w:hint="eastAsia" w:ascii="Times New Roman" w:hAnsi="Times New Roman" w:eastAsia="仿宋_GB2312" w:cs="Times New Roman"/>
          <w:b w:val="0"/>
          <w:bCs w:val="0"/>
          <w:color w:val="auto"/>
          <w:spacing w:val="0"/>
          <w:kern w:val="2"/>
          <w:sz w:val="32"/>
          <w:szCs w:val="32"/>
          <w:highlight w:val="none"/>
          <w:u w:val="none" w:color="F43308"/>
          <w:lang w:val="en-US" w:eastAsia="zh-CN" w:bidi="ar-SA"/>
        </w:rPr>
        <w:t>在</w:t>
      </w:r>
      <w:r>
        <w:rPr>
          <w:rFonts w:hint="eastAsia" w:ascii="仿宋_GB2312" w:hAnsi="仿宋_GB2312" w:eastAsia="仿宋_GB2312" w:cs="仿宋_GB2312"/>
          <w:b w:val="0"/>
          <w:bCs w:val="0"/>
          <w:color w:val="auto"/>
          <w:spacing w:val="-6"/>
          <w:kern w:val="2"/>
          <w:sz w:val="32"/>
          <w:szCs w:val="32"/>
          <w:highlight w:val="none"/>
          <w:u w:val="none" w:color="F43308"/>
          <w:lang w:val="en-US" w:eastAsia="zh-CN" w:bidi="ar-SA"/>
        </w:rPr>
        <w:t>计划下达阶段做好统筹调度</w:t>
      </w:r>
      <w:r>
        <w:rPr>
          <w:rFonts w:hint="eastAsia" w:ascii="Times New Roman" w:hAnsi="Times New Roman" w:eastAsia="仿宋_GB2312" w:cs="Times New Roman"/>
          <w:b w:val="0"/>
          <w:bCs w:val="0"/>
          <w:color w:val="auto"/>
          <w:spacing w:val="0"/>
          <w:kern w:val="2"/>
          <w:sz w:val="32"/>
          <w:szCs w:val="32"/>
          <w:highlight w:val="none"/>
          <w:u w:val="none" w:color="F43308"/>
          <w:lang w:val="en-US" w:eastAsia="zh-CN" w:bidi="ar-SA"/>
        </w:rPr>
        <w:t>，按照“少量多次、精准滴灌”的原则，结合项目进展情况把控资金安排节奏，及时调慢补快，避免资金闲置空转。</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18" w:firstLineChars="200"/>
        <w:jc w:val="both"/>
        <w:textAlignment w:val="auto"/>
        <w:rPr>
          <w:color w:val="auto"/>
          <w:highlight w:val="none"/>
        </w:rPr>
      </w:pPr>
      <w:r>
        <w:rPr>
          <w:rFonts w:hint="eastAsia" w:ascii="仿宋_GB2312" w:hAnsi="仿宋_GB2312" w:eastAsia="仿宋_GB2312" w:cs="仿宋_GB2312"/>
          <w:b/>
          <w:bCs/>
          <w:color w:val="auto"/>
          <w:spacing w:val="-6"/>
          <w:kern w:val="2"/>
          <w:sz w:val="32"/>
          <w:szCs w:val="32"/>
          <w:highlight w:val="none"/>
          <w:u w:val="none" w:color="F43308"/>
          <w:lang w:val="en-US" w:eastAsia="zh-CN" w:bidi="ar-SA"/>
        </w:rPr>
        <w:t>（四）增强项目精细管理能力，强化项目推进统筹调度。</w:t>
      </w:r>
      <w:r>
        <w:rPr>
          <w:rFonts w:hint="eastAsia" w:ascii="仿宋_GB2312" w:hAnsi="仿宋_GB2312" w:eastAsia="仿宋_GB2312" w:cs="仿宋_GB2312"/>
          <w:b w:val="0"/>
          <w:bCs w:val="0"/>
          <w:color w:val="auto"/>
          <w:spacing w:val="-6"/>
          <w:kern w:val="2"/>
          <w:sz w:val="32"/>
          <w:szCs w:val="32"/>
          <w:highlight w:val="none"/>
          <w:u w:val="none" w:color="F43308"/>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color="F43308"/>
          <w:lang w:val="en-US" w:eastAsia="zh-CN" w:bidi="ar-SA"/>
        </w:rPr>
        <w:t>严把项目时序安排关，统筹安排建设时序，</w:t>
      </w:r>
      <w:r>
        <w:rPr>
          <w:rFonts w:hint="eastAsia" w:ascii="仿宋_GB2312" w:hAnsi="仿宋_GB2312" w:eastAsia="仿宋_GB2312" w:cs="仿宋_GB2312"/>
          <w:b w:val="0"/>
          <w:bCs w:val="0"/>
          <w:color w:val="auto"/>
          <w:spacing w:val="-6"/>
          <w:kern w:val="2"/>
          <w:sz w:val="32"/>
          <w:szCs w:val="32"/>
          <w:highlight w:val="none"/>
          <w:u w:val="none" w:color="F43308"/>
          <w:lang w:val="en-US" w:eastAsia="zh-CN" w:bidi="ar-SA"/>
        </w:rPr>
        <w:t>对重点项目倒排时间节点，细化分解年度投资计划、主要建设任务等关键节点目标。严格履行《深圳经济特区政府投资项目管理条例》《罗湖区政府投资项目全过程管理办法》等有关规定，加强项目监督和推进工作，提高政府投资项目建设质量和</w:t>
      </w:r>
      <w:r>
        <w:rPr>
          <w:rFonts w:hint="eastAsia" w:ascii="Times New Roman" w:hAnsi="Times New Roman" w:eastAsia="仿宋_GB2312" w:cs="Times New Roman"/>
          <w:b w:val="0"/>
          <w:bCs w:val="0"/>
          <w:color w:val="auto"/>
          <w:spacing w:val="0"/>
          <w:kern w:val="2"/>
          <w:sz w:val="32"/>
          <w:szCs w:val="32"/>
          <w:highlight w:val="none"/>
          <w:u w:val="none" w:color="F43308"/>
          <w:lang w:val="en-US" w:eastAsia="zh-CN" w:bidi="ar-SA"/>
        </w:rPr>
        <w:t>效率。二是严把项目统筹协调关，通过</w:t>
      </w:r>
      <w:r>
        <w:rPr>
          <w:rFonts w:hint="eastAsia" w:ascii="仿宋_GB2312" w:hAnsi="仿宋_GB2312" w:eastAsia="仿宋_GB2312" w:cs="仿宋_GB2312"/>
          <w:b w:val="0"/>
          <w:bCs w:val="0"/>
          <w:color w:val="auto"/>
          <w:spacing w:val="-6"/>
          <w:kern w:val="2"/>
          <w:sz w:val="32"/>
          <w:szCs w:val="32"/>
          <w:highlight w:val="none"/>
          <w:u w:val="none" w:color="F43308"/>
          <w:lang w:val="en-US" w:eastAsia="zh-CN" w:bidi="ar-SA"/>
        </w:rPr>
        <w:t>项目日常监测评估及时发现问题，借助区固投专班等调度协调平台协调解决问题，对进度滞后的项目通过督查机制进行督查督办，强化计划执行力度。</w:t>
      </w:r>
    </w:p>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CESI仿宋-GB2312" w:hAnsi="CESI仿宋-GB2312" w:eastAsia="CESI仿宋-GB2312" w:cs="CESI仿宋-GB2312"/>
          <w:b w:val="0"/>
          <w:bCs w:val="0"/>
          <w:i w:val="0"/>
          <w:color w:val="auto"/>
          <w:kern w:val="0"/>
          <w:sz w:val="21"/>
          <w:szCs w:val="21"/>
          <w:highlight w:val="none"/>
          <w:u w:val="none"/>
          <w:lang w:val="en-US" w:eastAsia="zh-CN" w:bidi="ar"/>
        </w:rPr>
      </w:pPr>
    </w:p>
    <w:sectPr>
      <w:footerReference r:id="rId3" w:type="default"/>
      <w:pgSz w:w="11906" w:h="16838"/>
      <w:pgMar w:top="1814" w:right="1474" w:bottom="181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- 14 -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C4D64B"/>
    <w:multiLevelType w:val="singleLevel"/>
    <w:tmpl w:val="39C4D64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BF6D95"/>
    <w:rsid w:val="04D9A79A"/>
    <w:rsid w:val="06181AF2"/>
    <w:rsid w:val="0C9FEE7A"/>
    <w:rsid w:val="12F71B86"/>
    <w:rsid w:val="1633E1A1"/>
    <w:rsid w:val="173EC313"/>
    <w:rsid w:val="17DBA0A5"/>
    <w:rsid w:val="17DD47E5"/>
    <w:rsid w:val="197DB716"/>
    <w:rsid w:val="1AF1F4D6"/>
    <w:rsid w:val="1B3ED104"/>
    <w:rsid w:val="1BDF6204"/>
    <w:rsid w:val="1DEF77BA"/>
    <w:rsid w:val="1EEEAE46"/>
    <w:rsid w:val="1EEF64A7"/>
    <w:rsid w:val="1FA7F875"/>
    <w:rsid w:val="1FFB2E23"/>
    <w:rsid w:val="1FFCA633"/>
    <w:rsid w:val="1FFD67C0"/>
    <w:rsid w:val="256F0507"/>
    <w:rsid w:val="25AC6F16"/>
    <w:rsid w:val="25FDA064"/>
    <w:rsid w:val="26D79595"/>
    <w:rsid w:val="29FE65A8"/>
    <w:rsid w:val="2B7DBD75"/>
    <w:rsid w:val="2D7F20AA"/>
    <w:rsid w:val="2EC76FC5"/>
    <w:rsid w:val="2EE1E409"/>
    <w:rsid w:val="2F9F9F59"/>
    <w:rsid w:val="2FDFC628"/>
    <w:rsid w:val="327F507E"/>
    <w:rsid w:val="335A975A"/>
    <w:rsid w:val="366FD939"/>
    <w:rsid w:val="36FED9DC"/>
    <w:rsid w:val="377BCC16"/>
    <w:rsid w:val="37E3D0C5"/>
    <w:rsid w:val="37ECDFE0"/>
    <w:rsid w:val="37EFDD09"/>
    <w:rsid w:val="37FB7730"/>
    <w:rsid w:val="39EDAD47"/>
    <w:rsid w:val="3B6D5EAB"/>
    <w:rsid w:val="3BFDABD9"/>
    <w:rsid w:val="3C2B56E1"/>
    <w:rsid w:val="3C7A208B"/>
    <w:rsid w:val="3D9754C7"/>
    <w:rsid w:val="3DB9B781"/>
    <w:rsid w:val="3DDF5CA4"/>
    <w:rsid w:val="3DF66126"/>
    <w:rsid w:val="3DF70ABA"/>
    <w:rsid w:val="3DF75F9B"/>
    <w:rsid w:val="3DFBDE57"/>
    <w:rsid w:val="3DFFDFFF"/>
    <w:rsid w:val="3EB8356A"/>
    <w:rsid w:val="3EBFC1AC"/>
    <w:rsid w:val="3EDDAD5B"/>
    <w:rsid w:val="3F77AB66"/>
    <w:rsid w:val="3F7D6648"/>
    <w:rsid w:val="3F87C69B"/>
    <w:rsid w:val="3F93EB36"/>
    <w:rsid w:val="3FB5532F"/>
    <w:rsid w:val="3FF7C462"/>
    <w:rsid w:val="3FFBCB49"/>
    <w:rsid w:val="3FFD9207"/>
    <w:rsid w:val="3FFE4C5C"/>
    <w:rsid w:val="3FFF352E"/>
    <w:rsid w:val="3FFFD1B4"/>
    <w:rsid w:val="42CE8C30"/>
    <w:rsid w:val="451E849F"/>
    <w:rsid w:val="467EBEB7"/>
    <w:rsid w:val="46E3CB0F"/>
    <w:rsid w:val="479FED53"/>
    <w:rsid w:val="48EFBE8D"/>
    <w:rsid w:val="491F8293"/>
    <w:rsid w:val="4DFF612B"/>
    <w:rsid w:val="4EDF3860"/>
    <w:rsid w:val="4F772803"/>
    <w:rsid w:val="4FB7F2C0"/>
    <w:rsid w:val="4FF348C6"/>
    <w:rsid w:val="51DEC47F"/>
    <w:rsid w:val="54FFA959"/>
    <w:rsid w:val="57BB3582"/>
    <w:rsid w:val="57F7B9F8"/>
    <w:rsid w:val="595E7BF4"/>
    <w:rsid w:val="5B3F2A3E"/>
    <w:rsid w:val="5BDF08D2"/>
    <w:rsid w:val="5BF7794E"/>
    <w:rsid w:val="5BFD974A"/>
    <w:rsid w:val="5D865EDD"/>
    <w:rsid w:val="5DED70B5"/>
    <w:rsid w:val="5DF513E5"/>
    <w:rsid w:val="5DFD65AD"/>
    <w:rsid w:val="5DFE7EBB"/>
    <w:rsid w:val="5E979D54"/>
    <w:rsid w:val="5F2B3110"/>
    <w:rsid w:val="5F57DD63"/>
    <w:rsid w:val="5F9B3706"/>
    <w:rsid w:val="5FA6EF2D"/>
    <w:rsid w:val="5FAB3CB4"/>
    <w:rsid w:val="5FEBA4E0"/>
    <w:rsid w:val="5FF13E7D"/>
    <w:rsid w:val="5FF55220"/>
    <w:rsid w:val="5FF75425"/>
    <w:rsid w:val="62DF712D"/>
    <w:rsid w:val="63E7505C"/>
    <w:rsid w:val="651D507A"/>
    <w:rsid w:val="653FD6F4"/>
    <w:rsid w:val="65F59FBD"/>
    <w:rsid w:val="66FA8DCE"/>
    <w:rsid w:val="67ADF374"/>
    <w:rsid w:val="67BE6119"/>
    <w:rsid w:val="67EECF59"/>
    <w:rsid w:val="67F71A7A"/>
    <w:rsid w:val="69EBB735"/>
    <w:rsid w:val="6A9BC448"/>
    <w:rsid w:val="6ADE38B1"/>
    <w:rsid w:val="6B9FA478"/>
    <w:rsid w:val="6C5F2285"/>
    <w:rsid w:val="6C7E5A74"/>
    <w:rsid w:val="6CB7723A"/>
    <w:rsid w:val="6D67B928"/>
    <w:rsid w:val="6DF701B1"/>
    <w:rsid w:val="6DFB854B"/>
    <w:rsid w:val="6DFE109D"/>
    <w:rsid w:val="6DFFF122"/>
    <w:rsid w:val="6EF6A94A"/>
    <w:rsid w:val="6F1D2859"/>
    <w:rsid w:val="6F7BA22D"/>
    <w:rsid w:val="6F7C0D09"/>
    <w:rsid w:val="6F7D56E6"/>
    <w:rsid w:val="6F7FDD67"/>
    <w:rsid w:val="6FFF0300"/>
    <w:rsid w:val="6FFFE21B"/>
    <w:rsid w:val="71676DE7"/>
    <w:rsid w:val="737F17B3"/>
    <w:rsid w:val="73A739FF"/>
    <w:rsid w:val="73FD78ED"/>
    <w:rsid w:val="73FDD5FE"/>
    <w:rsid w:val="73FF40E7"/>
    <w:rsid w:val="74FEB495"/>
    <w:rsid w:val="755B7459"/>
    <w:rsid w:val="758FBD79"/>
    <w:rsid w:val="75DFFC2F"/>
    <w:rsid w:val="75FF9D23"/>
    <w:rsid w:val="76AF5EEE"/>
    <w:rsid w:val="76FB25B4"/>
    <w:rsid w:val="773FEAB6"/>
    <w:rsid w:val="774AF1C4"/>
    <w:rsid w:val="777E9456"/>
    <w:rsid w:val="778F127A"/>
    <w:rsid w:val="77BE5259"/>
    <w:rsid w:val="77BF75DA"/>
    <w:rsid w:val="77CF6AEE"/>
    <w:rsid w:val="793F5B64"/>
    <w:rsid w:val="7A3F1B60"/>
    <w:rsid w:val="7A6AB4AC"/>
    <w:rsid w:val="7B5A27F4"/>
    <w:rsid w:val="7B76067B"/>
    <w:rsid w:val="7B7F014B"/>
    <w:rsid w:val="7BBEDC3F"/>
    <w:rsid w:val="7BCF390B"/>
    <w:rsid w:val="7BDB5C94"/>
    <w:rsid w:val="7BE7DEE4"/>
    <w:rsid w:val="7BFB431D"/>
    <w:rsid w:val="7BFBA0C1"/>
    <w:rsid w:val="7BFBD5F7"/>
    <w:rsid w:val="7BFC77F9"/>
    <w:rsid w:val="7BFF38C7"/>
    <w:rsid w:val="7C1CEEAB"/>
    <w:rsid w:val="7C5F627E"/>
    <w:rsid w:val="7C7ACBF5"/>
    <w:rsid w:val="7CFB9A55"/>
    <w:rsid w:val="7D5E0ED3"/>
    <w:rsid w:val="7D7FD48E"/>
    <w:rsid w:val="7D86B9D7"/>
    <w:rsid w:val="7D9A7FBD"/>
    <w:rsid w:val="7DEBF66C"/>
    <w:rsid w:val="7DFD6BE4"/>
    <w:rsid w:val="7DFF0D4B"/>
    <w:rsid w:val="7DFF30A7"/>
    <w:rsid w:val="7E7146A2"/>
    <w:rsid w:val="7E7796F3"/>
    <w:rsid w:val="7E7D63AC"/>
    <w:rsid w:val="7E7F8510"/>
    <w:rsid w:val="7E7FAE0C"/>
    <w:rsid w:val="7E8E9753"/>
    <w:rsid w:val="7E9F9C9B"/>
    <w:rsid w:val="7E9FF974"/>
    <w:rsid w:val="7EBB9445"/>
    <w:rsid w:val="7EC6884D"/>
    <w:rsid w:val="7EEF4214"/>
    <w:rsid w:val="7EF750AC"/>
    <w:rsid w:val="7F1F4A59"/>
    <w:rsid w:val="7F55E088"/>
    <w:rsid w:val="7F636A72"/>
    <w:rsid w:val="7F6F62D3"/>
    <w:rsid w:val="7F7FE3E5"/>
    <w:rsid w:val="7F9E107B"/>
    <w:rsid w:val="7FADE207"/>
    <w:rsid w:val="7FB77A6D"/>
    <w:rsid w:val="7FB7C7EF"/>
    <w:rsid w:val="7FB9D7E4"/>
    <w:rsid w:val="7FBADBB5"/>
    <w:rsid w:val="7FD7B2C5"/>
    <w:rsid w:val="7FDBC17A"/>
    <w:rsid w:val="7FDEA09C"/>
    <w:rsid w:val="7FE7089D"/>
    <w:rsid w:val="7FE78224"/>
    <w:rsid w:val="7FE9945E"/>
    <w:rsid w:val="7FEBDE38"/>
    <w:rsid w:val="7FEFAD28"/>
    <w:rsid w:val="7FF71901"/>
    <w:rsid w:val="7FF90C67"/>
    <w:rsid w:val="7FFAF433"/>
    <w:rsid w:val="7FFB5AFA"/>
    <w:rsid w:val="7FFB90EC"/>
    <w:rsid w:val="7FFB9522"/>
    <w:rsid w:val="7FFBB673"/>
    <w:rsid w:val="7FFE3482"/>
    <w:rsid w:val="7FFE5F82"/>
    <w:rsid w:val="7FFFA384"/>
    <w:rsid w:val="8EDE52D3"/>
    <w:rsid w:val="91AE808E"/>
    <w:rsid w:val="92FF5A41"/>
    <w:rsid w:val="93153F53"/>
    <w:rsid w:val="9BF55B2B"/>
    <w:rsid w:val="9C7D6C68"/>
    <w:rsid w:val="9DF7DE7C"/>
    <w:rsid w:val="9EDE6E28"/>
    <w:rsid w:val="9FD99FB6"/>
    <w:rsid w:val="9FFB1E04"/>
    <w:rsid w:val="A3EC4BED"/>
    <w:rsid w:val="A3FFE94B"/>
    <w:rsid w:val="A52B2223"/>
    <w:rsid w:val="A5467AB7"/>
    <w:rsid w:val="AA6DB021"/>
    <w:rsid w:val="ACE7EBE7"/>
    <w:rsid w:val="ACFD1D81"/>
    <w:rsid w:val="ADFFEA47"/>
    <w:rsid w:val="AF5BF2FA"/>
    <w:rsid w:val="AFD15AD6"/>
    <w:rsid w:val="AFFFEED4"/>
    <w:rsid w:val="B0E7EF4D"/>
    <w:rsid w:val="B1F3E47F"/>
    <w:rsid w:val="B37E78AA"/>
    <w:rsid w:val="B8F9919C"/>
    <w:rsid w:val="B9FFB3E2"/>
    <w:rsid w:val="BB5698CD"/>
    <w:rsid w:val="BB5B7553"/>
    <w:rsid w:val="BBADC4BE"/>
    <w:rsid w:val="BBD72786"/>
    <w:rsid w:val="BBDFB4B4"/>
    <w:rsid w:val="BBF97929"/>
    <w:rsid w:val="BBFB872C"/>
    <w:rsid w:val="BD4FB44F"/>
    <w:rsid w:val="BD9D646B"/>
    <w:rsid w:val="BDAF0B2E"/>
    <w:rsid w:val="BDDF190C"/>
    <w:rsid w:val="BDDF1F96"/>
    <w:rsid w:val="BDDF7671"/>
    <w:rsid w:val="BEDF6222"/>
    <w:rsid w:val="BEF399E5"/>
    <w:rsid w:val="BEFF2072"/>
    <w:rsid w:val="BEFF33FB"/>
    <w:rsid w:val="BEFF36BB"/>
    <w:rsid w:val="BFB35837"/>
    <w:rsid w:val="BFEDEF23"/>
    <w:rsid w:val="BFFF5E43"/>
    <w:rsid w:val="BFFFE1BA"/>
    <w:rsid w:val="C9FE6962"/>
    <w:rsid w:val="CBBD0466"/>
    <w:rsid w:val="CBFF8CB5"/>
    <w:rsid w:val="CD90BE2B"/>
    <w:rsid w:val="CDD5B21E"/>
    <w:rsid w:val="CDDF5439"/>
    <w:rsid w:val="CDEDE09A"/>
    <w:rsid w:val="CE5FABD2"/>
    <w:rsid w:val="CEF39151"/>
    <w:rsid w:val="CFBC0257"/>
    <w:rsid w:val="CFBF1E5A"/>
    <w:rsid w:val="CFFEBEBE"/>
    <w:rsid w:val="D3B7434B"/>
    <w:rsid w:val="D3BC8764"/>
    <w:rsid w:val="D3F20EEC"/>
    <w:rsid w:val="D54F9914"/>
    <w:rsid w:val="D5EB88D0"/>
    <w:rsid w:val="D5EEB26A"/>
    <w:rsid w:val="D5F7D878"/>
    <w:rsid w:val="D5FB6655"/>
    <w:rsid w:val="D68F6B75"/>
    <w:rsid w:val="D6CF79B3"/>
    <w:rsid w:val="D6EE1616"/>
    <w:rsid w:val="D6FD1D30"/>
    <w:rsid w:val="D77F431B"/>
    <w:rsid w:val="D79721B7"/>
    <w:rsid w:val="D7DE0889"/>
    <w:rsid w:val="D7F5C597"/>
    <w:rsid w:val="DB9C66DA"/>
    <w:rsid w:val="DBC79A57"/>
    <w:rsid w:val="DBCD14D9"/>
    <w:rsid w:val="DBCD8630"/>
    <w:rsid w:val="DBEDFF8E"/>
    <w:rsid w:val="DDEF806A"/>
    <w:rsid w:val="DDFE4FF5"/>
    <w:rsid w:val="DE7EC9FA"/>
    <w:rsid w:val="DF74E156"/>
    <w:rsid w:val="DF9FB7D1"/>
    <w:rsid w:val="DFAF50AB"/>
    <w:rsid w:val="DFD6771C"/>
    <w:rsid w:val="DFF34777"/>
    <w:rsid w:val="DFFA3996"/>
    <w:rsid w:val="E1794AC3"/>
    <w:rsid w:val="E2F56B33"/>
    <w:rsid w:val="E3F661A1"/>
    <w:rsid w:val="E57E4A8A"/>
    <w:rsid w:val="E5E39A56"/>
    <w:rsid w:val="E77F8DD0"/>
    <w:rsid w:val="E7B99FF4"/>
    <w:rsid w:val="E7BF25F0"/>
    <w:rsid w:val="E7ED90B7"/>
    <w:rsid w:val="E9337E16"/>
    <w:rsid w:val="EA579758"/>
    <w:rsid w:val="EAB8C97B"/>
    <w:rsid w:val="EAFF0A73"/>
    <w:rsid w:val="EBDECA52"/>
    <w:rsid w:val="EBFBC556"/>
    <w:rsid w:val="EBFF5674"/>
    <w:rsid w:val="ECAF761D"/>
    <w:rsid w:val="ED3E1648"/>
    <w:rsid w:val="ED7EF5FD"/>
    <w:rsid w:val="EDE6EFD1"/>
    <w:rsid w:val="EEAA0B6B"/>
    <w:rsid w:val="EEFD9884"/>
    <w:rsid w:val="EEFF2CA1"/>
    <w:rsid w:val="EF7C357B"/>
    <w:rsid w:val="EF7F2ADA"/>
    <w:rsid w:val="EF892F6C"/>
    <w:rsid w:val="EF9ECD06"/>
    <w:rsid w:val="EFA6C254"/>
    <w:rsid w:val="EFBB3BD7"/>
    <w:rsid w:val="EFCF03A7"/>
    <w:rsid w:val="EFDF4DB6"/>
    <w:rsid w:val="EFEF8545"/>
    <w:rsid w:val="EFF70C97"/>
    <w:rsid w:val="EFF75539"/>
    <w:rsid w:val="EFFF4F75"/>
    <w:rsid w:val="F1D7EBE9"/>
    <w:rsid w:val="F1F2C118"/>
    <w:rsid w:val="F2EB22F3"/>
    <w:rsid w:val="F2F74C90"/>
    <w:rsid w:val="F50DCB82"/>
    <w:rsid w:val="F52B2517"/>
    <w:rsid w:val="F53FC5EA"/>
    <w:rsid w:val="F577BB08"/>
    <w:rsid w:val="F5B29C77"/>
    <w:rsid w:val="F5FBB455"/>
    <w:rsid w:val="F6259815"/>
    <w:rsid w:val="F62E3628"/>
    <w:rsid w:val="F65BE3FE"/>
    <w:rsid w:val="F6AB4010"/>
    <w:rsid w:val="F6FBC8B2"/>
    <w:rsid w:val="F7B714C3"/>
    <w:rsid w:val="F7CD222D"/>
    <w:rsid w:val="F7CF1655"/>
    <w:rsid w:val="F7D75F6C"/>
    <w:rsid w:val="F7DFD2ED"/>
    <w:rsid w:val="F7E9894F"/>
    <w:rsid w:val="F8EF064D"/>
    <w:rsid w:val="F8F65C87"/>
    <w:rsid w:val="F8FE97CB"/>
    <w:rsid w:val="F9359979"/>
    <w:rsid w:val="F9EF1AAC"/>
    <w:rsid w:val="F9F7D24A"/>
    <w:rsid w:val="FA3FF837"/>
    <w:rsid w:val="FA5E6B71"/>
    <w:rsid w:val="FAAF1D23"/>
    <w:rsid w:val="FAB1536A"/>
    <w:rsid w:val="FAB703AE"/>
    <w:rsid w:val="FABFDAF7"/>
    <w:rsid w:val="FAF95125"/>
    <w:rsid w:val="FB2E817E"/>
    <w:rsid w:val="FB5F99B4"/>
    <w:rsid w:val="FB5FEDA8"/>
    <w:rsid w:val="FB7EC570"/>
    <w:rsid w:val="FBAFD8FB"/>
    <w:rsid w:val="FBBB8172"/>
    <w:rsid w:val="FBBD7211"/>
    <w:rsid w:val="FBDD5D47"/>
    <w:rsid w:val="FBEEF4B6"/>
    <w:rsid w:val="FBEFABC9"/>
    <w:rsid w:val="FBF73B37"/>
    <w:rsid w:val="FBFC50DA"/>
    <w:rsid w:val="FBFF5890"/>
    <w:rsid w:val="FC7F63B3"/>
    <w:rsid w:val="FCFA6380"/>
    <w:rsid w:val="FCFFDEBD"/>
    <w:rsid w:val="FD291ECD"/>
    <w:rsid w:val="FD33B716"/>
    <w:rsid w:val="FD76D139"/>
    <w:rsid w:val="FD7D511E"/>
    <w:rsid w:val="FD7D653B"/>
    <w:rsid w:val="FDAFCD69"/>
    <w:rsid w:val="FDBF42C0"/>
    <w:rsid w:val="FDF370C6"/>
    <w:rsid w:val="FDFFB073"/>
    <w:rsid w:val="FDFFC8DB"/>
    <w:rsid w:val="FE5FD697"/>
    <w:rsid w:val="FE7537A6"/>
    <w:rsid w:val="FE77CBA1"/>
    <w:rsid w:val="FE7FEAEE"/>
    <w:rsid w:val="FEBB6BDF"/>
    <w:rsid w:val="FED8EB2D"/>
    <w:rsid w:val="FEEAEE73"/>
    <w:rsid w:val="FEEFB1CE"/>
    <w:rsid w:val="FEF2A78F"/>
    <w:rsid w:val="FEF87DBE"/>
    <w:rsid w:val="FEFF500E"/>
    <w:rsid w:val="FF6F69A3"/>
    <w:rsid w:val="FF7F0279"/>
    <w:rsid w:val="FF8FC3E7"/>
    <w:rsid w:val="FF97A761"/>
    <w:rsid w:val="FFA7A00A"/>
    <w:rsid w:val="FFBFB0CC"/>
    <w:rsid w:val="FFC77AA8"/>
    <w:rsid w:val="FFCBE2C1"/>
    <w:rsid w:val="FFDD27B5"/>
    <w:rsid w:val="FFEDC171"/>
    <w:rsid w:val="FFF33EC1"/>
    <w:rsid w:val="FFF62B97"/>
    <w:rsid w:val="FFF7DB65"/>
    <w:rsid w:val="FFFC1CC5"/>
    <w:rsid w:val="FFFD03D9"/>
    <w:rsid w:val="FFFFA1C9"/>
    <w:rsid w:val="FFFFBFEF"/>
    <w:rsid w:val="FFFFD0B5"/>
    <w:rsid w:val="FFFFF1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360" w:lineRule="auto"/>
    </w:pPr>
    <w:rPr>
      <w:b/>
      <w:bCs/>
      <w:sz w:val="24"/>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customStyle="1" w:styleId="10">
    <w:name w:val="font21"/>
    <w:basedOn w:val="8"/>
    <w:qFormat/>
    <w:uiPriority w:val="0"/>
    <w:rPr>
      <w:rFonts w:hint="default" w:ascii="Arial" w:hAnsi="Arial" w:cs="Arial"/>
      <w:color w:val="000000"/>
      <w:sz w:val="22"/>
      <w:szCs w:val="22"/>
      <w:u w:val="none"/>
    </w:rPr>
  </w:style>
  <w:style w:type="character" w:customStyle="1" w:styleId="11">
    <w:name w:val="font31"/>
    <w:basedOn w:val="8"/>
    <w:qFormat/>
    <w:uiPriority w:val="0"/>
    <w:rPr>
      <w:rFonts w:hint="eastAsia" w:ascii="CESI仿宋-GB2312" w:hAnsi="CESI仿宋-GB2312" w:eastAsia="CESI仿宋-GB2312" w:cs="CESI仿宋-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5957</Words>
  <Characters>6990</Characters>
  <Lines>0</Lines>
  <Paragraphs>0</Paragraphs>
  <TotalTime>35</TotalTime>
  <ScaleCrop>false</ScaleCrop>
  <LinksUpToDate>false</LinksUpToDate>
  <CharactersWithSpaces>7207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2024-01-24T23:10:00Z</dcterms:created>
  <dc:creator>cll</dc:creator>
  <cp:lastModifiedBy>cll</cp:lastModifiedBy>
  <cp:lastPrinted>2026-01-24T01:30:00Z</cp:lastPrinted>
  <dcterms:modified xsi:type="dcterms:W3CDTF">2026-04-07T18:04:40Z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565E35051101A28FE2E471699E5965A5</vt:lpwstr>
  </property>
  <property fmtid="{D5CDD505-2E9C-101B-9397-08002B2CF9AE}" pid="4" name="KSOTemplateDocerSaveRecord">
    <vt:lpwstr>eyJoZGlkIjoiYTc2ZGZiNzZiNDVlOGViOWVmM2JhOTY0NGJkNjUyYzgiLCJ1c2VySWQiOiI2NTUxNjQ5NTQifQ==</vt:lpwstr>
  </property>
</Properties>
</file>