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rPr>
          <w:rFonts w:ascii="仿宋_GB2312" w:hAnsi="仿宋_GB2312" w:eastAsia="仿宋_GB2312" w:cs="仿宋_GB2312"/>
          <w:sz w:val="32"/>
          <w:szCs w:val="32"/>
        </w:rPr>
      </w:pPr>
    </w:p>
    <w:p>
      <w:pPr>
        <w:jc w:val="center"/>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《2024年深圳市罗湖区城市更新单元计划第二批计划》</w:t>
      </w:r>
    </w:p>
    <w:p>
      <w:pPr>
        <w:jc w:val="center"/>
        <w:rPr>
          <w:rFonts w:hint="eastAsia" w:ascii="仿宋_GB2312" w:hAnsi="仿宋" w:eastAsia="仿宋_GB2312" w:cs="仿宋_GB2312"/>
          <w:b/>
          <w:bCs/>
          <w:sz w:val="32"/>
          <w:szCs w:val="32"/>
        </w:rPr>
      </w:pPr>
      <w:bookmarkStart w:id="1" w:name="_GoBack"/>
      <w:bookmarkEnd w:id="1"/>
      <w:bookmarkStart w:id="0" w:name="OLE_LINK5"/>
      <w:r>
        <w:rPr>
          <w:rFonts w:hint="eastAsia" w:ascii="仿宋_GB2312" w:hAnsi="仿宋" w:eastAsia="仿宋_GB2312" w:cs="仿宋_GB2312"/>
          <w:b/>
          <w:bCs/>
          <w:sz w:val="32"/>
          <w:szCs w:val="32"/>
          <w:lang w:eastAsia="zh-CN"/>
        </w:rPr>
        <w:t>（</w:t>
      </w:r>
      <w:r>
        <w:rPr>
          <w:rFonts w:hint="eastAsia" w:ascii="仿宋_GB2312" w:hAnsi="仿宋" w:eastAsia="仿宋_GB2312" w:cs="仿宋_GB2312"/>
          <w:b/>
          <w:bCs/>
          <w:sz w:val="32"/>
          <w:szCs w:val="32"/>
          <w:lang w:val="en-US" w:eastAsia="zh-CN"/>
        </w:rPr>
        <w:t>计划</w:t>
      </w:r>
      <w:r>
        <w:rPr>
          <w:rFonts w:hint="eastAsia" w:ascii="仿宋_GB2312" w:hAnsi="仿宋" w:eastAsia="仿宋_GB2312" w:cs="仿宋_GB2312"/>
          <w:b/>
          <w:bCs/>
          <w:sz w:val="32"/>
          <w:szCs w:val="32"/>
          <w:lang w:eastAsia="zh-CN"/>
        </w:rPr>
        <w:t>调整）</w:t>
      </w:r>
      <w:bookmarkEnd w:id="0"/>
      <w:r>
        <w:rPr>
          <w:rFonts w:hint="eastAsia" w:ascii="仿宋_GB2312" w:hAnsi="仿宋" w:eastAsia="仿宋_GB2312" w:cs="仿宋_GB2312"/>
          <w:b/>
          <w:bCs/>
          <w:sz w:val="32"/>
          <w:szCs w:val="32"/>
        </w:rPr>
        <w:t>一览表</w:t>
      </w:r>
    </w:p>
    <w:tbl>
      <w:tblPr>
        <w:tblStyle w:val="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5"/>
        <w:gridCol w:w="721"/>
        <w:gridCol w:w="694"/>
        <w:gridCol w:w="1108"/>
        <w:gridCol w:w="849"/>
        <w:gridCol w:w="1335"/>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trPr>
        <w:tc>
          <w:tcPr>
            <w:tcW w:w="251" w:type="pct"/>
            <w:noWrap w:val="0"/>
            <w:vAlign w:val="center"/>
          </w:tcPr>
          <w:p>
            <w:pPr>
              <w:keepNext w:val="0"/>
              <w:keepLines w:val="0"/>
              <w:pageBreakBefore w:val="0"/>
              <w:kinsoku/>
              <w:wordWrap/>
              <w:overflowPunct w:val="0"/>
              <w:topLinePunct/>
              <w:autoSpaceDE/>
              <w:autoSpaceDN w:val="0"/>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编号</w:t>
            </w:r>
          </w:p>
        </w:tc>
        <w:tc>
          <w:tcPr>
            <w:tcW w:w="398" w:type="pct"/>
            <w:noWrap w:val="0"/>
            <w:vAlign w:val="center"/>
          </w:tcPr>
          <w:p>
            <w:pPr>
              <w:keepNext w:val="0"/>
              <w:keepLines w:val="0"/>
              <w:pageBreakBefore w:val="0"/>
              <w:kinsoku/>
              <w:wordWrap/>
              <w:overflowPunct w:val="0"/>
              <w:topLinePunct/>
              <w:autoSpaceDE/>
              <w:autoSpaceDN w:val="0"/>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辖区</w:t>
            </w:r>
          </w:p>
        </w:tc>
        <w:tc>
          <w:tcPr>
            <w:tcW w:w="383" w:type="pct"/>
            <w:noWrap w:val="0"/>
            <w:vAlign w:val="center"/>
          </w:tcPr>
          <w:p>
            <w:pPr>
              <w:keepNext w:val="0"/>
              <w:keepLines w:val="0"/>
              <w:pageBreakBefore w:val="0"/>
              <w:kinsoku/>
              <w:wordWrap/>
              <w:overflowPunct w:val="0"/>
              <w:topLinePunct/>
              <w:autoSpaceDE/>
              <w:autoSpaceDN w:val="0"/>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街道</w:t>
            </w:r>
          </w:p>
        </w:tc>
        <w:tc>
          <w:tcPr>
            <w:tcW w:w="612" w:type="pct"/>
            <w:noWrap w:val="0"/>
            <w:vAlign w:val="center"/>
          </w:tcPr>
          <w:p>
            <w:pPr>
              <w:keepNext w:val="0"/>
              <w:keepLines w:val="0"/>
              <w:pageBreakBefore w:val="0"/>
              <w:kinsoku/>
              <w:wordWrap/>
              <w:overflowPunct w:val="0"/>
              <w:topLinePunct/>
              <w:autoSpaceDE/>
              <w:autoSpaceDN w:val="0"/>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469" w:type="pct"/>
            <w:noWrap w:val="0"/>
            <w:vAlign w:val="center"/>
          </w:tcPr>
          <w:p>
            <w:pPr>
              <w:keepNext w:val="0"/>
              <w:keepLines w:val="0"/>
              <w:pageBreakBefore w:val="0"/>
              <w:kinsoku/>
              <w:wordWrap/>
              <w:overflowPunct w:val="0"/>
              <w:topLinePunct/>
              <w:autoSpaceDE/>
              <w:autoSpaceDN w:val="0"/>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计划申报主体</w:t>
            </w:r>
          </w:p>
        </w:tc>
        <w:tc>
          <w:tcPr>
            <w:tcW w:w="737" w:type="pct"/>
            <w:noWrap w:val="0"/>
            <w:vAlign w:val="center"/>
          </w:tcPr>
          <w:p>
            <w:pPr>
              <w:keepNext w:val="0"/>
              <w:keepLines w:val="0"/>
              <w:pageBreakBefore w:val="0"/>
              <w:kinsoku/>
              <w:wordWrap/>
              <w:overflowPunct w:val="0"/>
              <w:topLinePunct/>
              <w:autoSpaceDE/>
              <w:autoSpaceDN w:val="0"/>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拟拆除重建用地面积（平方米）</w:t>
            </w:r>
          </w:p>
        </w:tc>
        <w:tc>
          <w:tcPr>
            <w:tcW w:w="2147" w:type="pct"/>
            <w:noWrap w:val="0"/>
            <w:vAlign w:val="center"/>
          </w:tcPr>
          <w:p>
            <w:pPr>
              <w:keepNext w:val="0"/>
              <w:keepLines w:val="0"/>
              <w:pageBreakBefore w:val="0"/>
              <w:kinsoku/>
              <w:wordWrap/>
              <w:overflowPunct w:val="0"/>
              <w:topLinePunct/>
              <w:autoSpaceDE/>
              <w:autoSpaceDN w:val="0"/>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 w:type="pct"/>
            <w:noWrap w:val="0"/>
            <w:vAlign w:val="center"/>
          </w:tcPr>
          <w:p>
            <w:pPr>
              <w:keepNext w:val="0"/>
              <w:keepLines w:val="0"/>
              <w:pageBreakBefore w:val="0"/>
              <w:widowControl/>
              <w:numPr>
                <w:ilvl w:val="0"/>
                <w:numId w:val="0"/>
              </w:numPr>
              <w:kinsoku/>
              <w:wordWrap/>
              <w:overflowPunct w:val="0"/>
              <w:topLinePunct/>
              <w:autoSpaceDE/>
              <w:autoSpaceDN w:val="0"/>
              <w:bidi w:val="0"/>
              <w:adjustRightInd/>
              <w:snapToGrid/>
              <w:spacing w:line="360" w:lineRule="exact"/>
              <w:ind w:lef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398" w:type="pct"/>
            <w:noWrap w:val="0"/>
            <w:vAlign w:val="center"/>
          </w:tcPr>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罗湖区</w:t>
            </w:r>
          </w:p>
        </w:tc>
        <w:tc>
          <w:tcPr>
            <w:tcW w:w="383" w:type="pct"/>
            <w:noWrap w:val="0"/>
            <w:vAlign w:val="center"/>
          </w:tcPr>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东湖街道</w:t>
            </w:r>
          </w:p>
        </w:tc>
        <w:tc>
          <w:tcPr>
            <w:tcW w:w="612" w:type="pct"/>
            <w:noWrap w:val="0"/>
            <w:vAlign w:val="center"/>
          </w:tcPr>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布心市场及周边片区城市更新单元</w:t>
            </w:r>
          </w:p>
        </w:tc>
        <w:tc>
          <w:tcPr>
            <w:tcW w:w="469" w:type="pct"/>
            <w:noWrap w:val="0"/>
            <w:vAlign w:val="center"/>
          </w:tcPr>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东湖街道办事处</w:t>
            </w:r>
          </w:p>
        </w:tc>
        <w:tc>
          <w:tcPr>
            <w:tcW w:w="737" w:type="pct"/>
            <w:noWrap w:val="0"/>
            <w:vAlign w:val="center"/>
          </w:tcPr>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36707</w:t>
            </w:r>
          </w:p>
        </w:tc>
        <w:tc>
          <w:tcPr>
            <w:tcW w:w="2147" w:type="pct"/>
            <w:noWrap w:val="0"/>
            <w:vAlign w:val="center"/>
          </w:tcPr>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①拟更新方向为居住、商业等功能。</w:t>
            </w:r>
          </w:p>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②拟拆除范围内可供无偿移交给政府的城市公共利益项目用地应当不小于3000平方米且不小于拟拆除范围用地面积的15%。</w:t>
            </w:r>
          </w:p>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③原更新单元计划有效期自2024年4月2日至2026年4月1日止。延期一年，有效期至2027年4月1日止。</w:t>
            </w:r>
          </w:p>
          <w:p>
            <w:pPr>
              <w:keepNext w:val="0"/>
              <w:keepLines w:val="0"/>
              <w:pageBreakBefore w:val="0"/>
              <w:widowControl/>
              <w:kinsoku/>
              <w:wordWrap/>
              <w:overflowPunct w:val="0"/>
              <w:topLinePunct/>
              <w:autoSpaceDE/>
              <w:autoSpaceDN w:val="0"/>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④更新单元规划阶段需落实深圳市国土空间规划等相关法定规划的管控要求，并按《住宅项目规范》及我市相关要求落实。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7"/>
            <w:noWrap w:val="0"/>
            <w:vAlign w:val="center"/>
          </w:tcPr>
          <w:p>
            <w:pPr>
              <w:keepNext w:val="0"/>
              <w:keepLines w:val="0"/>
              <w:pageBreakBefore w:val="0"/>
              <w:widowControl/>
              <w:kinsoku/>
              <w:wordWrap w:val="0"/>
              <w:overflowPunct w:val="0"/>
              <w:topLinePunct/>
              <w:autoSpaceDE/>
              <w:autoSpaceDN w:val="0"/>
              <w:bidi w:val="0"/>
              <w:adjustRightInd/>
              <w:snapToGrid/>
              <w:spacing w:beforeAutospacing="0" w:afterAutospacing="0" w:line="360" w:lineRule="exact"/>
              <w:jc w:val="left"/>
              <w:textAlignment w:val="auto"/>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特别提示：</w:t>
            </w:r>
          </w:p>
          <w:p>
            <w:pPr>
              <w:keepNext w:val="0"/>
              <w:keepLines w:val="0"/>
              <w:pageBreakBefore w:val="0"/>
              <w:widowControl/>
              <w:kinsoku/>
              <w:wordWrap w:val="0"/>
              <w:overflowPunct w:val="0"/>
              <w:topLinePunct/>
              <w:autoSpaceDE/>
              <w:autoSpaceDN w:val="0"/>
              <w:bidi w:val="0"/>
              <w:adjustRightInd/>
              <w:snapToGrid/>
              <w:spacing w:beforeAutospacing="0" w:afterAutospacing="0" w:line="360" w:lineRule="exact"/>
              <w:jc w:val="left"/>
              <w:textAlignment w:val="auto"/>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1.本表所列的城市更新单元须按照城市更新相关政策完成城市更新单元规划编制及项目实施主体确认工作后方可实施开发建设。</w:t>
            </w:r>
          </w:p>
          <w:p>
            <w:pPr>
              <w:keepNext w:val="0"/>
              <w:keepLines w:val="0"/>
              <w:pageBreakBefore w:val="0"/>
              <w:widowControl/>
              <w:kinsoku/>
              <w:wordWrap w:val="0"/>
              <w:overflowPunct w:val="0"/>
              <w:topLinePunct/>
              <w:autoSpaceDE/>
              <w:autoSpaceDN w:val="0"/>
              <w:bidi w:val="0"/>
              <w:adjustRightInd/>
              <w:snapToGrid/>
              <w:spacing w:beforeAutospacing="0" w:afterAutospacing="0"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2.本表所列“申报主体”仅为城市更新单元计划的申报主体，项目实施主体须依据城市更新政策规定的条件及程序进行确认后产生。</w:t>
            </w:r>
          </w:p>
          <w:p>
            <w:pPr>
              <w:keepNext w:val="0"/>
              <w:keepLines w:val="0"/>
              <w:pageBreakBefore w:val="0"/>
              <w:widowControl/>
              <w:kinsoku/>
              <w:wordWrap w:val="0"/>
              <w:overflowPunct w:val="0"/>
              <w:topLinePunct/>
              <w:autoSpaceDE/>
              <w:autoSpaceDN w:val="0"/>
              <w:bidi w:val="0"/>
              <w:adjustRightInd/>
              <w:snapToGrid/>
              <w:spacing w:beforeAutospacing="0" w:afterAutospacing="0" w:line="360" w:lineRule="exact"/>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3.计划有效期内，更新单元规划未获市政府或其授权机构批准的，更新单元失效。</w:t>
            </w:r>
          </w:p>
          <w:p>
            <w:pPr>
              <w:keepNext w:val="0"/>
              <w:keepLines w:val="0"/>
              <w:pageBreakBefore w:val="0"/>
              <w:kinsoku/>
              <w:overflowPunct w:val="0"/>
              <w:topLinePunct/>
              <w:autoSpaceDE/>
              <w:autoSpaceDN w:val="0"/>
              <w:bidi w:val="0"/>
              <w:adjustRightInd/>
              <w:snapToGrid/>
              <w:spacing w:line="360" w:lineRule="exact"/>
              <w:jc w:val="left"/>
              <w:textAlignment w:val="auto"/>
              <w:rPr>
                <w:rFonts w:ascii="Calibri" w:hAnsi="Calibri" w:eastAsia="宋体" w:cs="Times New Roman"/>
                <w:szCs w:val="22"/>
              </w:rPr>
            </w:pPr>
            <w:r>
              <w:rPr>
                <w:rFonts w:hint="eastAsia" w:ascii="宋体" w:hAnsi="宋体" w:eastAsia="宋体" w:cs="宋体"/>
                <w:kern w:val="2"/>
                <w:sz w:val="18"/>
                <w:szCs w:val="18"/>
                <w:lang w:val="en-US" w:eastAsia="zh-CN"/>
              </w:rPr>
              <w:t>4</w:t>
            </w:r>
            <w:r>
              <w:rPr>
                <w:rFonts w:hint="eastAsia" w:ascii="宋体" w:hAnsi="宋体" w:eastAsia="宋体" w:cs="宋体"/>
                <w:kern w:val="2"/>
                <w:sz w:val="18"/>
                <w:szCs w:val="18"/>
              </w:rPr>
              <w:t>.本表所列城市更新单元的规划建设要求在城市更新单元规划审批过程中予以确定，除满足本表所列需求外，还应满足法定图则等上层次规划关于交通、市政、公共配套设施的建设要求和城市更新政策中公共利益项目等用地的移交要求。</w:t>
            </w:r>
          </w:p>
        </w:tc>
      </w:tr>
    </w:tbl>
    <w:p/>
    <w:p/>
    <w:sectPr>
      <w:pgSz w:w="11906" w:h="16838"/>
      <w:pgMar w:top="1814" w:right="1474" w:bottom="18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E743E"/>
    <w:rsid w:val="3D6F8978"/>
    <w:rsid w:val="5F75060E"/>
    <w:rsid w:val="6FAE743E"/>
    <w:rsid w:val="E4FC1AC6"/>
    <w:rsid w:val="F7FE3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2026-04-03T10:10:00Z</dcterms:created>
  <dc:creator>cxy</dc:creator>
  <cp:lastModifiedBy>cxy</cp:lastModifiedBy>
  <dcterms:modified xsi:type="dcterms:W3CDTF">2026-04-03T10:10:57Z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4CB7326257CFD05B9C21CF696D999354</vt:lpwstr>
  </property>
</Properties>
</file>