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b w:val="0"/>
          <w:bCs/>
          <w:color w:val="auto"/>
          <w:sz w:val="28"/>
          <w:szCs w:val="28"/>
          <w:lang w:val="en-US" w:eastAsia="zh-CN"/>
        </w:rPr>
      </w:pPr>
      <w:r>
        <w:rPr>
          <w:rFonts w:hint="eastAsia" w:ascii="仿宋_GB2312" w:eastAsia="仿宋_GB2312"/>
          <w:b w:val="0"/>
          <w:bCs/>
          <w:color w:val="auto"/>
          <w:sz w:val="32"/>
          <w:szCs w:val="32"/>
        </w:rPr>
        <w:t>附件</w:t>
      </w:r>
      <w:r>
        <w:rPr>
          <w:rFonts w:hint="eastAsia" w:ascii="仿宋_GB2312" w:eastAsia="仿宋_GB2312"/>
          <w:b w:val="0"/>
          <w:bCs/>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eastAsia="zh-CN"/>
        </w:rPr>
        <w:t>罗湖区民政系统202</w:t>
      </w:r>
      <w:r>
        <w:rPr>
          <w:rFonts w:hint="eastAsia" w:ascii="方正小标宋简体" w:hAnsi="方正小标宋简体" w:eastAsia="方正小标宋简体" w:cs="方正小标宋简体"/>
          <w:spacing w:val="-6"/>
          <w:sz w:val="44"/>
          <w:szCs w:val="44"/>
          <w:lang w:val="en-US" w:eastAsia="zh-CN"/>
        </w:rPr>
        <w:t>6</w:t>
      </w:r>
      <w:r>
        <w:rPr>
          <w:rFonts w:hint="eastAsia" w:ascii="方正小标宋简体" w:hAnsi="方正小标宋简体" w:eastAsia="方正小标宋简体" w:cs="方正小标宋简体"/>
          <w:spacing w:val="-6"/>
          <w:sz w:val="44"/>
          <w:szCs w:val="44"/>
          <w:lang w:eastAsia="zh-CN"/>
        </w:rPr>
        <w:t>-202</w:t>
      </w:r>
      <w:r>
        <w:rPr>
          <w:rFonts w:hint="eastAsia" w:ascii="方正小标宋简体" w:hAnsi="方正小标宋简体" w:eastAsia="方正小标宋简体" w:cs="方正小标宋简体"/>
          <w:spacing w:val="-6"/>
          <w:sz w:val="44"/>
          <w:szCs w:val="44"/>
          <w:lang w:val="en-US" w:eastAsia="zh-CN"/>
        </w:rPr>
        <w:t>7</w:t>
      </w:r>
      <w:r>
        <w:rPr>
          <w:rFonts w:hint="eastAsia" w:ascii="方正小标宋简体" w:hAnsi="方正小标宋简体" w:eastAsia="方正小标宋简体" w:cs="方正小标宋简体"/>
          <w:spacing w:val="-6"/>
          <w:sz w:val="44"/>
          <w:szCs w:val="44"/>
          <w:lang w:eastAsia="zh-CN"/>
        </w:rPr>
        <w:t>年安全生产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eastAsia="zh-CN"/>
        </w:rPr>
        <w:t>服务项目评分表</w:t>
      </w:r>
    </w:p>
    <w:tbl>
      <w:tblPr>
        <w:tblStyle w:val="8"/>
        <w:tblpPr w:leftFromText="180" w:rightFromText="180" w:vertAnchor="text" w:horzAnchor="page" w:tblpXSpec="center" w:tblpY="37"/>
        <w:tblOverlap w:val="never"/>
        <w:tblW w:w="4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002"/>
        <w:gridCol w:w="4896"/>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6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heme="majorEastAsia" w:hAnsiTheme="majorEastAsia" w:eastAsiaTheme="majorEastAsia" w:cstheme="majorEastAsia"/>
                <w:b/>
                <w:bCs/>
                <w:kern w:val="0"/>
                <w:sz w:val="28"/>
                <w:szCs w:val="28"/>
              </w:rPr>
            </w:pPr>
            <w:r>
              <w:rPr>
                <w:rFonts w:hint="eastAsia" w:asciiTheme="majorEastAsia" w:hAnsiTheme="majorEastAsia" w:eastAsiaTheme="majorEastAsia" w:cstheme="majorEastAsia"/>
                <w:b/>
                <w:bCs/>
                <w:kern w:val="0"/>
                <w:sz w:val="28"/>
                <w:szCs w:val="28"/>
              </w:rPr>
              <w:t>评分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heme="majorEastAsia" w:hAnsiTheme="majorEastAsia" w:eastAsiaTheme="majorEastAsia" w:cstheme="majorEastAsia"/>
                <w:b/>
                <w:bCs/>
                <w:kern w:val="0"/>
                <w:sz w:val="28"/>
                <w:szCs w:val="28"/>
              </w:rPr>
            </w:pPr>
            <w:r>
              <w:rPr>
                <w:rFonts w:hint="eastAsia" w:asciiTheme="majorEastAsia" w:hAnsiTheme="majorEastAsia" w:eastAsiaTheme="majorEastAsia" w:cstheme="majorEastAsia"/>
                <w:b/>
                <w:bCs/>
                <w:kern w:val="0"/>
                <w:sz w:val="28"/>
                <w:szCs w:val="28"/>
              </w:rPr>
              <w:t>项目</w:t>
            </w: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heme="majorEastAsia" w:hAnsiTheme="majorEastAsia" w:eastAsiaTheme="majorEastAsia" w:cstheme="majorEastAsia"/>
                <w:b/>
                <w:bCs/>
                <w:kern w:val="0"/>
                <w:sz w:val="28"/>
                <w:szCs w:val="28"/>
              </w:rPr>
            </w:pPr>
            <w:r>
              <w:rPr>
                <w:rFonts w:hint="eastAsia" w:asciiTheme="majorEastAsia" w:hAnsiTheme="majorEastAsia" w:eastAsiaTheme="majorEastAsia" w:cstheme="majorEastAsia"/>
                <w:b/>
                <w:bCs/>
                <w:kern w:val="0"/>
                <w:sz w:val="28"/>
                <w:szCs w:val="28"/>
              </w:rPr>
              <w:t>评分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heme="majorEastAsia" w:hAnsiTheme="majorEastAsia" w:eastAsiaTheme="majorEastAsia" w:cstheme="majorEastAsia"/>
                <w:b/>
                <w:bCs/>
                <w:kern w:val="0"/>
                <w:sz w:val="28"/>
                <w:szCs w:val="28"/>
              </w:rPr>
            </w:pPr>
            <w:r>
              <w:rPr>
                <w:rFonts w:hint="eastAsia" w:asciiTheme="majorEastAsia" w:hAnsiTheme="majorEastAsia" w:eastAsiaTheme="majorEastAsia" w:cstheme="majorEastAsia"/>
                <w:b/>
                <w:bCs/>
                <w:kern w:val="0"/>
                <w:sz w:val="28"/>
                <w:szCs w:val="28"/>
              </w:rPr>
              <w:t>因素</w:t>
            </w:r>
          </w:p>
        </w:tc>
        <w:tc>
          <w:tcPr>
            <w:tcW w:w="30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Theme="majorEastAsia" w:hAnsiTheme="majorEastAsia" w:eastAsiaTheme="majorEastAsia" w:cstheme="majorEastAsia"/>
                <w:b/>
                <w:kern w:val="0"/>
                <w:sz w:val="28"/>
                <w:szCs w:val="28"/>
              </w:rPr>
            </w:pPr>
            <w:r>
              <w:rPr>
                <w:rFonts w:hint="eastAsia" w:asciiTheme="majorEastAsia" w:hAnsiTheme="majorEastAsia" w:eastAsiaTheme="majorEastAsia" w:cstheme="majorEastAsia"/>
                <w:b/>
                <w:kern w:val="0"/>
                <w:sz w:val="28"/>
                <w:szCs w:val="28"/>
              </w:rPr>
              <w:t>评分准则</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heme="majorEastAsia" w:hAnsiTheme="majorEastAsia" w:eastAsiaTheme="majorEastAsia" w:cstheme="majorEastAsia"/>
                <w:b/>
                <w:bCs/>
                <w:kern w:val="0"/>
                <w:sz w:val="18"/>
                <w:szCs w:val="18"/>
              </w:rPr>
            </w:pPr>
            <w:r>
              <w:rPr>
                <w:rFonts w:hint="eastAsia" w:asciiTheme="majorEastAsia" w:hAnsiTheme="majorEastAsia" w:eastAsiaTheme="majorEastAsia" w:cstheme="majorEastAsia"/>
                <w:b/>
                <w:bCs/>
                <w:kern w:val="0"/>
                <w:sz w:val="24"/>
                <w:szCs w:val="24"/>
              </w:rPr>
              <w:t>权重（分）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heme="majorEastAsia" w:hAnsiTheme="majorEastAsia" w:eastAsiaTheme="majorEastAsia" w:cstheme="majorEastAsia"/>
                <w:b/>
                <w:bCs/>
                <w:kern w:val="0"/>
                <w:sz w:val="22"/>
                <w:szCs w:val="22"/>
              </w:rPr>
            </w:pPr>
            <w:r>
              <w:rPr>
                <w:rFonts w:hint="eastAsia" w:asciiTheme="majorEastAsia" w:hAnsiTheme="majorEastAsia" w:eastAsiaTheme="majorEastAsia" w:cstheme="majorEastAsia"/>
                <w:b/>
                <w:bCs/>
                <w:kern w:val="0"/>
                <w:sz w:val="22"/>
                <w:szCs w:val="22"/>
              </w:rPr>
              <w:t>一、价格（</w:t>
            </w:r>
            <w:r>
              <w:rPr>
                <w:rFonts w:hint="eastAsia" w:asciiTheme="majorEastAsia" w:hAnsiTheme="majorEastAsia" w:eastAsiaTheme="majorEastAsia" w:cstheme="majorEastAsia"/>
                <w:b/>
                <w:bCs/>
                <w:kern w:val="0"/>
                <w:sz w:val="22"/>
                <w:szCs w:val="22"/>
                <w:lang w:val="en-US" w:eastAsia="zh-CN"/>
              </w:rPr>
              <w:t>10</w:t>
            </w:r>
            <w:r>
              <w:rPr>
                <w:rFonts w:hint="eastAsia" w:asciiTheme="majorEastAsia" w:hAnsiTheme="majorEastAsia" w:eastAsiaTheme="majorEastAsia" w:cstheme="majorEastAsia"/>
                <w:b/>
                <w:bCs/>
                <w:kern w:val="0"/>
                <w:sz w:val="22"/>
                <w:szCs w:val="22"/>
              </w:rPr>
              <w:t>分）</w:t>
            </w: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CESI仿宋-GB2312" w:hAnsi="CESI仿宋-GB2312" w:eastAsia="CESI仿宋-GB2312" w:cs="CESI仿宋-GB2312"/>
                <w:bCs/>
                <w:kern w:val="0"/>
                <w:sz w:val="22"/>
                <w:szCs w:val="22"/>
                <w:lang w:eastAsia="zh-CN"/>
              </w:rPr>
            </w:pPr>
            <w:r>
              <w:rPr>
                <w:rFonts w:hint="eastAsia" w:ascii="CESI仿宋-GB2312" w:hAnsi="CESI仿宋-GB2312" w:eastAsia="CESI仿宋-GB2312" w:cs="CESI仿宋-GB2312"/>
                <w:bCs/>
                <w:kern w:val="0"/>
                <w:sz w:val="22"/>
                <w:szCs w:val="22"/>
              </w:rPr>
              <w:t>1.投标供应商报价</w:t>
            </w:r>
          </w:p>
        </w:tc>
        <w:tc>
          <w:tcPr>
            <w:tcW w:w="30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color w:val="000000" w:themeColor="text1"/>
                <w:kern w:val="0"/>
                <w:sz w:val="22"/>
                <w:szCs w:val="22"/>
                <w:lang w:eastAsia="zh-CN"/>
                <w14:textFill>
                  <w14:solidFill>
                    <w14:schemeClr w14:val="tx1"/>
                  </w14:solidFill>
                </w14:textFill>
              </w:rPr>
            </w:pPr>
            <w:r>
              <w:rPr>
                <w:rFonts w:hint="eastAsia" w:ascii="CESI仿宋-GB2312" w:hAnsi="CESI仿宋-GB2312" w:eastAsia="CESI仿宋-GB2312" w:cs="CESI仿宋-GB2312"/>
                <w:color w:val="auto"/>
                <w:kern w:val="0"/>
                <w:sz w:val="22"/>
                <w:szCs w:val="22"/>
              </w:rPr>
              <w:t>采用</w:t>
            </w:r>
            <w:r>
              <w:rPr>
                <w:rFonts w:hint="eastAsia" w:ascii="CESI仿宋-GB2312" w:hAnsi="CESI仿宋-GB2312" w:eastAsia="CESI仿宋-GB2312" w:cs="CESI仿宋-GB2312"/>
                <w:b/>
                <w:bCs/>
                <w:color w:val="auto"/>
                <w:kern w:val="0"/>
                <w:sz w:val="22"/>
                <w:szCs w:val="22"/>
              </w:rPr>
              <w:t>平均报价优先法</w:t>
            </w:r>
            <w:r>
              <w:rPr>
                <w:rFonts w:hint="eastAsia" w:ascii="CESI仿宋-GB2312" w:hAnsi="CESI仿宋-GB2312" w:eastAsia="CESI仿宋-GB2312" w:cs="CESI仿宋-GB2312"/>
                <w:color w:val="auto"/>
                <w:kern w:val="0"/>
                <w:sz w:val="22"/>
                <w:szCs w:val="22"/>
              </w:rPr>
              <w:t>计算，即满足招标文件要求</w:t>
            </w:r>
            <w:r>
              <w:rPr>
                <w:rFonts w:hint="eastAsia" w:ascii="CESI仿宋-GB2312" w:hAnsi="CESI仿宋-GB2312" w:eastAsia="CESI仿宋-GB2312" w:cs="CESI仿宋-GB2312"/>
                <w:color w:val="auto"/>
                <w:kern w:val="0"/>
                <w:sz w:val="22"/>
                <w:szCs w:val="22"/>
                <w:lang w:eastAsia="zh-CN"/>
              </w:rPr>
              <w:t>的</w:t>
            </w:r>
            <w:r>
              <w:rPr>
                <w:rFonts w:hint="eastAsia" w:ascii="CESI仿宋-GB2312" w:hAnsi="CESI仿宋-GB2312" w:eastAsia="CESI仿宋-GB2312" w:cs="CESI仿宋-GB2312"/>
                <w:color w:val="auto"/>
                <w:kern w:val="0"/>
                <w:sz w:val="22"/>
                <w:szCs w:val="22"/>
              </w:rPr>
              <w:t>所有投标单位</w:t>
            </w:r>
            <w:r>
              <w:rPr>
                <w:rFonts w:hint="eastAsia" w:ascii="CESI仿宋-GB2312" w:hAnsi="CESI仿宋-GB2312" w:eastAsia="CESI仿宋-GB2312" w:cs="CESI仿宋-GB2312"/>
                <w:color w:val="auto"/>
                <w:kern w:val="0"/>
                <w:sz w:val="22"/>
                <w:szCs w:val="22"/>
                <w:lang w:eastAsia="zh-CN"/>
              </w:rPr>
              <w:t>报价的平均数</w:t>
            </w:r>
            <w:r>
              <w:rPr>
                <w:rFonts w:hint="eastAsia" w:ascii="CESI仿宋-GB2312" w:hAnsi="CESI仿宋-GB2312" w:eastAsia="CESI仿宋-GB2312" w:cs="CESI仿宋-GB2312"/>
                <w:color w:val="auto"/>
                <w:kern w:val="0"/>
                <w:sz w:val="22"/>
                <w:szCs w:val="22"/>
              </w:rPr>
              <w:t>为</w:t>
            </w: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投标报价平均价</w:t>
            </w:r>
            <w:r>
              <w:rPr>
                <w:rFonts w:hint="eastAsia" w:ascii="CESI仿宋-GB2312" w:hAnsi="CESI仿宋-GB2312" w:eastAsia="CESI仿宋-GB2312" w:cs="CESI仿宋-GB2312"/>
                <w:color w:val="auto"/>
                <w:kern w:val="0"/>
                <w:sz w:val="22"/>
                <w:szCs w:val="22"/>
              </w:rPr>
              <w:t>，其价格分为满分。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color w:val="000000" w:themeColor="text1"/>
                <w:kern w:val="0"/>
                <w:sz w:val="22"/>
                <w:szCs w:val="22"/>
                <w14:textFill>
                  <w14:solidFill>
                    <w14:schemeClr w14:val="tx1"/>
                  </w14:solidFill>
                </w14:textFill>
              </w:rPr>
              <w:t>投标报价得分=(投标报价</w:t>
            </w: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-投标报价平均价</w:t>
            </w:r>
            <w:r>
              <w:rPr>
                <w:rFonts w:hint="eastAsia" w:ascii="CESI仿宋-GB2312" w:hAnsi="CESI仿宋-GB2312" w:eastAsia="CESI仿宋-GB2312" w:cs="CESI仿宋-GB2312"/>
                <w:color w:val="000000" w:themeColor="text1"/>
                <w:kern w:val="0"/>
                <w:sz w:val="22"/>
                <w:szCs w:val="22"/>
                <w14:textFill>
                  <w14:solidFill>
                    <w14:schemeClr w14:val="tx1"/>
                  </w14:solidFill>
                </w14:textFill>
              </w:rPr>
              <w:t>)</w:t>
            </w: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/投标报价平均价</w:t>
            </w:r>
            <w:r>
              <w:rPr>
                <w:rFonts w:hint="eastAsia" w:ascii="CESI仿宋-GB2312" w:hAnsi="CESI仿宋-GB2312" w:eastAsia="CESI仿宋-GB2312" w:cs="CESI仿宋-GB2312"/>
                <w:color w:val="000000" w:themeColor="text1"/>
                <w:kern w:val="0"/>
                <w:sz w:val="22"/>
                <w:szCs w:val="22"/>
                <w14:textFill>
                  <w14:solidFill>
                    <w14:schemeClr w14:val="tx1"/>
                  </w14:solidFill>
                </w14:textFill>
              </w:rPr>
              <w:t>×</w:t>
            </w: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100%，</w:t>
            </w:r>
            <w:r>
              <w:rPr>
                <w:rFonts w:hint="eastAsia" w:ascii="CESI仿宋-GB2312" w:hAnsi="CESI仿宋-GB2312" w:eastAsia="CESI仿宋-GB2312" w:cs="CESI仿宋-GB2312"/>
                <w:color w:val="auto"/>
                <w:kern w:val="0"/>
                <w:sz w:val="22"/>
                <w:szCs w:val="22"/>
              </w:rPr>
              <w:t>每高</w:t>
            </w:r>
            <w:r>
              <w:rPr>
                <w:rFonts w:hint="eastAsia" w:ascii="CESI仿宋-GB2312" w:hAnsi="CESI仿宋-GB2312" w:eastAsia="CESI仿宋-GB2312" w:cs="CESI仿宋-GB2312"/>
                <w:color w:val="auto"/>
                <w:kern w:val="0"/>
                <w:sz w:val="22"/>
                <w:szCs w:val="22"/>
                <w:lang w:eastAsia="zh-CN"/>
              </w:rPr>
              <w:t>或每低</w:t>
            </w:r>
            <w:r>
              <w:rPr>
                <w:rFonts w:hint="eastAsia" w:ascii="CESI仿宋-GB2312" w:hAnsi="CESI仿宋-GB2312" w:eastAsia="CESI仿宋-GB2312" w:cs="CESI仿宋-GB2312"/>
                <w:color w:val="auto"/>
                <w:kern w:val="0"/>
                <w:sz w:val="22"/>
                <w:szCs w:val="22"/>
              </w:rPr>
              <w:t>1%扣1分，扣完为止</w:t>
            </w:r>
            <w:r>
              <w:rPr>
                <w:rFonts w:hint="eastAsia" w:ascii="CESI仿宋-GB2312" w:hAnsi="CESI仿宋-GB2312" w:eastAsia="CESI仿宋-GB2312" w:cs="CESI仿宋-GB2312"/>
                <w:color w:val="000000" w:themeColor="text1"/>
                <w:kern w:val="0"/>
                <w:sz w:val="22"/>
                <w:szCs w:val="22"/>
                <w14:textFill>
                  <w14:solidFill>
                    <w14:schemeClr w14:val="tx1"/>
                  </w14:solidFill>
                </w14:textFill>
              </w:rPr>
              <w:t>。</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Theme="majorEastAsia" w:hAnsiTheme="majorEastAsia" w:eastAsiaTheme="majorEastAsia" w:cstheme="majorEastAsia"/>
                <w:b/>
                <w:bCs/>
                <w:color w:val="0000FF"/>
                <w:kern w:val="0"/>
                <w:sz w:val="22"/>
                <w:szCs w:val="22"/>
                <w:lang w:val="en-US" w:eastAsia="zh-CN"/>
              </w:rPr>
            </w:pPr>
            <w:r>
              <w:rPr>
                <w:rFonts w:hint="eastAsia" w:asciiTheme="majorEastAsia" w:hAnsiTheme="majorEastAsia" w:eastAsiaTheme="majorEastAsia" w:cstheme="majorEastAsia"/>
                <w:b/>
                <w:bCs/>
                <w:kern w:val="0"/>
                <w:sz w:val="22"/>
                <w:szCs w:val="22"/>
              </w:rPr>
              <w:t>二、</w:t>
            </w:r>
            <w:r>
              <w:rPr>
                <w:rFonts w:hint="eastAsia" w:asciiTheme="majorEastAsia" w:hAnsiTheme="majorEastAsia" w:eastAsiaTheme="majorEastAsia" w:cstheme="majorEastAsia"/>
                <w:b/>
                <w:bCs/>
                <w:kern w:val="0"/>
                <w:sz w:val="22"/>
                <w:szCs w:val="22"/>
                <w:lang w:eastAsia="zh-CN"/>
              </w:rPr>
              <w:t>服务（</w:t>
            </w:r>
            <w:r>
              <w:rPr>
                <w:rFonts w:hint="eastAsia" w:asciiTheme="majorEastAsia" w:hAnsiTheme="majorEastAsia" w:eastAsiaTheme="majorEastAsia" w:cstheme="majorEastAsia"/>
                <w:b/>
                <w:bCs/>
                <w:kern w:val="0"/>
                <w:sz w:val="22"/>
                <w:szCs w:val="22"/>
                <w:lang w:val="en-US" w:eastAsia="zh-CN"/>
              </w:rPr>
              <w:t>60</w:t>
            </w:r>
            <w:r>
              <w:rPr>
                <w:rFonts w:hint="eastAsia" w:asciiTheme="majorEastAsia" w:hAnsiTheme="majorEastAsia" w:eastAsiaTheme="majorEastAsia" w:cstheme="majorEastAsia"/>
                <w:b/>
                <w:bCs/>
                <w:kern w:val="0"/>
                <w:sz w:val="22"/>
                <w:szCs w:val="22"/>
                <w:lang w:eastAsia="zh-CN"/>
              </w:rPr>
              <w:t>分）</w:t>
            </w: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default" w:ascii="CESI仿宋-GB2312" w:hAnsi="CESI仿宋-GB2312" w:eastAsia="CESI仿宋-GB2312" w:cs="CESI仿宋-GB2312"/>
                <w:bCs/>
                <w:kern w:val="0"/>
                <w:sz w:val="22"/>
                <w:szCs w:val="22"/>
                <w:lang w:val="en-US" w:eastAsia="zh-CN"/>
              </w:rPr>
            </w:pPr>
            <w:r>
              <w:rPr>
                <w:rFonts w:hint="eastAsia" w:ascii="CESI仿宋-GB2312" w:hAnsi="CESI仿宋-GB2312" w:eastAsia="CESI仿宋-GB2312" w:cs="CESI仿宋-GB2312"/>
                <w:bCs/>
                <w:kern w:val="0"/>
                <w:sz w:val="22"/>
                <w:szCs w:val="22"/>
                <w:lang w:val="en-US" w:eastAsia="zh-CN"/>
              </w:rPr>
              <w:t>1.制定项目实施方案及相关的合理化建议</w:t>
            </w:r>
          </w:p>
        </w:tc>
        <w:tc>
          <w:tcPr>
            <w:tcW w:w="30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pP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针对项目需求制定系统的、详细周全、思路清晰、切合实际的实施方案得10分；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pP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实施方案包括对本项目拟采取的工作措施、方法或手段、流程、费用预算等的得6分；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pP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针对本项目的重点难点进行分析，并提出应对的措施及相关合理化建议得7分。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pP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服务指标、服务方式、服务进度安排的科学性、可行性、针对性、可操作性，得7分；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pP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服务的内容是否涵盖协助机构健全安全生产制度体系、完善管理台账，定期每季度开展隐患排查、培训、演练等方面，得5分；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pP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出具隐患整改意见措施的报告、安全巡查台账、每季度安全巡查情况总结，得5分；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default" w:ascii="CESI仿宋-GB2312" w:hAnsi="CESI仿宋-GB2312" w:eastAsia="CESI仿宋-GB2312" w:cs="CESI仿宋-GB2312"/>
                <w:kern w:val="0"/>
                <w:sz w:val="22"/>
                <w:szCs w:val="22"/>
                <w:lang w:val="en-US"/>
              </w:rPr>
            </w:pP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有安全生产宣讲“进机构”和安全生产专题培训计划，得5分</w:t>
            </w:r>
            <w:r>
              <w:rPr>
                <w:rFonts w:hint="eastAsia" w:ascii="CESI仿宋-GB2312" w:hAnsi="CESI仿宋-GB2312" w:eastAsia="CESI仿宋-GB2312" w:cs="CESI仿宋-GB2312"/>
                <w:color w:val="000000" w:themeColor="text1"/>
                <w:kern w:val="0"/>
                <w:sz w:val="22"/>
                <w:szCs w:val="22"/>
                <w14:textFill>
                  <w14:solidFill>
                    <w14:schemeClr w14:val="tx1"/>
                  </w14:solidFill>
                </w14:textFill>
              </w:rPr>
              <w:t>。</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Theme="majorEastAsia" w:hAnsiTheme="majorEastAsia" w:eastAsiaTheme="majorEastAsia" w:cstheme="majorEastAsia"/>
                <w:b/>
                <w:bCs/>
                <w:color w:val="0000FF"/>
                <w:kern w:val="0"/>
                <w:sz w:val="22"/>
                <w:szCs w:val="22"/>
                <w:lang w:val="en-US" w:eastAsia="zh-CN"/>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CESI仿宋-GB2312" w:hAnsi="CESI仿宋-GB2312" w:eastAsia="CESI仿宋-GB2312" w:cs="CESI仿宋-GB2312"/>
                <w:bCs/>
                <w:kern w:val="0"/>
                <w:sz w:val="22"/>
                <w:szCs w:val="22"/>
                <w:lang w:val="en-US" w:eastAsia="zh-CN"/>
              </w:rPr>
            </w:pPr>
            <w:r>
              <w:rPr>
                <w:rFonts w:hint="eastAsia" w:ascii="CESI仿宋-GB2312" w:hAnsi="CESI仿宋-GB2312" w:eastAsia="CESI仿宋-GB2312" w:cs="CESI仿宋-GB2312"/>
                <w:bCs/>
                <w:kern w:val="0"/>
                <w:sz w:val="22"/>
                <w:szCs w:val="22"/>
                <w:lang w:val="en-US" w:eastAsia="zh-CN"/>
              </w:rPr>
              <w:t>2.有质量保障措施。</w:t>
            </w:r>
          </w:p>
        </w:tc>
        <w:tc>
          <w:tcPr>
            <w:tcW w:w="30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承诺回避与民政服务机构的利害关系、承诺对项目信息保密的、承诺在约定时间内完成的、有切实可行的违约承诺的得5分。</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Theme="majorEastAsia" w:hAnsiTheme="majorEastAsia" w:eastAsiaTheme="majorEastAsia" w:cstheme="majorEastAsia"/>
                <w:b/>
                <w:bCs/>
                <w:color w:val="0000FF"/>
                <w:kern w:val="0"/>
                <w:sz w:val="22"/>
                <w:szCs w:val="22"/>
                <w:lang w:val="en-US" w:eastAsia="zh-CN"/>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default" w:ascii="CESI仿宋-GB2312" w:hAnsi="CESI仿宋-GB2312" w:eastAsia="CESI仿宋-GB2312" w:cs="CESI仿宋-GB2312"/>
                <w:bCs/>
                <w:kern w:val="0"/>
                <w:sz w:val="22"/>
                <w:szCs w:val="22"/>
                <w:lang w:val="en-US" w:eastAsia="zh-CN"/>
              </w:rPr>
            </w:pPr>
            <w:r>
              <w:rPr>
                <w:rFonts w:hint="eastAsia" w:ascii="CESI仿宋-GB2312" w:hAnsi="CESI仿宋-GB2312" w:eastAsia="CESI仿宋-GB2312" w:cs="CESI仿宋-GB2312"/>
                <w:bCs/>
                <w:kern w:val="0"/>
                <w:sz w:val="22"/>
                <w:szCs w:val="22"/>
                <w:lang w:val="en-US" w:eastAsia="zh-CN"/>
              </w:rPr>
              <w:t>3.项目负责人配置</w:t>
            </w:r>
          </w:p>
        </w:tc>
        <w:tc>
          <w:tcPr>
            <w:tcW w:w="309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60" w:lineRule="exact"/>
              <w:ind w:firstLine="440" w:firstLineChars="200"/>
              <w:rPr>
                <w:rFonts w:hint="eastAsia" w:ascii="CESI仿宋-GB2312" w:hAnsi="CESI仿宋-GB2312" w:eastAsia="CESI仿宋-GB2312" w:cs="CESI仿宋-GB2312"/>
                <w:color w:val="auto"/>
                <w:sz w:val="22"/>
                <w:szCs w:val="22"/>
                <w:lang w:eastAsia="zh-CN"/>
              </w:rPr>
            </w:pPr>
            <w:r>
              <w:rPr>
                <w:rFonts w:hint="eastAsia" w:ascii="CESI仿宋-GB2312" w:hAnsi="CESI仿宋-GB2312" w:eastAsia="CESI仿宋-GB2312" w:cs="CESI仿宋-GB2312"/>
                <w:color w:val="auto"/>
                <w:sz w:val="22"/>
                <w:szCs w:val="22"/>
              </w:rPr>
              <w:t>需配备1名项目负责人，为本企业在岗人员（提供近6个月的社保清单</w:t>
            </w:r>
            <w:r>
              <w:rPr>
                <w:rFonts w:hint="eastAsia" w:ascii="CESI仿宋-GB2312" w:hAnsi="CESI仿宋-GB2312" w:eastAsia="CESI仿宋-GB2312" w:cs="CESI仿宋-GB2312"/>
                <w:kern w:val="0"/>
                <w:sz w:val="22"/>
                <w:szCs w:val="22"/>
              </w:rPr>
              <w:t>及相关资格证书</w:t>
            </w:r>
            <w:r>
              <w:rPr>
                <w:rFonts w:hint="eastAsia" w:ascii="CESI仿宋-GB2312" w:hAnsi="CESI仿宋-GB2312" w:eastAsia="CESI仿宋-GB2312" w:cs="CESI仿宋-GB2312"/>
                <w:color w:val="auto"/>
                <w:sz w:val="22"/>
                <w:szCs w:val="22"/>
              </w:rPr>
              <w:t>），项目负责人同时具备</w:t>
            </w:r>
            <w:r>
              <w:rPr>
                <w:rFonts w:hint="eastAsia" w:ascii="CESI仿宋-GB2312" w:hAnsi="CESI仿宋-GB2312" w:eastAsia="CESI仿宋-GB2312" w:cs="CESI仿宋-GB2312"/>
                <w:color w:val="auto"/>
                <w:sz w:val="22"/>
                <w:szCs w:val="22"/>
                <w:lang w:eastAsia="zh-CN"/>
              </w:rPr>
              <w:t>以下</w:t>
            </w:r>
            <w:r>
              <w:rPr>
                <w:rFonts w:hint="eastAsia" w:ascii="CESI仿宋-GB2312" w:hAnsi="CESI仿宋-GB2312" w:eastAsia="CESI仿宋-GB2312" w:cs="CESI仿宋-GB2312"/>
                <w:color w:val="auto"/>
                <w:sz w:val="22"/>
                <w:szCs w:val="22"/>
                <w:lang w:val="en-US" w:eastAsia="zh-CN"/>
              </w:rPr>
              <w:t>4个证书</w:t>
            </w:r>
            <w:r>
              <w:rPr>
                <w:rFonts w:hint="eastAsia" w:ascii="CESI仿宋-GB2312" w:hAnsi="CESI仿宋-GB2312" w:eastAsia="CESI仿宋-GB2312" w:cs="CESI仿宋-GB2312"/>
                <w:color w:val="auto"/>
                <w:sz w:val="22"/>
                <w:szCs w:val="22"/>
              </w:rPr>
              <w:t>，得5分</w:t>
            </w:r>
            <w:r>
              <w:rPr>
                <w:rFonts w:hint="eastAsia" w:ascii="CESI仿宋-GB2312" w:hAnsi="CESI仿宋-GB2312" w:eastAsia="CESI仿宋-GB2312" w:cs="CESI仿宋-GB2312"/>
                <w:color w:val="auto"/>
                <w:sz w:val="22"/>
                <w:szCs w:val="22"/>
                <w:lang w:eastAsia="zh-CN"/>
              </w:rPr>
              <w:t>；同时具备</w:t>
            </w:r>
            <w:r>
              <w:rPr>
                <w:rFonts w:hint="eastAsia" w:ascii="CESI仿宋-GB2312" w:hAnsi="CESI仿宋-GB2312" w:eastAsia="CESI仿宋-GB2312" w:cs="CESI仿宋-GB2312"/>
                <w:color w:val="auto"/>
                <w:sz w:val="22"/>
                <w:szCs w:val="22"/>
                <w:lang w:val="en-US" w:eastAsia="zh-CN"/>
              </w:rPr>
              <w:t>3个证书，得4分；同时具备2个证书，得3分；只有1个证书，此项不得分：</w:t>
            </w:r>
          </w:p>
          <w:p>
            <w:pPr>
              <w:widowControl/>
              <w:adjustRightInd w:val="0"/>
              <w:snapToGrid w:val="0"/>
              <w:spacing w:beforeLines="0" w:afterLines="0" w:line="360" w:lineRule="exact"/>
              <w:ind w:firstLine="440" w:firstLineChars="200"/>
              <w:rPr>
                <w:rFonts w:hint="eastAsia" w:ascii="CESI仿宋-GB2312" w:hAnsi="CESI仿宋-GB2312" w:eastAsia="CESI仿宋-GB2312" w:cs="CESI仿宋-GB2312"/>
                <w:color w:val="auto"/>
                <w:sz w:val="22"/>
                <w:szCs w:val="22"/>
              </w:rPr>
            </w:pPr>
            <w:r>
              <w:rPr>
                <w:rFonts w:hint="eastAsia" w:ascii="东文宋体" w:hAnsi="东文宋体" w:eastAsia="东文宋体" w:cs="东文宋体"/>
                <w:color w:val="auto"/>
                <w:sz w:val="22"/>
                <w:szCs w:val="22"/>
              </w:rPr>
              <w:t>①</w:t>
            </w:r>
            <w:r>
              <w:rPr>
                <w:rFonts w:hint="eastAsia" w:ascii="CESI仿宋-GB2312" w:hAnsi="CESI仿宋-GB2312" w:eastAsia="CESI仿宋-GB2312" w:cs="CESI仿宋-GB2312"/>
                <w:color w:val="auto"/>
                <w:sz w:val="22"/>
                <w:szCs w:val="22"/>
              </w:rPr>
              <w:t>安全类高级工程师</w:t>
            </w:r>
          </w:p>
          <w:p>
            <w:pPr>
              <w:widowControl/>
              <w:adjustRightInd w:val="0"/>
              <w:snapToGrid w:val="0"/>
              <w:spacing w:beforeLines="0" w:afterLines="0" w:line="360" w:lineRule="exact"/>
              <w:ind w:firstLine="440" w:firstLineChars="200"/>
              <w:rPr>
                <w:rFonts w:hint="eastAsia" w:ascii="CESI仿宋-GB2312" w:hAnsi="CESI仿宋-GB2312" w:eastAsia="CESI仿宋-GB2312" w:cs="CESI仿宋-GB2312"/>
                <w:color w:val="auto"/>
                <w:sz w:val="22"/>
                <w:szCs w:val="22"/>
              </w:rPr>
            </w:pPr>
            <w:r>
              <w:rPr>
                <w:rFonts w:hint="eastAsia" w:ascii="东文宋体" w:hAnsi="东文宋体" w:eastAsia="东文宋体" w:cs="东文宋体"/>
                <w:color w:val="auto"/>
                <w:sz w:val="22"/>
                <w:szCs w:val="22"/>
              </w:rPr>
              <w:t>②</w:t>
            </w:r>
            <w:r>
              <w:rPr>
                <w:rFonts w:hint="eastAsia" w:ascii="CESI仿宋-GB2312" w:hAnsi="CESI仿宋-GB2312" w:eastAsia="CESI仿宋-GB2312" w:cs="CESI仿宋-GB2312"/>
                <w:color w:val="auto"/>
                <w:sz w:val="22"/>
                <w:szCs w:val="22"/>
              </w:rPr>
              <w:t>一级注册消防工程师资格证书</w:t>
            </w:r>
          </w:p>
          <w:p>
            <w:pPr>
              <w:widowControl/>
              <w:adjustRightInd w:val="0"/>
              <w:snapToGrid w:val="0"/>
              <w:spacing w:beforeLines="0" w:afterLines="0" w:line="360" w:lineRule="exact"/>
              <w:ind w:firstLine="440" w:firstLineChars="200"/>
              <w:rPr>
                <w:rFonts w:hint="eastAsia" w:ascii="CESI仿宋-GB2312" w:hAnsi="CESI仿宋-GB2312" w:eastAsia="CESI仿宋-GB2312" w:cs="CESI仿宋-GB2312"/>
                <w:color w:val="auto"/>
                <w:sz w:val="22"/>
                <w:szCs w:val="22"/>
              </w:rPr>
            </w:pPr>
            <w:r>
              <w:rPr>
                <w:rFonts w:hint="eastAsia" w:ascii="东文宋体" w:hAnsi="东文宋体" w:eastAsia="东文宋体" w:cs="东文宋体"/>
                <w:color w:val="auto"/>
                <w:sz w:val="22"/>
                <w:szCs w:val="22"/>
              </w:rPr>
              <w:t>③</w:t>
            </w:r>
            <w:r>
              <w:rPr>
                <w:rFonts w:hint="eastAsia" w:ascii="CESI仿宋-GB2312" w:hAnsi="CESI仿宋-GB2312" w:eastAsia="CESI仿宋-GB2312" w:cs="CESI仿宋-GB2312"/>
                <w:color w:val="auto"/>
                <w:sz w:val="22"/>
                <w:szCs w:val="22"/>
              </w:rPr>
              <w:t>中级以上（含中级）注册安全工程师（机械、电气、化工、安全等相关专业资质）</w:t>
            </w:r>
          </w:p>
          <w:p>
            <w:pPr>
              <w:widowControl/>
              <w:adjustRightInd w:val="0"/>
              <w:snapToGrid w:val="0"/>
              <w:spacing w:beforeLines="0" w:afterLines="0" w:line="360" w:lineRule="exact"/>
              <w:ind w:firstLine="440" w:firstLineChars="200"/>
              <w:rPr>
                <w:rFonts w:hint="default" w:ascii="CESI仿宋-GB2312" w:hAnsi="CESI仿宋-GB2312" w:eastAsia="CESI仿宋-GB2312" w:cs="CESI仿宋-GB2312"/>
                <w:kern w:val="0"/>
                <w:sz w:val="22"/>
                <w:szCs w:val="22"/>
                <w:lang w:val="en-US" w:eastAsia="zh-CN"/>
              </w:rPr>
            </w:pPr>
            <w:r>
              <w:rPr>
                <w:rFonts w:hint="eastAsia" w:ascii="汉仪书宋二S" w:hAnsi="汉仪书宋二S" w:eastAsia="汉仪书宋二S" w:cs="汉仪书宋二S"/>
                <w:color w:val="auto"/>
                <w:sz w:val="22"/>
                <w:szCs w:val="22"/>
              </w:rPr>
              <w:t>④</w:t>
            </w:r>
            <w:r>
              <w:rPr>
                <w:rFonts w:hint="eastAsia" w:ascii="CESI仿宋-GB2312" w:hAnsi="CESI仿宋-GB2312" w:eastAsia="CESI仿宋-GB2312" w:cs="CESI仿宋-GB2312"/>
                <w:color w:val="auto"/>
                <w:sz w:val="22"/>
                <w:szCs w:val="22"/>
              </w:rPr>
              <w:t>二级以上（含二级）电工技师执业资格证书</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Theme="majorEastAsia" w:hAnsiTheme="majorEastAsia" w:eastAsiaTheme="majorEastAsia" w:cstheme="majorEastAsia"/>
                <w:b/>
                <w:bCs/>
                <w:color w:val="0000FF"/>
                <w:kern w:val="0"/>
                <w:sz w:val="22"/>
                <w:szCs w:val="22"/>
                <w:lang w:val="en-US" w:eastAsia="zh-CN"/>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default" w:ascii="CESI仿宋-GB2312" w:hAnsi="CESI仿宋-GB2312" w:eastAsia="CESI仿宋-GB2312" w:cs="CESI仿宋-GB2312"/>
                <w:bCs/>
                <w:kern w:val="0"/>
                <w:sz w:val="22"/>
                <w:szCs w:val="22"/>
                <w:lang w:val="en-US" w:eastAsia="zh-CN"/>
              </w:rPr>
            </w:pPr>
            <w:r>
              <w:rPr>
                <w:rFonts w:hint="eastAsia" w:ascii="CESI仿宋-GB2312" w:hAnsi="CESI仿宋-GB2312" w:eastAsia="CESI仿宋-GB2312" w:cs="CESI仿宋-GB2312"/>
                <w:bCs/>
                <w:kern w:val="0"/>
                <w:sz w:val="22"/>
                <w:szCs w:val="22"/>
                <w:lang w:val="en-US" w:eastAsia="zh-CN"/>
              </w:rPr>
              <w:t>4.项目团队配置</w:t>
            </w:r>
          </w:p>
        </w:tc>
        <w:tc>
          <w:tcPr>
            <w:tcW w:w="309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60" w:lineRule="exact"/>
              <w:ind w:firstLine="440" w:firstLineChars="200"/>
              <w:rPr>
                <w:rFonts w:hint="default" w:ascii="CESI仿宋-GB2312" w:hAnsi="CESI仿宋-GB2312" w:eastAsia="CESI仿宋-GB2312" w:cs="CESI仿宋-GB2312"/>
                <w:kern w:val="0"/>
                <w:sz w:val="22"/>
                <w:szCs w:val="22"/>
                <w:lang w:val="en-US" w:eastAsia="zh-CN"/>
              </w:rPr>
            </w:pPr>
            <w:r>
              <w:rPr>
                <w:rFonts w:hint="eastAsia" w:ascii="CESI仿宋-GB2312" w:hAnsi="CESI仿宋-GB2312" w:eastAsia="CESI仿宋-GB2312" w:cs="CESI仿宋-GB2312"/>
                <w:sz w:val="22"/>
                <w:szCs w:val="22"/>
              </w:rPr>
              <w:t>项目团队不少于5人，</w:t>
            </w:r>
            <w:r>
              <w:rPr>
                <w:rFonts w:hint="eastAsia" w:ascii="CESI仿宋-GB2312" w:hAnsi="CESI仿宋-GB2312" w:eastAsia="CESI仿宋-GB2312" w:cs="CESI仿宋-GB2312"/>
                <w:color w:val="auto"/>
                <w:sz w:val="22"/>
                <w:szCs w:val="22"/>
              </w:rPr>
              <w:t>为本企业在岗人员（提供近6个月的社保清单</w:t>
            </w:r>
            <w:r>
              <w:rPr>
                <w:rFonts w:hint="eastAsia" w:ascii="CESI仿宋-GB2312" w:hAnsi="CESI仿宋-GB2312" w:eastAsia="CESI仿宋-GB2312" w:cs="CESI仿宋-GB2312"/>
                <w:kern w:val="0"/>
                <w:sz w:val="22"/>
                <w:szCs w:val="22"/>
              </w:rPr>
              <w:t>及相关资格证书</w:t>
            </w:r>
            <w:r>
              <w:rPr>
                <w:rFonts w:hint="eastAsia" w:ascii="CESI仿宋-GB2312" w:hAnsi="CESI仿宋-GB2312" w:eastAsia="CESI仿宋-GB2312" w:cs="CESI仿宋-GB2312"/>
                <w:color w:val="auto"/>
                <w:sz w:val="22"/>
                <w:szCs w:val="22"/>
              </w:rPr>
              <w:t>），</w:t>
            </w:r>
            <w:r>
              <w:rPr>
                <w:rFonts w:hint="eastAsia" w:ascii="CESI仿宋-GB2312" w:hAnsi="CESI仿宋-GB2312" w:eastAsia="CESI仿宋-GB2312" w:cs="CESI仿宋-GB2312"/>
                <w:sz w:val="22"/>
                <w:szCs w:val="22"/>
                <w:lang w:val="en-US" w:eastAsia="zh-CN"/>
              </w:rPr>
              <w:t>需取</w:t>
            </w:r>
            <w:r>
              <w:rPr>
                <w:rFonts w:hint="eastAsia" w:ascii="CESI仿宋-GB2312" w:hAnsi="CESI仿宋-GB2312" w:eastAsia="CESI仿宋-GB2312" w:cs="CESI仿宋-GB2312"/>
                <w:sz w:val="22"/>
                <w:szCs w:val="22"/>
              </w:rPr>
              <w:t>得有效的中级以上（含中级）注册安全工程师执业资格证书或国家一级注册消防工程师证书，得</w:t>
            </w:r>
            <w:r>
              <w:rPr>
                <w:rFonts w:hint="eastAsia" w:ascii="CESI仿宋-GB2312" w:hAnsi="CESI仿宋-GB2312" w:eastAsia="CESI仿宋-GB2312" w:cs="CESI仿宋-GB2312"/>
                <w:sz w:val="22"/>
                <w:szCs w:val="22"/>
                <w:highlight w:val="none"/>
              </w:rPr>
              <w:t>5分</w:t>
            </w:r>
            <w:r>
              <w:rPr>
                <w:rFonts w:hint="eastAsia" w:ascii="CESI仿宋-GB2312" w:hAnsi="CESI仿宋-GB2312" w:eastAsia="CESI仿宋-GB2312" w:cs="CESI仿宋-GB2312"/>
                <w:sz w:val="22"/>
                <w:szCs w:val="22"/>
                <w:highlight w:val="none"/>
                <w:lang w:eastAsia="zh-CN"/>
              </w:rPr>
              <w:t>；</w:t>
            </w:r>
            <w:r>
              <w:rPr>
                <w:rFonts w:hint="eastAsia" w:ascii="CESI仿宋-GB2312" w:hAnsi="CESI仿宋-GB2312" w:eastAsia="CESI仿宋-GB2312" w:cs="CESI仿宋-GB2312"/>
                <w:sz w:val="22"/>
                <w:szCs w:val="22"/>
                <w:lang w:eastAsia="zh-CN"/>
              </w:rPr>
              <w:t>配备人数不足</w:t>
            </w:r>
            <w:r>
              <w:rPr>
                <w:rFonts w:hint="eastAsia" w:ascii="CESI仿宋-GB2312" w:hAnsi="CESI仿宋-GB2312" w:eastAsia="CESI仿宋-GB2312" w:cs="CESI仿宋-GB2312"/>
                <w:sz w:val="22"/>
                <w:szCs w:val="22"/>
                <w:lang w:val="en-US" w:eastAsia="zh-CN"/>
              </w:rPr>
              <w:t>5人的，此项不得分。</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Theme="majorEastAsia" w:hAnsiTheme="majorEastAsia" w:eastAsiaTheme="majorEastAsia" w:cstheme="majorEastAsia"/>
                <w:b/>
                <w:bCs/>
                <w:color w:val="0000FF"/>
                <w:kern w:val="0"/>
                <w:sz w:val="22"/>
                <w:szCs w:val="22"/>
                <w:lang w:eastAsia="zh-CN"/>
              </w:rPr>
            </w:pPr>
            <w:r>
              <w:rPr>
                <w:rFonts w:hint="eastAsia" w:ascii="宋体" w:hAnsi="宋体" w:cs="宋体"/>
                <w:b/>
                <w:bCs/>
                <w:kern w:val="0"/>
                <w:sz w:val="22"/>
                <w:szCs w:val="22"/>
              </w:rPr>
              <w:t>三、</w:t>
            </w:r>
            <w:r>
              <w:rPr>
                <w:rFonts w:hint="eastAsia" w:ascii="宋体" w:hAnsi="宋体" w:cs="宋体"/>
                <w:b/>
                <w:bCs/>
                <w:kern w:val="0"/>
                <w:sz w:val="22"/>
                <w:szCs w:val="22"/>
                <w:lang w:eastAsia="zh-CN"/>
              </w:rPr>
              <w:t>综合实力</w:t>
            </w:r>
            <w:r>
              <w:rPr>
                <w:rFonts w:hint="eastAsia" w:ascii="宋体" w:hAnsi="宋体" w:cs="宋体"/>
                <w:b/>
                <w:bCs/>
                <w:kern w:val="0"/>
                <w:sz w:val="22"/>
                <w:szCs w:val="22"/>
              </w:rPr>
              <w:t>（</w:t>
            </w:r>
            <w:r>
              <w:rPr>
                <w:rFonts w:hint="eastAsia" w:ascii="宋体" w:hAnsi="宋体" w:cs="宋体"/>
                <w:b/>
                <w:bCs/>
                <w:kern w:val="0"/>
                <w:sz w:val="22"/>
                <w:szCs w:val="22"/>
                <w:lang w:val="en-US" w:eastAsia="zh-CN"/>
              </w:rPr>
              <w:t>25</w:t>
            </w:r>
            <w:r>
              <w:rPr>
                <w:rFonts w:hint="eastAsia" w:ascii="宋体" w:hAnsi="宋体" w:cs="宋体"/>
                <w:b/>
                <w:bCs/>
                <w:kern w:val="0"/>
                <w:sz w:val="22"/>
                <w:szCs w:val="22"/>
              </w:rPr>
              <w:t>分）</w:t>
            </w: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default" w:ascii="CESI仿宋-GB2312" w:hAnsi="CESI仿宋-GB2312" w:eastAsia="CESI仿宋-GB2312" w:cs="CESI仿宋-GB2312"/>
                <w:bCs/>
                <w:kern w:val="0"/>
                <w:sz w:val="22"/>
                <w:szCs w:val="22"/>
                <w:lang w:val="en-US" w:eastAsia="zh-CN"/>
              </w:rPr>
            </w:pPr>
            <w:r>
              <w:rPr>
                <w:rFonts w:hint="eastAsia" w:ascii="CESI仿宋-GB2312" w:hAnsi="CESI仿宋-GB2312" w:eastAsia="CESI仿宋-GB2312" w:cs="CESI仿宋-GB2312"/>
                <w:bCs/>
                <w:kern w:val="0"/>
                <w:sz w:val="22"/>
                <w:szCs w:val="22"/>
                <w:lang w:val="en-US" w:eastAsia="zh-CN"/>
              </w:rPr>
              <w:t>1.同类项目业绩情况</w:t>
            </w:r>
          </w:p>
        </w:tc>
        <w:tc>
          <w:tcPr>
            <w:tcW w:w="30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pP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近三年（2023、2024、2025年）完成过同类项目业绩（指承接政府部门或街道办事处委托开展的安全生产检查、应急演练和培训工作经验），每提供一个有效合同得2分，满分20分。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color w:val="000000" w:themeColor="text1"/>
                <w:kern w:val="0"/>
                <w:sz w:val="22"/>
                <w:szCs w:val="22"/>
                <w:lang w:val="en-US" w:eastAsia="zh-CN"/>
                <w14:textFill>
                  <w14:solidFill>
                    <w14:schemeClr w14:val="tx1"/>
                  </w14:solidFill>
                </w14:textFill>
              </w:rPr>
              <w:t>请提供合同关键信息页面的清晰扫描件，未提供或专家无法凭所提供资料判断是否得分的情况，一律作不得分处理。</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left"/>
              <w:textAlignment w:val="auto"/>
              <w:rPr>
                <w:rFonts w:hint="eastAsia" w:asciiTheme="majorEastAsia" w:hAnsiTheme="majorEastAsia" w:eastAsiaTheme="majorEastAsia" w:cstheme="majorEastAsia"/>
                <w:b/>
                <w:bCs/>
                <w:kern w:val="0"/>
                <w:sz w:val="22"/>
                <w:szCs w:val="22"/>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right="0" w:rightChars="0"/>
              <w:jc w:val="both"/>
              <w:textAlignment w:val="auto"/>
              <w:rPr>
                <w:rFonts w:hint="eastAsia" w:ascii="CESI仿宋-GB2312" w:hAnsi="CESI仿宋-GB2312" w:eastAsia="CESI仿宋-GB2312" w:cs="CESI仿宋-GB2312"/>
                <w:bCs/>
                <w:kern w:val="0"/>
                <w:sz w:val="22"/>
                <w:szCs w:val="22"/>
                <w:lang w:val="en-US" w:eastAsia="zh-CN"/>
              </w:rPr>
            </w:pPr>
            <w:r>
              <w:rPr>
                <w:rFonts w:hint="eastAsia" w:ascii="CESI仿宋-GB2312" w:hAnsi="CESI仿宋-GB2312" w:eastAsia="CESI仿宋-GB2312" w:cs="CESI仿宋-GB2312"/>
                <w:bCs/>
                <w:kern w:val="0"/>
                <w:sz w:val="22"/>
                <w:szCs w:val="22"/>
                <w:lang w:val="en-US" w:eastAsia="zh-CN"/>
              </w:rPr>
              <w:t>2.</w:t>
            </w:r>
            <w:r>
              <w:rPr>
                <w:rFonts w:hint="eastAsia" w:ascii="CESI仿宋-GB2312" w:hAnsi="CESI仿宋-GB2312" w:eastAsia="CESI仿宋-GB2312" w:cs="CESI仿宋-GB2312"/>
                <w:kern w:val="0"/>
                <w:sz w:val="22"/>
                <w:szCs w:val="22"/>
              </w:rPr>
              <w:t>依法登记注册</w:t>
            </w:r>
          </w:p>
        </w:tc>
        <w:tc>
          <w:tcPr>
            <w:tcW w:w="309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60" w:lineRule="exact"/>
              <w:ind w:firstLine="440" w:firstLineChars="200"/>
              <w:rPr>
                <w:rFonts w:hint="eastAsia" w:ascii="CESI仿宋-GB2312" w:hAnsi="CESI仿宋-GB2312" w:eastAsia="CESI仿宋-GB2312" w:cs="CESI仿宋-GB2312"/>
                <w:color w:val="auto"/>
                <w:kern w:val="0"/>
                <w:sz w:val="22"/>
                <w:szCs w:val="22"/>
              </w:rPr>
            </w:pPr>
            <w:r>
              <w:rPr>
                <w:rFonts w:hint="eastAsia" w:ascii="CESI仿宋-GB2312" w:hAnsi="CESI仿宋-GB2312" w:eastAsia="CESI仿宋-GB2312" w:cs="CESI仿宋-GB2312"/>
                <w:color w:val="auto"/>
                <w:kern w:val="0"/>
                <w:sz w:val="22"/>
                <w:szCs w:val="22"/>
              </w:rPr>
              <w:t>法定代表人（负责人）证明材料齐全得1分；</w:t>
            </w:r>
          </w:p>
          <w:p>
            <w:pPr>
              <w:widowControl/>
              <w:adjustRightInd w:val="0"/>
              <w:snapToGrid w:val="0"/>
              <w:spacing w:beforeLines="0" w:afterLines="0" w:line="360" w:lineRule="exact"/>
              <w:ind w:firstLine="440" w:firstLineChars="200"/>
              <w:rPr>
                <w:rFonts w:hint="eastAsia" w:ascii="CESI仿宋-GB2312" w:hAnsi="CESI仿宋-GB2312" w:eastAsia="CESI仿宋-GB2312" w:cs="CESI仿宋-GB2312"/>
                <w:color w:val="auto"/>
                <w:kern w:val="0"/>
                <w:sz w:val="22"/>
                <w:szCs w:val="22"/>
              </w:rPr>
            </w:pPr>
            <w:r>
              <w:rPr>
                <w:rFonts w:hint="eastAsia" w:ascii="CESI仿宋-GB2312" w:hAnsi="CESI仿宋-GB2312" w:eastAsia="CESI仿宋-GB2312" w:cs="CESI仿宋-GB2312"/>
                <w:color w:val="auto"/>
                <w:kern w:val="0"/>
                <w:sz w:val="22"/>
                <w:szCs w:val="22"/>
              </w:rPr>
              <w:t>成立登记证明材料齐全得</w:t>
            </w:r>
            <w:r>
              <w:rPr>
                <w:rFonts w:hint="eastAsia" w:ascii="CESI仿宋-GB2312" w:hAnsi="CESI仿宋-GB2312" w:eastAsia="CESI仿宋-GB2312" w:cs="CESI仿宋-GB2312"/>
                <w:color w:val="auto"/>
                <w:kern w:val="0"/>
                <w:sz w:val="22"/>
                <w:szCs w:val="22"/>
                <w:lang w:val="en-US" w:eastAsia="zh-CN"/>
              </w:rPr>
              <w:t>1</w:t>
            </w:r>
            <w:r>
              <w:rPr>
                <w:rFonts w:hint="eastAsia" w:ascii="CESI仿宋-GB2312" w:hAnsi="CESI仿宋-GB2312" w:eastAsia="CESI仿宋-GB2312" w:cs="CESI仿宋-GB2312"/>
                <w:color w:val="auto"/>
                <w:kern w:val="0"/>
                <w:sz w:val="22"/>
                <w:szCs w:val="22"/>
              </w:rPr>
              <w:t>分；</w:t>
            </w:r>
          </w:p>
          <w:p>
            <w:pPr>
              <w:widowControl/>
              <w:adjustRightInd w:val="0"/>
              <w:snapToGrid w:val="0"/>
              <w:spacing w:beforeLines="0" w:afterLines="0" w:line="360" w:lineRule="exact"/>
              <w:ind w:firstLine="440" w:firstLineChars="200"/>
              <w:rPr>
                <w:rFonts w:hint="eastAsia" w:ascii="CESI仿宋-GB2312" w:hAnsi="CESI仿宋-GB2312" w:eastAsia="CESI仿宋-GB2312" w:cs="CESI仿宋-GB2312"/>
                <w:color w:val="FF0000"/>
                <w:sz w:val="22"/>
                <w:szCs w:val="22"/>
                <w:lang w:val="en-US" w:eastAsia="zh-CN"/>
              </w:rPr>
            </w:pPr>
            <w:r>
              <w:rPr>
                <w:rFonts w:hint="eastAsia" w:ascii="CESI仿宋-GB2312" w:hAnsi="CESI仿宋-GB2312" w:eastAsia="CESI仿宋-GB2312" w:cs="CESI仿宋-GB2312"/>
                <w:color w:val="auto"/>
                <w:kern w:val="0"/>
                <w:sz w:val="22"/>
                <w:szCs w:val="22"/>
              </w:rPr>
              <w:t>获得有效ISO 14001、ISO 45001及ISO 9001证书</w:t>
            </w:r>
            <w:r>
              <w:rPr>
                <w:rFonts w:hint="eastAsia" w:ascii="CESI仿宋-GB2312" w:hAnsi="CESI仿宋-GB2312" w:eastAsia="CESI仿宋-GB2312" w:cs="CESI仿宋-GB2312"/>
                <w:color w:val="auto"/>
                <w:kern w:val="0"/>
                <w:sz w:val="22"/>
                <w:szCs w:val="22"/>
                <w:lang w:eastAsia="zh-CN"/>
              </w:rPr>
              <w:t>，</w:t>
            </w:r>
            <w:bookmarkStart w:id="0" w:name="_GoBack"/>
            <w:bookmarkEnd w:id="0"/>
            <w:r>
              <w:rPr>
                <w:rFonts w:hint="eastAsia" w:ascii="CESI仿宋-GB2312" w:hAnsi="CESI仿宋-GB2312" w:eastAsia="CESI仿宋-GB2312" w:cs="CESI仿宋-GB2312"/>
                <w:sz w:val="22"/>
                <w:szCs w:val="22"/>
                <w:lang w:val="en-US" w:eastAsia="zh-CN"/>
              </w:rPr>
              <w:t>得1分；</w:t>
            </w:r>
          </w:p>
          <w:p>
            <w:pPr>
              <w:widowControl/>
              <w:adjustRightInd w:val="0"/>
              <w:snapToGrid w:val="0"/>
              <w:spacing w:beforeLines="0" w:afterLines="0" w:line="360" w:lineRule="exact"/>
              <w:ind w:firstLine="440" w:firstLineChars="200"/>
              <w:rPr>
                <w:rFonts w:hint="eastAsia" w:ascii="CESI仿宋-GB2312" w:hAnsi="CESI仿宋-GB2312" w:eastAsia="CESI仿宋-GB2312" w:cs="CESI仿宋-GB2312"/>
                <w:color w:val="auto"/>
                <w:kern w:val="0"/>
                <w:sz w:val="22"/>
                <w:szCs w:val="22"/>
              </w:rPr>
            </w:pPr>
            <w:r>
              <w:rPr>
                <w:rFonts w:hint="eastAsia" w:ascii="CESI仿宋-GB2312" w:hAnsi="CESI仿宋-GB2312" w:eastAsia="CESI仿宋-GB2312" w:cs="CESI仿宋-GB2312"/>
                <w:color w:val="auto"/>
                <w:kern w:val="0"/>
                <w:sz w:val="22"/>
                <w:szCs w:val="22"/>
              </w:rPr>
              <w:t>经营（业务）范围包含“安全生产检查或安全咨询服务”等内容，具备安全排查资质的得</w:t>
            </w:r>
            <w:r>
              <w:rPr>
                <w:rFonts w:hint="eastAsia" w:ascii="CESI仿宋-GB2312" w:hAnsi="CESI仿宋-GB2312" w:eastAsia="CESI仿宋-GB2312" w:cs="CESI仿宋-GB2312"/>
                <w:color w:val="auto"/>
                <w:kern w:val="0"/>
                <w:sz w:val="22"/>
                <w:szCs w:val="22"/>
                <w:lang w:val="en-US" w:eastAsia="zh-CN"/>
              </w:rPr>
              <w:t>2</w:t>
            </w:r>
            <w:r>
              <w:rPr>
                <w:rFonts w:hint="eastAsia" w:ascii="CESI仿宋-GB2312" w:hAnsi="CESI仿宋-GB2312" w:eastAsia="CESI仿宋-GB2312" w:cs="CESI仿宋-GB2312"/>
                <w:color w:val="auto"/>
                <w:kern w:val="0"/>
                <w:sz w:val="22"/>
                <w:szCs w:val="22"/>
              </w:rPr>
              <w:t>分，否则不得分。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lang w:val="en-US" w:eastAsia="zh-CN"/>
              </w:rPr>
            </w:pPr>
            <w:r>
              <w:rPr>
                <w:rFonts w:hint="eastAsia" w:ascii="CESI仿宋-GB2312" w:hAnsi="CESI仿宋-GB2312" w:eastAsia="CESI仿宋-GB2312" w:cs="CESI仿宋-GB2312"/>
                <w:color w:val="auto"/>
                <w:kern w:val="0"/>
                <w:sz w:val="22"/>
                <w:szCs w:val="22"/>
              </w:rPr>
              <w:t>须提供经年检合格且有效的营业执照</w:t>
            </w:r>
            <w:r>
              <w:rPr>
                <w:rFonts w:hint="eastAsia" w:ascii="CESI仿宋-GB2312" w:hAnsi="CESI仿宋-GB2312" w:eastAsia="CESI仿宋-GB2312" w:cs="CESI仿宋-GB2312"/>
                <w:color w:val="auto"/>
                <w:kern w:val="0"/>
                <w:sz w:val="22"/>
                <w:szCs w:val="22"/>
                <w:lang w:eastAsia="zh-CN"/>
              </w:rPr>
              <w:t>、</w:t>
            </w:r>
            <w:r>
              <w:rPr>
                <w:rFonts w:hint="eastAsia" w:ascii="CESI仿宋-GB2312" w:hAnsi="CESI仿宋-GB2312" w:eastAsia="CESI仿宋-GB2312" w:cs="CESI仿宋-GB2312"/>
                <w:color w:val="auto"/>
                <w:kern w:val="0"/>
                <w:sz w:val="22"/>
                <w:szCs w:val="22"/>
              </w:rPr>
              <w:t>经营范围</w:t>
            </w:r>
            <w:r>
              <w:rPr>
                <w:rFonts w:hint="eastAsia" w:ascii="CESI仿宋-GB2312" w:hAnsi="CESI仿宋-GB2312" w:eastAsia="CESI仿宋-GB2312" w:cs="CESI仿宋-GB2312"/>
                <w:color w:val="auto"/>
                <w:kern w:val="0"/>
                <w:sz w:val="22"/>
                <w:szCs w:val="22"/>
                <w:lang w:eastAsia="zh-CN"/>
              </w:rPr>
              <w:t>及有效体系认证证书</w:t>
            </w:r>
            <w:r>
              <w:rPr>
                <w:rFonts w:hint="eastAsia" w:ascii="CESI仿宋-GB2312" w:hAnsi="CESI仿宋-GB2312" w:eastAsia="CESI仿宋-GB2312" w:cs="CESI仿宋-GB2312"/>
                <w:color w:val="auto"/>
                <w:kern w:val="0"/>
                <w:sz w:val="22"/>
                <w:szCs w:val="22"/>
              </w:rPr>
              <w:t>截图。</w:t>
            </w:r>
            <w:r>
              <w:rPr>
                <w:rFonts w:hint="eastAsia" w:ascii="CESI仿宋-GB2312" w:hAnsi="CESI仿宋-GB2312" w:eastAsia="CESI仿宋-GB2312" w:cs="CESI仿宋-GB2312"/>
                <w:kern w:val="0"/>
                <w:sz w:val="22"/>
                <w:szCs w:val="22"/>
              </w:rPr>
              <w:t>无有效证明材料的做投标无效处理。</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609" w:type="pc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right="0" w:rightChars="0"/>
              <w:jc w:val="left"/>
              <w:textAlignment w:val="auto"/>
              <w:rPr>
                <w:rFonts w:hint="eastAsia" w:eastAsiaTheme="minorEastAsia"/>
                <w:sz w:val="22"/>
                <w:szCs w:val="22"/>
                <w:lang w:val="en-US" w:eastAsia="zh-CN"/>
              </w:rPr>
            </w:pPr>
            <w:r>
              <w:rPr>
                <w:rFonts w:hint="eastAsia" w:ascii="宋体" w:hAnsi="宋体" w:cs="宋体"/>
                <w:b/>
                <w:bCs/>
                <w:kern w:val="0"/>
                <w:sz w:val="22"/>
                <w:szCs w:val="22"/>
              </w:rPr>
              <w:t>四、</w:t>
            </w:r>
            <w:r>
              <w:rPr>
                <w:rFonts w:hint="eastAsia" w:ascii="宋体" w:hAnsi="宋体" w:cs="宋体"/>
                <w:b/>
                <w:bCs/>
                <w:kern w:val="0"/>
                <w:sz w:val="22"/>
                <w:szCs w:val="22"/>
                <w:lang w:eastAsia="zh-CN"/>
              </w:rPr>
              <w:t>诚信情况（</w:t>
            </w:r>
            <w:r>
              <w:rPr>
                <w:rFonts w:hint="eastAsia" w:ascii="宋体" w:hAnsi="宋体" w:cs="宋体"/>
                <w:b/>
                <w:bCs/>
                <w:kern w:val="0"/>
                <w:sz w:val="22"/>
                <w:szCs w:val="22"/>
                <w:lang w:val="en-US" w:eastAsia="zh-CN"/>
              </w:rPr>
              <w:t>5分</w:t>
            </w:r>
            <w:r>
              <w:rPr>
                <w:rFonts w:hint="eastAsia" w:ascii="宋体" w:hAnsi="宋体" w:cs="宋体"/>
                <w:b/>
                <w:bCs/>
                <w:kern w:val="0"/>
                <w:sz w:val="22"/>
                <w:szCs w:val="22"/>
                <w:lang w:eastAsia="zh-CN"/>
              </w:rPr>
              <w:t>）</w:t>
            </w:r>
          </w:p>
        </w:tc>
        <w:tc>
          <w:tcPr>
            <w:tcW w:w="633"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CESI仿宋-GB2312" w:hAnsi="CESI仿宋-GB2312" w:eastAsia="CESI仿宋-GB2312" w:cs="CESI仿宋-GB2312"/>
                <w:bCs/>
                <w:kern w:val="0"/>
                <w:sz w:val="22"/>
                <w:szCs w:val="22"/>
              </w:rPr>
            </w:pPr>
            <w:r>
              <w:rPr>
                <w:rFonts w:hint="eastAsia" w:ascii="CESI仿宋-GB2312" w:hAnsi="CESI仿宋-GB2312" w:eastAsia="CESI仿宋-GB2312" w:cs="CESI仿宋-GB2312"/>
                <w:bCs/>
                <w:kern w:val="0"/>
                <w:sz w:val="22"/>
                <w:szCs w:val="22"/>
                <w:lang w:val="en-US" w:eastAsia="zh-CN"/>
              </w:rPr>
              <w:t>1.</w:t>
            </w:r>
            <w:r>
              <w:rPr>
                <w:rFonts w:hint="eastAsia" w:ascii="CESI仿宋-GB2312" w:hAnsi="CESI仿宋-GB2312" w:eastAsia="CESI仿宋-GB2312" w:cs="CESI仿宋-GB2312"/>
                <w:bCs/>
                <w:kern w:val="0"/>
                <w:sz w:val="22"/>
                <w:szCs w:val="22"/>
              </w:rPr>
              <w:t>诚信管理</w:t>
            </w:r>
          </w:p>
        </w:tc>
        <w:tc>
          <w:tcPr>
            <w:tcW w:w="3090"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rPr>
                <w:rFonts w:hint="eastAsia" w:ascii="CESI仿宋-GB2312" w:hAnsi="CESI仿宋-GB2312" w:eastAsia="CESI仿宋-GB2312" w:cs="CESI仿宋-GB2312"/>
                <w:kern w:val="0"/>
                <w:sz w:val="22"/>
                <w:szCs w:val="22"/>
              </w:rPr>
            </w:pPr>
            <w:r>
              <w:rPr>
                <w:rFonts w:hint="eastAsia" w:ascii="CESI仿宋-GB2312" w:hAnsi="CESI仿宋-GB2312" w:eastAsia="CESI仿宋-GB2312" w:cs="CESI仿宋-GB2312"/>
                <w:kern w:val="0"/>
                <w:sz w:val="22"/>
                <w:szCs w:val="22"/>
              </w:rPr>
              <w:t>投标人参与本项目采购活动时不存在被有关部门禁止参与政府采购活动且在有效期内的情况，未被列入失信被执行人、重大税收违法案件当事人名单、政府采购严重违法失信行为记录名单的本项满分，否则不得分。投标人在《投标承诺书》中声明。</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heme="majorEastAsia" w:hAnsiTheme="majorEastAsia" w:eastAsiaTheme="majorEastAsia" w:cstheme="majorEastAsia"/>
                <w:b/>
                <w:bCs/>
                <w:kern w:val="0"/>
                <w:sz w:val="22"/>
                <w:szCs w:val="22"/>
                <w:lang w:eastAsia="zh-CN"/>
              </w:rPr>
            </w:pPr>
            <w:r>
              <w:rPr>
                <w:rFonts w:hint="eastAsia" w:asciiTheme="majorEastAsia" w:hAnsiTheme="majorEastAsia" w:eastAsiaTheme="majorEastAsia" w:cstheme="majorEastAsia"/>
                <w:b/>
                <w:bCs/>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4333" w:type="pct"/>
            <w:gridSpan w:val="3"/>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CESI仿宋-GB2312" w:hAnsi="CESI仿宋-GB2312" w:eastAsia="CESI仿宋-GB2312" w:cs="CESI仿宋-GB2312"/>
                <w:kern w:val="0"/>
                <w:sz w:val="22"/>
                <w:szCs w:val="22"/>
              </w:rPr>
            </w:pPr>
            <w:r>
              <w:rPr>
                <w:rFonts w:hint="eastAsia" w:asciiTheme="majorEastAsia" w:hAnsiTheme="majorEastAsia" w:eastAsiaTheme="majorEastAsia" w:cstheme="majorEastAsia"/>
                <w:b/>
                <w:bCs/>
                <w:kern w:val="0"/>
                <w:sz w:val="22"/>
                <w:szCs w:val="22"/>
                <w:lang w:eastAsia="zh-CN"/>
              </w:rPr>
              <w:t>综合得分</w:t>
            </w:r>
          </w:p>
        </w:tc>
        <w:tc>
          <w:tcPr>
            <w:tcW w:w="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heme="majorEastAsia" w:hAnsiTheme="majorEastAsia" w:eastAsiaTheme="majorEastAsia" w:cstheme="majorEastAsia"/>
                <w:b/>
                <w:bCs/>
                <w:kern w:val="0"/>
                <w:sz w:val="22"/>
                <w:szCs w:val="22"/>
                <w:lang w:val="en-US" w:eastAsia="zh-CN"/>
              </w:rPr>
            </w:pPr>
            <w:r>
              <w:rPr>
                <w:rFonts w:hint="eastAsia" w:asciiTheme="majorEastAsia" w:hAnsiTheme="majorEastAsia" w:eastAsiaTheme="majorEastAsia" w:cstheme="majorEastAsia"/>
                <w:b/>
                <w:bCs/>
                <w:kern w:val="0"/>
                <w:sz w:val="22"/>
                <w:szCs w:val="22"/>
                <w:lang w:val="en-US" w:eastAsia="zh-CN"/>
              </w:rPr>
              <w:t>100</w:t>
            </w:r>
          </w:p>
        </w:tc>
      </w:tr>
    </w:tbl>
    <w:p>
      <w:pPr>
        <w:pStyle w:val="4"/>
        <w:ind w:left="0" w:leftChars="0" w:firstLine="0" w:firstLineChars="0"/>
      </w:pPr>
    </w:p>
    <w:p/>
    <w:sectPr>
      <w:footerReference r:id="rId3" w:type="default"/>
      <w:pgSz w:w="11906" w:h="16838"/>
      <w:pgMar w:top="1440" w:right="1134"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东文宋体">
    <w:altName w:val="宋体"/>
    <w:panose1 w:val="00000000000000000000"/>
    <w:charset w:val="00"/>
    <w:family w:val="auto"/>
    <w:pitch w:val="default"/>
    <w:sig w:usb0="00000000" w:usb1="00000000" w:usb2="00000000" w:usb3="00000000" w:csb0="00000000" w:csb1="0000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F320A"/>
    <w:rsid w:val="1D3FF758"/>
    <w:rsid w:val="34DF320A"/>
    <w:rsid w:val="59EA1AFE"/>
    <w:rsid w:val="BFFFAE3B"/>
    <w:rsid w:val="C53D90A9"/>
    <w:rsid w:val="EFFD9FAC"/>
    <w:rsid w:val="FEEFE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w:basedOn w:val="1"/>
    <w:next w:val="1"/>
    <w:semiHidden/>
    <w:unhideWhenUsed/>
    <w:qFormat/>
    <w:uiPriority w:val="99"/>
    <w:pPr>
      <w:widowControl w:val="0"/>
      <w:adjustRightInd w:val="0"/>
      <w:snapToGrid w:val="0"/>
      <w:spacing w:line="579" w:lineRule="exact"/>
      <w:ind w:firstLine="852" w:firstLineChars="200"/>
      <w:jc w:val="both"/>
    </w:pPr>
    <w:rPr>
      <w:rFonts w:ascii="Times New Roman" w:hAnsi="Times New Roman" w:eastAsia="仿宋_GB2312" w:cs="Times New Roman"/>
      <w:kern w:val="2"/>
      <w:sz w:val="32"/>
      <w:szCs w:val="24"/>
      <w:lang w:val="en-US" w:eastAsia="zh-CN" w:bidi="ar-SA"/>
    </w:rPr>
  </w:style>
  <w:style w:type="paragraph" w:styleId="5">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2026-01-31T03:29:00Z</dcterms:created>
  <dc:creator>lh</dc:creator>
  <cp:lastModifiedBy>吴镛芳</cp:lastModifiedBy>
  <cp:lastPrinted>2026-03-03T16:37:42Z</cp:lastPrinted>
  <dcterms:modified xsi:type="dcterms:W3CDTF">2026-03-03T16:46:52Z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5121DA3643C303AFA0257C6911458FFF</vt:lpwstr>
  </property>
</Properties>
</file>