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宋体" w:asciiTheme="minorEastAsia" w:hAnsiTheme="minorEastAsia"/>
          <w:b/>
          <w:sz w:val="44"/>
          <w:szCs w:val="44"/>
        </w:rPr>
      </w:pPr>
      <w:r>
        <w:rPr>
          <w:rFonts w:hint="eastAsia" w:cs="宋体" w:asciiTheme="minorEastAsia" w:hAnsiTheme="minorEastAsia"/>
          <w:b/>
          <w:sz w:val="44"/>
          <w:szCs w:val="44"/>
        </w:rPr>
        <w:t>深圳市罗湖区建设工程招标投标市场主体信用管理暂行办法</w:t>
      </w:r>
    </w:p>
    <w:p>
      <w:pPr>
        <w:adjustRightInd w:val="0"/>
        <w:snapToGrid w:val="0"/>
        <w:spacing w:line="579" w:lineRule="exact"/>
        <w:jc w:val="center"/>
        <w:rPr>
          <w:rFonts w:ascii="仿宋_GB2312" w:hAnsi="仿宋" w:eastAsia="仿宋_GB2312"/>
          <w:sz w:val="32"/>
          <w:szCs w:val="32"/>
        </w:rPr>
      </w:pPr>
      <w:r>
        <w:rPr>
          <w:rFonts w:hint="eastAsia" w:ascii="仿宋_GB2312" w:hAnsi="仿宋" w:eastAsia="仿宋_GB2312"/>
          <w:sz w:val="32"/>
          <w:szCs w:val="32"/>
        </w:rPr>
        <w:t>（征求意见稿）</w:t>
      </w:r>
    </w:p>
    <w:p>
      <w:pPr>
        <w:spacing w:line="360" w:lineRule="auto"/>
        <w:ind w:firstLine="640" w:firstLineChars="200"/>
        <w:rPr>
          <w:rFonts w:ascii="仿宋_GB2312" w:hAnsi="仿宋" w:eastAsia="仿宋_GB2312" w:cs="Times New Roman"/>
          <w:sz w:val="32"/>
          <w:szCs w:val="32"/>
        </w:rPr>
      </w:pPr>
    </w:p>
    <w:p>
      <w:pPr>
        <w:pStyle w:val="2"/>
        <w:numPr>
          <w:ilvl w:val="0"/>
          <w:numId w:val="1"/>
        </w:numPr>
        <w:rPr>
          <w:rFonts w:asciiTheme="minorEastAsia" w:hAnsiTheme="minorEastAsia" w:eastAsiaTheme="minorEastAsia"/>
          <w:b/>
          <w:bCs/>
          <w:szCs w:val="32"/>
        </w:rPr>
      </w:pPr>
      <w:r>
        <w:rPr>
          <w:rFonts w:hint="eastAsia" w:asciiTheme="minorEastAsia" w:hAnsiTheme="minorEastAsia" w:eastAsiaTheme="minorEastAsia"/>
          <w:b/>
          <w:bCs/>
          <w:szCs w:val="32"/>
        </w:rPr>
        <w:t>总则</w:t>
      </w:r>
    </w:p>
    <w:p/>
    <w:p>
      <w:pPr>
        <w:ind w:firstLine="643"/>
        <w:rPr>
          <w:rFonts w:ascii="仿宋_GB2312" w:hAnsi="仿宋" w:eastAsia="仿宋_GB2312"/>
          <w:sz w:val="32"/>
          <w:szCs w:val="32"/>
        </w:rPr>
      </w:pPr>
      <w:r>
        <w:rPr>
          <w:rFonts w:hint="eastAsia" w:ascii="仿宋_GB2312" w:hAnsi="仿宋" w:eastAsia="仿宋_GB2312"/>
          <w:b/>
          <w:sz w:val="32"/>
          <w:szCs w:val="32"/>
        </w:rPr>
        <w:t>第一条</w:t>
      </w:r>
      <w:r>
        <w:rPr>
          <w:rFonts w:hint="eastAsia" w:ascii="仿宋_GB2312" w:hAnsi="仿宋" w:eastAsia="仿宋_GB2312"/>
          <w:sz w:val="32"/>
          <w:szCs w:val="32"/>
        </w:rPr>
        <w:t xml:space="preserve"> 为推动和加强本区政府投资建设工程招标投标市场主体信用管理，规范有关市场主体行为，营造公开、公正、公平、诚信守法的招标投标市场环境，根据国务院《关于建立完善守信联合激励和失信联合惩戒制度加快推进社会诚信建设的指导意见》</w:t>
      </w:r>
      <w:r>
        <w:rPr>
          <w:rFonts w:hint="eastAsia" w:ascii="仿宋_GB2312" w:hAnsi="仿宋_GB2312" w:eastAsia="仿宋_GB2312" w:cs="仿宋_GB2312"/>
          <w:sz w:val="32"/>
          <w:szCs w:val="32"/>
        </w:rPr>
        <w:t>、《深圳市罗湖区建设工程招标投标管理</w:t>
      </w:r>
      <w:r>
        <w:rPr>
          <w:rFonts w:hint="eastAsia" w:ascii="仿宋_GB2312" w:hAnsi="仿宋_GB2312" w:eastAsia="仿宋_GB2312" w:cs="仿宋_GB2312"/>
          <w:bCs/>
          <w:sz w:val="32"/>
          <w:szCs w:val="32"/>
        </w:rPr>
        <w:t>暂行</w:t>
      </w:r>
      <w:r>
        <w:rPr>
          <w:rFonts w:hint="eastAsia" w:ascii="仿宋_GB2312" w:hAnsi="仿宋_GB2312" w:eastAsia="仿宋_GB2312" w:cs="仿宋_GB2312"/>
          <w:sz w:val="32"/>
          <w:szCs w:val="32"/>
        </w:rPr>
        <w:t>办法》（罗府办[2017]号）</w:t>
      </w:r>
      <w:r>
        <w:rPr>
          <w:rFonts w:hint="eastAsia" w:ascii="仿宋_GB2312" w:hAnsi="仿宋" w:eastAsia="仿宋_GB2312"/>
          <w:sz w:val="32"/>
          <w:szCs w:val="32"/>
        </w:rPr>
        <w:t>等规定，结合本区实际，制定本办法。</w:t>
      </w:r>
    </w:p>
    <w:p>
      <w:pPr>
        <w:ind w:firstLine="643"/>
        <w:rPr>
          <w:rFonts w:ascii="仿宋_GB2312" w:hAnsi="仿宋" w:eastAsia="仿宋_GB2312"/>
          <w:sz w:val="32"/>
          <w:szCs w:val="32"/>
        </w:rPr>
      </w:pPr>
      <w:r>
        <w:rPr>
          <w:rFonts w:hint="eastAsia" w:ascii="仿宋_GB2312" w:eastAsia="仿宋_GB2312" w:hAnsiTheme="minorEastAsia"/>
          <w:b/>
          <w:sz w:val="32"/>
          <w:szCs w:val="32"/>
        </w:rPr>
        <w:t>第二条</w:t>
      </w:r>
      <w:r>
        <w:rPr>
          <w:rFonts w:hint="eastAsia" w:ascii="仿宋_GB2312" w:hAnsi="仿宋" w:eastAsia="仿宋_GB2312"/>
          <w:sz w:val="32"/>
          <w:szCs w:val="32"/>
        </w:rPr>
        <w:t xml:space="preserve"> 本办法适用于罗湖行政区域内从事国有（含财政性）资金或者集体资金投资建设工程招标投标活动相关市场主体的信用管理。</w:t>
      </w:r>
    </w:p>
    <w:p>
      <w:pPr>
        <w:ind w:firstLine="643"/>
        <w:rPr>
          <w:rFonts w:ascii="仿宋_GB2312" w:hAnsi="仿宋" w:eastAsia="仿宋_GB2312"/>
          <w:sz w:val="32"/>
          <w:szCs w:val="32"/>
        </w:rPr>
      </w:pPr>
      <w:r>
        <w:rPr>
          <w:rFonts w:hint="eastAsia" w:ascii="仿宋_GB2312" w:hAnsi="仿宋" w:eastAsia="仿宋_GB2312"/>
          <w:b/>
          <w:sz w:val="32"/>
          <w:szCs w:val="32"/>
        </w:rPr>
        <w:t>第三条</w:t>
      </w:r>
      <w:r>
        <w:rPr>
          <w:rFonts w:hint="eastAsia" w:ascii="仿宋_GB2312" w:hAnsi="仿宋" w:eastAsia="仿宋_GB2312"/>
          <w:sz w:val="32"/>
          <w:szCs w:val="32"/>
        </w:rPr>
        <w:t xml:space="preserve"> 本办法所称建设工程招标投标市场主体包括：</w:t>
      </w:r>
    </w:p>
    <w:p>
      <w:pPr>
        <w:ind w:firstLine="640"/>
        <w:rPr>
          <w:rFonts w:ascii="仿宋_GB2312" w:hAnsi="仿宋" w:eastAsia="仿宋_GB2312"/>
          <w:sz w:val="32"/>
          <w:szCs w:val="32"/>
        </w:rPr>
      </w:pPr>
      <w:r>
        <w:rPr>
          <w:rFonts w:hint="eastAsia" w:ascii="仿宋_GB2312" w:hAnsi="仿宋" w:eastAsia="仿宋_GB2312"/>
          <w:sz w:val="32"/>
          <w:szCs w:val="32"/>
        </w:rPr>
        <w:t>（一）在本区参加建设工程招标投标活动的建设单位、勘察单位、设计单位、施工图设计文件审查机构、施工单位、监理单位、检测单位、造价咨询单位、劳务企业、招标代理机构、设备及材料供应企业等;</w:t>
      </w:r>
    </w:p>
    <w:p>
      <w:pPr>
        <w:ind w:firstLine="640"/>
        <w:rPr>
          <w:rFonts w:ascii="仿宋_GB2312" w:hAnsi="仿宋" w:eastAsia="仿宋_GB2312"/>
          <w:sz w:val="32"/>
          <w:szCs w:val="32"/>
        </w:rPr>
      </w:pPr>
      <w:r>
        <w:rPr>
          <w:rFonts w:hint="eastAsia" w:ascii="仿宋_GB2312" w:hAnsi="仿宋" w:eastAsia="仿宋_GB2312"/>
          <w:sz w:val="32"/>
          <w:szCs w:val="32"/>
        </w:rPr>
        <w:t>（二）在本区执业的建筑师、建造师、勘察设计工程师、监理工程师、造价工程师、岩土工程师、结构工程师、机电工程师等注册执业人员；</w:t>
      </w:r>
    </w:p>
    <w:p>
      <w:pPr>
        <w:ind w:firstLine="640"/>
        <w:rPr>
          <w:rFonts w:ascii="仿宋_GB2312" w:hAnsi="仿宋" w:eastAsia="仿宋_GB2312"/>
          <w:sz w:val="32"/>
          <w:szCs w:val="32"/>
        </w:rPr>
      </w:pPr>
      <w:r>
        <w:rPr>
          <w:rFonts w:hint="eastAsia" w:ascii="仿宋_GB2312" w:hAnsi="仿宋" w:eastAsia="仿宋_GB2312"/>
          <w:sz w:val="32"/>
          <w:szCs w:val="32"/>
        </w:rPr>
        <w:t>（三）在本区从事工程建设活动企业的负责人、特种作业人员、劳务班组长等相关从业人员；</w:t>
      </w:r>
    </w:p>
    <w:p>
      <w:pPr>
        <w:ind w:firstLine="640"/>
        <w:rPr>
          <w:rFonts w:ascii="仿宋_GB2312" w:hAnsi="仿宋" w:eastAsia="仿宋_GB2312"/>
          <w:sz w:val="32"/>
          <w:szCs w:val="32"/>
        </w:rPr>
      </w:pPr>
      <w:r>
        <w:rPr>
          <w:rFonts w:hint="eastAsia" w:ascii="仿宋_GB2312" w:hAnsi="仿宋" w:eastAsia="仿宋_GB2312"/>
          <w:sz w:val="32"/>
          <w:szCs w:val="32"/>
        </w:rPr>
        <w:t>（四）在本区从事与建设工程招标投标相关活动的其他企业及个人。</w:t>
      </w:r>
    </w:p>
    <w:p>
      <w:pPr>
        <w:ind w:firstLine="643"/>
        <w:rPr>
          <w:rFonts w:ascii="仿宋_GB2312" w:hAnsi="仿宋" w:eastAsia="仿宋_GB2312"/>
          <w:sz w:val="32"/>
          <w:szCs w:val="32"/>
        </w:rPr>
      </w:pPr>
      <w:r>
        <w:rPr>
          <w:rFonts w:hint="eastAsia" w:ascii="仿宋_GB2312" w:hAnsi="仿宋" w:eastAsia="仿宋_GB2312"/>
          <w:b/>
          <w:sz w:val="32"/>
          <w:szCs w:val="32"/>
        </w:rPr>
        <w:t>第四条</w:t>
      </w:r>
      <w:r>
        <w:rPr>
          <w:rFonts w:hint="eastAsia" w:ascii="仿宋_GB2312" w:hAnsi="仿宋" w:eastAsia="仿宋_GB2312"/>
          <w:sz w:val="32"/>
          <w:szCs w:val="32"/>
        </w:rPr>
        <w:t xml:space="preserve"> 本办法所称信用管理，是指通过采集在本区从事建设工程招投标活动的市场主体的信用信息，上报市建设部门对其信用状况做出评价，并依据信用评价结果实施差别化监管的制度。 </w:t>
      </w:r>
    </w:p>
    <w:p>
      <w:pPr>
        <w:ind w:firstLine="643"/>
        <w:rPr>
          <w:rFonts w:ascii="仿宋_GB2312" w:hAnsi="仿宋" w:eastAsia="仿宋_GB2312"/>
          <w:sz w:val="32"/>
          <w:szCs w:val="32"/>
        </w:rPr>
      </w:pPr>
      <w:r>
        <w:rPr>
          <w:rFonts w:hint="eastAsia" w:ascii="仿宋_GB2312" w:hAnsi="仿宋" w:eastAsia="仿宋_GB2312"/>
          <w:b/>
          <w:sz w:val="32"/>
          <w:szCs w:val="32"/>
        </w:rPr>
        <w:t>第五条</w:t>
      </w:r>
      <w:r>
        <w:rPr>
          <w:rFonts w:hint="eastAsia" w:ascii="仿宋_GB2312" w:hAnsi="仿宋" w:eastAsia="仿宋_GB2312"/>
          <w:sz w:val="32"/>
          <w:szCs w:val="32"/>
        </w:rPr>
        <w:t xml:space="preserve"> 区建设部门统筹全区建设工程招标投标市场主体信用管理，包括建立健全信用管理制度，管理全区建设工程招标投标市场主体信用系统等。</w:t>
      </w:r>
    </w:p>
    <w:p>
      <w:pPr>
        <w:ind w:firstLine="640"/>
        <w:rPr>
          <w:rFonts w:ascii="仿宋_GB2312" w:hAnsi="仿宋" w:eastAsia="仿宋_GB2312"/>
          <w:sz w:val="32"/>
          <w:szCs w:val="32"/>
        </w:rPr>
      </w:pPr>
      <w:r>
        <w:rPr>
          <w:rFonts w:hint="eastAsia" w:ascii="仿宋_GB2312" w:hAnsi="仿宋" w:eastAsia="仿宋_GB2312"/>
          <w:sz w:val="32"/>
          <w:szCs w:val="32"/>
        </w:rPr>
        <w:t xml:space="preserve">区法制、环保水务、教育、城管、建筑工务、城市更新、规划国土、交通、税务等建设单位以及相关部门按照各自职责，支持配合建设工程招标投标市场主体信用信息的采集、审核、录入及投诉处理工作。 </w:t>
      </w:r>
    </w:p>
    <w:p>
      <w:pPr>
        <w:ind w:firstLine="640"/>
        <w:rPr>
          <w:rFonts w:ascii="仿宋_GB2312" w:hAnsi="仿宋" w:eastAsia="仿宋_GB2312"/>
          <w:sz w:val="32"/>
          <w:szCs w:val="32"/>
        </w:rPr>
      </w:pPr>
      <w:r>
        <w:rPr>
          <w:rFonts w:hint="eastAsia" w:ascii="仿宋_GB2312" w:hAnsi="仿宋" w:eastAsia="仿宋_GB2312"/>
          <w:sz w:val="32"/>
          <w:szCs w:val="32"/>
        </w:rPr>
        <w:t>各相关部门应对其公布的信用信息的真实性、合法性、准确性负责。</w:t>
      </w:r>
    </w:p>
    <w:p>
      <w:pPr>
        <w:ind w:firstLine="640"/>
        <w:rPr>
          <w:rFonts w:ascii="仿宋_GB2312" w:hAnsi="仿宋" w:eastAsia="仿宋_GB2312"/>
          <w:sz w:val="32"/>
          <w:szCs w:val="32"/>
        </w:rPr>
      </w:pPr>
    </w:p>
    <w:p>
      <w:pPr>
        <w:pStyle w:val="2"/>
        <w:rPr>
          <w:rFonts w:ascii="仿宋_GB2312" w:hAnsi="仿宋" w:eastAsia="仿宋_GB2312"/>
          <w:b/>
          <w:bCs/>
          <w:szCs w:val="32"/>
        </w:rPr>
      </w:pPr>
      <w:r>
        <w:rPr>
          <w:rFonts w:hint="eastAsia" w:ascii="仿宋_GB2312" w:hAnsi="仿宋" w:eastAsia="仿宋_GB2312"/>
          <w:b/>
          <w:bCs/>
          <w:szCs w:val="32"/>
        </w:rPr>
        <w:t>第二章  信用信息分类</w:t>
      </w:r>
    </w:p>
    <w:p>
      <w:pPr>
        <w:ind w:firstLine="640"/>
        <w:rPr>
          <w:rFonts w:ascii="仿宋_GB2312" w:eastAsia="仿宋_GB2312"/>
          <w:sz w:val="32"/>
          <w:szCs w:val="32"/>
        </w:rPr>
      </w:pPr>
    </w:p>
    <w:p>
      <w:pPr>
        <w:ind w:firstLine="643"/>
        <w:rPr>
          <w:rFonts w:ascii="仿宋_GB2312" w:hAnsi="仿宋" w:eastAsia="仿宋_GB2312"/>
          <w:sz w:val="32"/>
          <w:szCs w:val="32"/>
        </w:rPr>
      </w:pPr>
      <w:r>
        <w:rPr>
          <w:rFonts w:hint="eastAsia" w:ascii="仿宋_GB2312" w:hAnsi="仿宋" w:eastAsia="仿宋_GB2312"/>
          <w:b/>
          <w:sz w:val="32"/>
          <w:szCs w:val="32"/>
        </w:rPr>
        <w:t xml:space="preserve">第六条 </w:t>
      </w:r>
      <w:r>
        <w:rPr>
          <w:rFonts w:hint="eastAsia" w:ascii="仿宋_GB2312" w:hAnsi="仿宋" w:eastAsia="仿宋_GB2312"/>
          <w:sz w:val="32"/>
          <w:szCs w:val="32"/>
        </w:rPr>
        <w:t>本办法所称信用信息，包括行政处罚信息、其他不良行为信息、履约评价信息和良好行为信息：</w:t>
      </w:r>
    </w:p>
    <w:p>
      <w:pPr>
        <w:ind w:firstLine="640"/>
        <w:rPr>
          <w:rFonts w:ascii="仿宋_GB2312" w:hAnsi="仿宋" w:eastAsia="仿宋_GB2312"/>
          <w:sz w:val="32"/>
          <w:szCs w:val="32"/>
        </w:rPr>
      </w:pPr>
      <w:r>
        <w:rPr>
          <w:rFonts w:hint="eastAsia" w:ascii="仿宋_GB2312" w:hAnsi="仿宋" w:eastAsia="仿宋_GB2312"/>
          <w:sz w:val="32"/>
          <w:szCs w:val="32"/>
        </w:rPr>
        <w:t>（一）行政处罚信息，是指行政机关或其他行政主体依法定职权和程序对违反有关工程建设的法律、法规、规章的工程建设市场主体给予行政处罚的信息；行政处罚信息由区建设部门从各相关部门公布至罗湖区综合执法平台的信息中采集。</w:t>
      </w:r>
    </w:p>
    <w:p>
      <w:pPr>
        <w:ind w:firstLine="640"/>
        <w:rPr>
          <w:rFonts w:ascii="仿宋_GB2312" w:hAnsi="仿宋" w:eastAsia="仿宋_GB2312"/>
          <w:sz w:val="32"/>
          <w:szCs w:val="32"/>
        </w:rPr>
      </w:pPr>
      <w:r>
        <w:rPr>
          <w:rFonts w:hint="eastAsia" w:ascii="仿宋_GB2312" w:hAnsi="仿宋" w:eastAsia="仿宋_GB2312"/>
          <w:sz w:val="32"/>
          <w:szCs w:val="32"/>
        </w:rPr>
        <w:t>（二）其他不良行为信息，是指工程建设市场主体在本区工程建设活动中违反相关规定但尚不构成行政处罚的行为信息，不良行为信息由区建设部门予以认定和采集。</w:t>
      </w:r>
    </w:p>
    <w:p>
      <w:pPr>
        <w:ind w:firstLine="640"/>
        <w:rPr>
          <w:rFonts w:ascii="仿宋_GB2312" w:hAnsi="仿宋" w:eastAsia="仿宋_GB2312"/>
          <w:sz w:val="32"/>
          <w:szCs w:val="32"/>
        </w:rPr>
      </w:pPr>
      <w:r>
        <w:rPr>
          <w:rFonts w:hint="eastAsia" w:ascii="仿宋_GB2312" w:hAnsi="仿宋" w:eastAsia="仿宋_GB2312"/>
          <w:sz w:val="32"/>
          <w:szCs w:val="32"/>
        </w:rPr>
        <w:t>（三）履约评价信息，是指各建设单位对具有合同关系的工程建设市场主体的中标合同履行情况进行认定产生的信息。履约评价以合同为单位，评价结果一般分为“优”、“良”、“中”、“合格”和“不合格”；履约评价信息由各建设单位认定，区建设部门从各建设单位报送的履约评价结果信息中采集。</w:t>
      </w:r>
    </w:p>
    <w:p>
      <w:pPr>
        <w:ind w:firstLine="640"/>
        <w:rPr>
          <w:rFonts w:ascii="仿宋_GB2312" w:hAnsi="仿宋" w:eastAsia="仿宋_GB2312"/>
          <w:sz w:val="32"/>
          <w:szCs w:val="32"/>
        </w:rPr>
      </w:pPr>
      <w:r>
        <w:rPr>
          <w:rFonts w:hint="eastAsia" w:ascii="仿宋_GB2312" w:hAnsi="仿宋" w:eastAsia="仿宋_GB2312"/>
          <w:sz w:val="32"/>
          <w:szCs w:val="32"/>
        </w:rPr>
        <w:t>（四）良好行为信息，包括企业的在深纳税额、获奖表彰情况、参与我市重大项目、抢险救援等信息。其中，重大项目的认定适用《深圳市重大建设项目管理办法》等市区相关规定。良好信用信息由企业依规向市建设部门诚信申报，市建设部门予以认定和采集。</w:t>
      </w:r>
    </w:p>
    <w:p>
      <w:pPr>
        <w:tabs>
          <w:tab w:val="left" w:pos="5445"/>
        </w:tabs>
        <w:ind w:firstLine="640"/>
        <w:rPr>
          <w:rFonts w:ascii="仿宋_GB2312" w:eastAsia="仿宋_GB2312"/>
          <w:sz w:val="32"/>
          <w:szCs w:val="32"/>
        </w:rPr>
      </w:pPr>
      <w:r>
        <w:rPr>
          <w:rFonts w:hint="eastAsia" w:ascii="仿宋_GB2312" w:eastAsia="仿宋_GB2312"/>
          <w:sz w:val="32"/>
          <w:szCs w:val="32"/>
        </w:rPr>
        <w:tab/>
      </w:r>
    </w:p>
    <w:p>
      <w:pPr>
        <w:pStyle w:val="2"/>
        <w:rPr>
          <w:rFonts w:ascii="仿宋_GB2312" w:hAnsi="仿宋" w:eastAsia="仿宋_GB2312"/>
          <w:b/>
          <w:bCs/>
          <w:szCs w:val="32"/>
        </w:rPr>
      </w:pPr>
      <w:r>
        <w:rPr>
          <w:rFonts w:hint="eastAsia" w:ascii="仿宋_GB2312" w:hAnsi="仿宋" w:eastAsia="仿宋_GB2312"/>
          <w:b/>
          <w:bCs/>
          <w:szCs w:val="32"/>
        </w:rPr>
        <w:t>第三章  不良行为的认定和采集</w:t>
      </w:r>
    </w:p>
    <w:p>
      <w:pPr>
        <w:ind w:firstLine="640"/>
        <w:rPr>
          <w:rFonts w:ascii="仿宋_GB2312" w:eastAsia="仿宋_GB2312"/>
          <w:sz w:val="32"/>
          <w:szCs w:val="32"/>
        </w:rPr>
      </w:pPr>
    </w:p>
    <w:p>
      <w:pPr>
        <w:ind w:firstLine="643"/>
        <w:rPr>
          <w:rFonts w:ascii="仿宋_GB2312" w:hAnsi="仿宋" w:eastAsia="仿宋_GB2312"/>
          <w:sz w:val="32"/>
          <w:szCs w:val="32"/>
        </w:rPr>
      </w:pPr>
      <w:r>
        <w:rPr>
          <w:rFonts w:hint="eastAsia" w:ascii="仿宋_GB2312" w:hAnsi="仿宋" w:eastAsia="仿宋_GB2312"/>
          <w:b/>
          <w:sz w:val="32"/>
          <w:szCs w:val="32"/>
        </w:rPr>
        <w:t>第七条</w:t>
      </w:r>
      <w:r>
        <w:rPr>
          <w:rFonts w:hint="eastAsia" w:ascii="仿宋_GB2312" w:hAnsi="仿宋" w:eastAsia="仿宋_GB2312"/>
          <w:sz w:val="32"/>
          <w:szCs w:val="32"/>
        </w:rPr>
        <w:t xml:space="preserve"> 不良行为具体形式见附件一《招标投标类不良行为一览表》，由区建设部门根据相关部门抄送的文书等材料进行审核，出具不良行为认定书，并在作出该不良行为认定书后5个工作日内送达当事人。</w:t>
      </w:r>
    </w:p>
    <w:p>
      <w:pPr>
        <w:ind w:firstLine="643"/>
        <w:rPr>
          <w:rFonts w:ascii="仿宋_GB2312" w:hAnsi="仿宋" w:eastAsia="仿宋_GB2312"/>
          <w:sz w:val="32"/>
          <w:szCs w:val="32"/>
        </w:rPr>
      </w:pPr>
      <w:r>
        <w:rPr>
          <w:rFonts w:hint="eastAsia" w:ascii="仿宋_GB2312" w:hAnsi="仿宋" w:eastAsia="仿宋_GB2312"/>
          <w:sz w:val="32"/>
          <w:szCs w:val="32"/>
        </w:rPr>
        <w:t>向当事人送达不良行为认定书，可以参照行政处罚决定书送达的有关规定。</w:t>
      </w:r>
    </w:p>
    <w:p>
      <w:pPr>
        <w:ind w:firstLine="643"/>
        <w:rPr>
          <w:rFonts w:ascii="仿宋_GB2312" w:hAnsi="仿宋" w:eastAsia="仿宋_GB2312"/>
          <w:sz w:val="32"/>
          <w:szCs w:val="32"/>
        </w:rPr>
      </w:pPr>
      <w:r>
        <w:rPr>
          <w:rFonts w:hint="eastAsia" w:ascii="仿宋_GB2312" w:hAnsi="仿宋" w:eastAsia="仿宋_GB2312"/>
          <w:b/>
          <w:sz w:val="32"/>
          <w:szCs w:val="32"/>
        </w:rPr>
        <w:t>第八条</w:t>
      </w:r>
      <w:r>
        <w:rPr>
          <w:rFonts w:hint="eastAsia" w:ascii="仿宋_GB2312" w:hAnsi="仿宋" w:eastAsia="仿宋_GB2312"/>
          <w:sz w:val="32"/>
          <w:szCs w:val="32"/>
        </w:rPr>
        <w:t xml:space="preserve"> 认定书送达当事人后5个工作日内为异议期，异议期内当事人可向区建设部门提出书面异议申请。书面异议申请应当载明异议的具体请求以及事实和理由。</w:t>
      </w:r>
    </w:p>
    <w:p>
      <w:pPr>
        <w:ind w:firstLine="640"/>
        <w:rPr>
          <w:rFonts w:ascii="仿宋_GB2312" w:hAnsi="仿宋" w:eastAsia="仿宋_GB2312"/>
          <w:sz w:val="32"/>
          <w:szCs w:val="32"/>
        </w:rPr>
      </w:pPr>
      <w:r>
        <w:rPr>
          <w:rFonts w:hint="eastAsia" w:ascii="仿宋_GB2312" w:hAnsi="仿宋" w:eastAsia="仿宋_GB2312"/>
          <w:sz w:val="32"/>
          <w:szCs w:val="32"/>
        </w:rPr>
        <w:t>区建设部门应于收到书面异议申请后20个工作日内完成复核，并告知当事人。</w:t>
      </w:r>
    </w:p>
    <w:p>
      <w:pPr>
        <w:ind w:firstLine="640"/>
        <w:rPr>
          <w:rFonts w:ascii="仿宋_GB2312" w:hAnsi="仿宋" w:eastAsia="仿宋_GB2312"/>
          <w:sz w:val="32"/>
          <w:szCs w:val="32"/>
        </w:rPr>
      </w:pPr>
      <w:r>
        <w:rPr>
          <w:rFonts w:hint="eastAsia" w:ascii="仿宋_GB2312" w:hAnsi="仿宋" w:eastAsia="仿宋_GB2312"/>
          <w:sz w:val="32"/>
          <w:szCs w:val="32"/>
        </w:rPr>
        <w:t>异议期内，当事人未提出异议申请的，由区建设部门予以采集和录入。</w:t>
      </w:r>
    </w:p>
    <w:p>
      <w:pPr>
        <w:ind w:firstLine="640"/>
        <w:rPr>
          <w:rFonts w:ascii="仿宋_GB2312" w:hAnsi="仿宋" w:eastAsia="仿宋_GB2312"/>
          <w:sz w:val="32"/>
          <w:szCs w:val="32"/>
        </w:rPr>
      </w:pPr>
      <w:r>
        <w:rPr>
          <w:rFonts w:hint="eastAsia" w:ascii="仿宋_GB2312" w:hAnsi="仿宋" w:eastAsia="仿宋_GB2312"/>
          <w:b/>
          <w:sz w:val="32"/>
          <w:szCs w:val="32"/>
        </w:rPr>
        <w:t xml:space="preserve">第九条 </w:t>
      </w:r>
      <w:r>
        <w:rPr>
          <w:rFonts w:hint="eastAsia" w:ascii="仿宋_GB2312" w:hAnsi="仿宋" w:eastAsia="仿宋_GB2312"/>
          <w:sz w:val="32"/>
          <w:szCs w:val="32"/>
        </w:rPr>
        <w:t>区建设部门明确专人负责不良行为信息的录入，并确保录入的公平与公正。</w:t>
      </w:r>
    </w:p>
    <w:p>
      <w:pPr>
        <w:ind w:firstLine="640"/>
        <w:rPr>
          <w:rFonts w:ascii="仿宋_GB2312" w:hAnsi="仿宋" w:eastAsia="仿宋_GB2312"/>
          <w:sz w:val="32"/>
          <w:szCs w:val="32"/>
        </w:rPr>
      </w:pPr>
      <w:r>
        <w:rPr>
          <w:rFonts w:hint="eastAsia" w:ascii="仿宋_GB2312" w:hAnsi="仿宋" w:eastAsia="仿宋_GB2312"/>
          <w:sz w:val="32"/>
          <w:szCs w:val="32"/>
        </w:rPr>
        <w:t>对不记录、滥记录、不按规范记录信用信息，玩忽职守、徇私舞弊的工作人员，由区建设部门依法依规追究其责任。</w:t>
      </w:r>
    </w:p>
    <w:p>
      <w:pPr>
        <w:tabs>
          <w:tab w:val="left" w:pos="3075"/>
        </w:tabs>
        <w:ind w:firstLine="640"/>
        <w:jc w:val="left"/>
        <w:rPr>
          <w:rFonts w:ascii="仿宋_GB2312" w:hAnsi="仿宋" w:eastAsia="仿宋_GB2312"/>
          <w:sz w:val="32"/>
          <w:szCs w:val="32"/>
        </w:rPr>
      </w:pPr>
    </w:p>
    <w:p>
      <w:pPr>
        <w:pStyle w:val="2"/>
        <w:rPr>
          <w:rFonts w:ascii="仿宋_GB2312" w:hAnsi="仿宋" w:eastAsia="仿宋_GB2312"/>
          <w:szCs w:val="32"/>
        </w:rPr>
      </w:pPr>
      <w:r>
        <w:rPr>
          <w:rFonts w:hint="eastAsia" w:ascii="仿宋_GB2312" w:hAnsi="仿宋" w:eastAsia="仿宋_GB2312"/>
          <w:b/>
          <w:bCs/>
          <w:szCs w:val="32"/>
        </w:rPr>
        <w:t>第四章  履约评价的认定和采集</w:t>
      </w:r>
    </w:p>
    <w:p>
      <w:pPr>
        <w:ind w:firstLine="640"/>
        <w:rPr>
          <w:rFonts w:ascii="仿宋_GB2312" w:hAnsi="仿宋" w:eastAsia="仿宋_GB2312"/>
          <w:sz w:val="32"/>
          <w:szCs w:val="32"/>
        </w:rPr>
      </w:pPr>
    </w:p>
    <w:p>
      <w:pPr>
        <w:ind w:firstLine="643"/>
        <w:rPr>
          <w:rFonts w:ascii="仿宋_GB2312" w:hAnsi="仿宋" w:eastAsia="仿宋_GB2312"/>
          <w:sz w:val="32"/>
          <w:szCs w:val="32"/>
        </w:rPr>
      </w:pPr>
      <w:r>
        <w:rPr>
          <w:rFonts w:hint="eastAsia" w:ascii="仿宋_GB2312" w:hAnsi="黑体" w:eastAsia="仿宋_GB2312"/>
          <w:b/>
          <w:sz w:val="32"/>
          <w:szCs w:val="32"/>
        </w:rPr>
        <w:t>第十条</w:t>
      </w:r>
      <w:r>
        <w:rPr>
          <w:rFonts w:hint="eastAsia" w:ascii="仿宋_GB2312" w:hAnsi="仿宋" w:eastAsia="仿宋_GB2312"/>
          <w:sz w:val="32"/>
          <w:szCs w:val="32"/>
        </w:rPr>
        <w:t xml:space="preserve"> </w:t>
      </w:r>
      <w:r>
        <w:rPr>
          <w:rFonts w:hint="eastAsia" w:ascii="仿宋_GB2312" w:hAnsi="仿宋_GB2312" w:eastAsia="仿宋_GB2312" w:cs="仿宋_GB2312"/>
          <w:sz w:val="32"/>
          <w:szCs w:val="32"/>
        </w:rPr>
        <w:t>履约评价应当实事求是，遵循客观、公平、公开和公正的原则。</w:t>
      </w:r>
    </w:p>
    <w:p>
      <w:pPr>
        <w:ind w:firstLine="643"/>
        <w:rPr>
          <w:rFonts w:ascii="仿宋_GB2312" w:hAnsi="仿宋" w:eastAsia="仿宋_GB2312"/>
          <w:sz w:val="32"/>
          <w:szCs w:val="32"/>
        </w:rPr>
      </w:pPr>
      <w:r>
        <w:rPr>
          <w:rFonts w:hint="eastAsia" w:ascii="仿宋_GB2312" w:hAnsi="黑体" w:eastAsia="仿宋_GB2312"/>
          <w:b/>
          <w:sz w:val="32"/>
          <w:szCs w:val="32"/>
        </w:rPr>
        <w:t xml:space="preserve">第十一条 </w:t>
      </w:r>
      <w:r>
        <w:rPr>
          <w:rFonts w:hint="eastAsia" w:ascii="仿宋_GB2312" w:hAnsi="仿宋_GB2312" w:eastAsia="仿宋_GB2312" w:cs="仿宋_GB2312"/>
          <w:sz w:val="32"/>
          <w:szCs w:val="32"/>
        </w:rPr>
        <w:t>履约评价是指工程建设单位按照规定的评价标准、履约评分表，对建设工程承包商</w:t>
      </w:r>
      <w:r>
        <w:rPr>
          <w:rFonts w:hint="eastAsia" w:ascii="仿宋_GB2312" w:hAnsi="仿宋" w:eastAsia="仿宋_GB2312"/>
          <w:sz w:val="32"/>
          <w:szCs w:val="32"/>
        </w:rPr>
        <w:t>及相关责任人员等市场主体</w:t>
      </w:r>
      <w:r>
        <w:rPr>
          <w:rFonts w:hint="eastAsia" w:ascii="仿宋_GB2312" w:hAnsi="仿宋_GB2312" w:eastAsia="仿宋_GB2312" w:cs="仿宋_GB2312"/>
          <w:sz w:val="32"/>
          <w:szCs w:val="32"/>
        </w:rPr>
        <w:t>履约行为进行的评价。</w:t>
      </w:r>
    </w:p>
    <w:p>
      <w:pPr>
        <w:ind w:firstLine="643"/>
        <w:rPr>
          <w:rFonts w:ascii="仿宋_GB2312" w:hAnsi="仿宋" w:eastAsia="仿宋_GB2312"/>
          <w:sz w:val="32"/>
          <w:szCs w:val="32"/>
        </w:rPr>
      </w:pPr>
      <w:r>
        <w:rPr>
          <w:rFonts w:hint="eastAsia" w:ascii="仿宋_GB2312" w:hAnsi="黑体" w:eastAsia="仿宋_GB2312"/>
          <w:b/>
          <w:sz w:val="32"/>
          <w:szCs w:val="32"/>
        </w:rPr>
        <w:t>第十二条</w:t>
      </w:r>
      <w:r>
        <w:rPr>
          <w:rFonts w:hint="eastAsia" w:ascii="仿宋_GB2312" w:hAnsi="仿宋" w:eastAsia="仿宋_GB2312"/>
          <w:sz w:val="32"/>
          <w:szCs w:val="32"/>
        </w:rPr>
        <w:t xml:space="preserve">  建设单位负责工程履约评价的认定。</w:t>
      </w:r>
    </w:p>
    <w:p>
      <w:pPr>
        <w:ind w:firstLine="640"/>
        <w:rPr>
          <w:rFonts w:ascii="仿宋_GB2312" w:hAnsi="仿宋" w:eastAsia="仿宋_GB2312"/>
          <w:sz w:val="32"/>
          <w:szCs w:val="32"/>
        </w:rPr>
      </w:pPr>
      <w:r>
        <w:rPr>
          <w:rFonts w:hint="eastAsia" w:ascii="仿宋_GB2312" w:hAnsi="仿宋" w:eastAsia="仿宋_GB2312"/>
          <w:sz w:val="32"/>
          <w:szCs w:val="32"/>
        </w:rPr>
        <w:t>建设单位应当设立履约评价小组，负责履约评价结果的审核和认定，建立评价资料台账，完善履约评价的内部考核机制。</w:t>
      </w:r>
    </w:p>
    <w:p>
      <w:pPr>
        <w:ind w:firstLine="640"/>
        <w:rPr>
          <w:rFonts w:ascii="仿宋_GB2312" w:hAnsi="仿宋" w:eastAsia="仿宋_GB2312"/>
          <w:sz w:val="32"/>
          <w:szCs w:val="32"/>
        </w:rPr>
      </w:pPr>
      <w:r>
        <w:rPr>
          <w:rFonts w:hint="eastAsia" w:ascii="仿宋_GB2312" w:hAnsi="仿宋" w:eastAsia="仿宋_GB2312"/>
          <w:sz w:val="32"/>
          <w:szCs w:val="32"/>
        </w:rPr>
        <w:t>实行项目代建的建设工程，由代建单位和建设单位共同对市场主体进行工程履约评价。</w:t>
      </w:r>
    </w:p>
    <w:p>
      <w:pPr>
        <w:ind w:firstLine="640"/>
        <w:rPr>
          <w:rFonts w:ascii="仿宋_GB2312" w:hAnsi="仿宋" w:eastAsia="仿宋_GB2312"/>
          <w:sz w:val="32"/>
          <w:szCs w:val="32"/>
        </w:rPr>
      </w:pPr>
      <w:r>
        <w:rPr>
          <w:rFonts w:hint="eastAsia" w:ascii="仿宋_GB2312" w:hAnsi="仿宋" w:eastAsia="仿宋_GB2312"/>
          <w:sz w:val="32"/>
          <w:szCs w:val="32"/>
        </w:rPr>
        <w:t>建设单位应当根据建设工程相关单位或利益相关方反馈的情况对市场主体实施评价。</w:t>
      </w:r>
    </w:p>
    <w:p>
      <w:pPr>
        <w:ind w:firstLine="643"/>
        <w:rPr>
          <w:rFonts w:ascii="仿宋_GB2312" w:hAnsi="仿宋" w:eastAsia="仿宋_GB2312"/>
          <w:sz w:val="32"/>
          <w:szCs w:val="32"/>
        </w:rPr>
      </w:pPr>
      <w:r>
        <w:rPr>
          <w:rFonts w:hint="eastAsia" w:ascii="仿宋_GB2312" w:hAnsi="黑体" w:eastAsia="仿宋_GB2312"/>
          <w:b/>
          <w:sz w:val="32"/>
          <w:szCs w:val="32"/>
        </w:rPr>
        <w:t>第十三条</w:t>
      </w:r>
      <w:r>
        <w:rPr>
          <w:rFonts w:hint="eastAsia" w:ascii="仿宋_GB2312" w:hAnsi="仿宋" w:eastAsia="仿宋_GB2312"/>
          <w:sz w:val="32"/>
          <w:szCs w:val="32"/>
        </w:rPr>
        <w:t xml:space="preserve"> 履约评价的依据包括：建设单位依法编制的招标文件、承包商的投标文件、双方签订的工程合同及补充协议、主管部门、质量监督和造价管理机构的审查意见或督（检）查结果、奖罚通报、决定等；举报、投诉或质量、安全事故调查处理结果；司法判决、裁定、认定及审计意见等； 其他可以认定不良行为的有关资料。 </w:t>
      </w:r>
    </w:p>
    <w:p>
      <w:pPr>
        <w:ind w:firstLine="640"/>
        <w:rPr>
          <w:rFonts w:ascii="仿宋_GB2312" w:hAnsi="仿宋" w:eastAsia="仿宋_GB2312"/>
          <w:sz w:val="32"/>
          <w:szCs w:val="32"/>
        </w:rPr>
      </w:pPr>
      <w:r>
        <w:rPr>
          <w:rFonts w:hint="eastAsia" w:ascii="仿宋_GB2312" w:hAnsi="仿宋" w:eastAsia="仿宋_GB2312"/>
          <w:sz w:val="32"/>
          <w:szCs w:val="32"/>
        </w:rPr>
        <w:t>建设单位对工程履约评价依据有其他特殊要求的，应当在招标文件或工程合同中列明。</w:t>
      </w:r>
    </w:p>
    <w:p>
      <w:pPr>
        <w:ind w:firstLine="643"/>
        <w:rPr>
          <w:rFonts w:ascii="仿宋_GB2312" w:hAnsi="仿宋" w:eastAsia="仿宋_GB2312"/>
          <w:sz w:val="32"/>
          <w:szCs w:val="32"/>
        </w:rPr>
      </w:pPr>
      <w:r>
        <w:rPr>
          <w:rFonts w:hint="eastAsia" w:ascii="仿宋_GB2312" w:hAnsi="黑体" w:eastAsia="仿宋_GB2312"/>
          <w:b/>
          <w:sz w:val="32"/>
          <w:szCs w:val="32"/>
        </w:rPr>
        <w:t>第十四条</w:t>
      </w:r>
      <w:r>
        <w:rPr>
          <w:rFonts w:hint="eastAsia" w:ascii="仿宋_GB2312" w:hAnsi="仿宋" w:eastAsia="仿宋_GB2312"/>
          <w:sz w:val="32"/>
          <w:szCs w:val="32"/>
        </w:rPr>
        <w:t xml:space="preserve"> 履约评价信息分为优、良、中、合格和不合格五个档次。履约评价得分90-100分认定为“优”、80-89分认定为“良”、70-79分认定为“中”、60-69分认定为“合格”、60分以下认定为“不合格”。</w:t>
      </w:r>
    </w:p>
    <w:p>
      <w:pPr>
        <w:ind w:firstLine="643"/>
        <w:rPr>
          <w:rFonts w:ascii="仿宋_GB2312" w:hAnsi="仿宋" w:eastAsia="仿宋_GB2312"/>
          <w:sz w:val="32"/>
          <w:szCs w:val="32"/>
        </w:rPr>
      </w:pPr>
      <w:r>
        <w:rPr>
          <w:rFonts w:hint="eastAsia" w:ascii="仿宋_GB2312" w:hAnsi="黑体" w:eastAsia="仿宋_GB2312"/>
          <w:b/>
          <w:sz w:val="32"/>
          <w:szCs w:val="32"/>
        </w:rPr>
        <w:t xml:space="preserve">第十五条 </w:t>
      </w:r>
      <w:r>
        <w:rPr>
          <w:rFonts w:hint="eastAsia" w:ascii="仿宋_GB2312" w:hAnsi="仿宋" w:eastAsia="仿宋_GB2312"/>
          <w:sz w:val="32"/>
          <w:szCs w:val="32"/>
        </w:rPr>
        <w:t>对具有下列情形的市场主体，其工程履约评价结果不得认定为“中”及以上档次，履约评价得分高于70分的，以69分计：</w:t>
      </w:r>
    </w:p>
    <w:p>
      <w:pPr>
        <w:ind w:firstLine="640"/>
        <w:rPr>
          <w:rFonts w:ascii="仿宋_GB2312" w:hAnsi="仿宋" w:eastAsia="仿宋_GB2312"/>
          <w:sz w:val="32"/>
          <w:szCs w:val="32"/>
        </w:rPr>
      </w:pPr>
      <w:r>
        <w:rPr>
          <w:rFonts w:hint="eastAsia" w:ascii="仿宋_GB2312" w:hAnsi="仿宋" w:eastAsia="仿宋_GB2312"/>
          <w:sz w:val="32"/>
          <w:szCs w:val="32"/>
        </w:rPr>
        <w:t>（一）履约评价主要项（质量、安全、进度）按百分比折算后分数少于60分的；</w:t>
      </w:r>
    </w:p>
    <w:p>
      <w:pPr>
        <w:ind w:firstLine="640"/>
        <w:rPr>
          <w:rFonts w:ascii="仿宋_GB2312" w:hAnsi="仿宋" w:eastAsia="仿宋_GB2312"/>
          <w:sz w:val="32"/>
          <w:szCs w:val="32"/>
        </w:rPr>
      </w:pPr>
      <w:r>
        <w:rPr>
          <w:rFonts w:hint="eastAsia" w:ascii="仿宋_GB2312" w:hAnsi="仿宋" w:eastAsia="仿宋_GB2312"/>
          <w:sz w:val="32"/>
          <w:szCs w:val="32"/>
        </w:rPr>
        <w:t>（二）因自身原因造成履约时间严重滞后（滞后时间超过合同约定履约时间20%）的；</w:t>
      </w:r>
    </w:p>
    <w:p>
      <w:pPr>
        <w:ind w:firstLine="640"/>
        <w:rPr>
          <w:rFonts w:ascii="仿宋_GB2312" w:hAnsi="仿宋" w:eastAsia="仿宋_GB2312"/>
          <w:sz w:val="32"/>
          <w:szCs w:val="32"/>
        </w:rPr>
      </w:pPr>
      <w:r>
        <w:rPr>
          <w:rFonts w:hint="eastAsia" w:ascii="仿宋_GB2312" w:hAnsi="仿宋" w:eastAsia="仿宋_GB2312"/>
          <w:sz w:val="32"/>
          <w:szCs w:val="32"/>
        </w:rPr>
        <w:t>（三）在合同履行过程中因本项目受到市、区建设部门行政处罚的；</w:t>
      </w:r>
    </w:p>
    <w:p>
      <w:pPr>
        <w:ind w:firstLine="640"/>
        <w:rPr>
          <w:rFonts w:ascii="仿宋_GB2312" w:hAnsi="仿宋" w:eastAsia="仿宋_GB2312"/>
          <w:sz w:val="32"/>
          <w:szCs w:val="32"/>
        </w:rPr>
      </w:pPr>
      <w:r>
        <w:rPr>
          <w:rFonts w:hint="eastAsia" w:ascii="仿宋_GB2312" w:hAnsi="仿宋" w:eastAsia="仿宋_GB2312"/>
          <w:sz w:val="32"/>
          <w:szCs w:val="32"/>
        </w:rPr>
        <w:t>（四）项目管理班子未按规定（或投标承诺）配备或不到位的；</w:t>
      </w:r>
    </w:p>
    <w:p>
      <w:pPr>
        <w:ind w:firstLine="640"/>
        <w:rPr>
          <w:rFonts w:ascii="仿宋_GB2312" w:hAnsi="仿宋" w:eastAsia="仿宋_GB2312"/>
          <w:sz w:val="32"/>
          <w:szCs w:val="32"/>
        </w:rPr>
      </w:pPr>
      <w:r>
        <w:rPr>
          <w:rFonts w:hint="eastAsia" w:ascii="仿宋_GB2312" w:hAnsi="仿宋" w:eastAsia="仿宋_GB2312"/>
          <w:sz w:val="32"/>
          <w:szCs w:val="32"/>
        </w:rPr>
        <w:t>（五）项目负责人无正当理由，累计3次及以上不在岗的；</w:t>
      </w:r>
    </w:p>
    <w:p>
      <w:pPr>
        <w:ind w:firstLine="640"/>
        <w:rPr>
          <w:rFonts w:ascii="仿宋_GB2312" w:hAnsi="仿宋" w:eastAsia="仿宋_GB2312"/>
          <w:sz w:val="32"/>
          <w:szCs w:val="32"/>
        </w:rPr>
      </w:pPr>
      <w:r>
        <w:rPr>
          <w:rFonts w:hint="eastAsia" w:ascii="仿宋_GB2312" w:hAnsi="仿宋" w:eastAsia="仿宋_GB2312"/>
          <w:sz w:val="32"/>
          <w:szCs w:val="32"/>
        </w:rPr>
        <w:t>（六）未办理</w:t>
      </w:r>
      <w:r>
        <w:rPr>
          <w:rFonts w:hint="eastAsia" w:ascii="仿宋_GB2312" w:hAnsi="仿宋_GB2312" w:eastAsia="仿宋_GB2312" w:cs="仿宋_GB2312"/>
          <w:sz w:val="32"/>
          <w:szCs w:val="32"/>
        </w:rPr>
        <w:t>工程变更审批手续擅自变更</w:t>
      </w:r>
      <w:r>
        <w:rPr>
          <w:rFonts w:hint="eastAsia" w:ascii="仿宋_GB2312" w:hAnsi="仿宋" w:eastAsia="仿宋_GB2312"/>
          <w:sz w:val="32"/>
          <w:szCs w:val="32"/>
        </w:rPr>
        <w:t>的；</w:t>
      </w:r>
    </w:p>
    <w:p>
      <w:pPr>
        <w:ind w:firstLine="640"/>
        <w:rPr>
          <w:rFonts w:ascii="仿宋_GB2312" w:hAnsi="仿宋" w:eastAsia="仿宋_GB2312"/>
          <w:sz w:val="32"/>
          <w:szCs w:val="32"/>
        </w:rPr>
      </w:pPr>
      <w:r>
        <w:rPr>
          <w:rFonts w:hint="eastAsia" w:ascii="仿宋_GB2312" w:hAnsi="仿宋" w:eastAsia="仿宋_GB2312"/>
          <w:sz w:val="32"/>
          <w:szCs w:val="32"/>
        </w:rPr>
        <w:t>（七）伪造工程变更现场与事项的；</w:t>
      </w:r>
    </w:p>
    <w:p>
      <w:pPr>
        <w:ind w:firstLine="640"/>
        <w:rPr>
          <w:rFonts w:ascii="仿宋_GB2312" w:hAnsi="仿宋" w:eastAsia="仿宋_GB2312"/>
          <w:sz w:val="32"/>
          <w:szCs w:val="32"/>
        </w:rPr>
      </w:pPr>
      <w:r>
        <w:rPr>
          <w:rFonts w:hint="eastAsia" w:ascii="仿宋_GB2312" w:hAnsi="仿宋" w:eastAsia="仿宋_GB2312"/>
          <w:sz w:val="32"/>
          <w:szCs w:val="32"/>
        </w:rPr>
        <w:t>（八）在招标文件中或合同中列明的其他情形。</w:t>
      </w:r>
    </w:p>
    <w:p>
      <w:pPr>
        <w:ind w:firstLine="643"/>
        <w:rPr>
          <w:rFonts w:ascii="仿宋_GB2312" w:hAnsi="仿宋" w:eastAsia="仿宋_GB2312"/>
          <w:sz w:val="32"/>
          <w:szCs w:val="32"/>
        </w:rPr>
      </w:pPr>
      <w:r>
        <w:rPr>
          <w:rFonts w:hint="eastAsia" w:ascii="仿宋_GB2312" w:hAnsi="黑体" w:eastAsia="仿宋_GB2312"/>
          <w:b/>
          <w:sz w:val="32"/>
          <w:szCs w:val="32"/>
        </w:rPr>
        <w:t>第十六条</w:t>
      </w:r>
      <w:r>
        <w:rPr>
          <w:rFonts w:hint="eastAsia" w:ascii="仿宋_GB2312" w:hAnsi="仿宋" w:eastAsia="仿宋_GB2312"/>
          <w:sz w:val="32"/>
          <w:szCs w:val="32"/>
        </w:rPr>
        <w:t xml:space="preserve"> 对具有下列情形的市场主体，建设单位应立即做出履约评价为“不合格”档次的认定，履约评价得分高于59分的，以59分计： </w:t>
      </w:r>
    </w:p>
    <w:p>
      <w:pPr>
        <w:ind w:firstLine="640"/>
        <w:rPr>
          <w:rFonts w:ascii="仿宋_GB2312" w:hAnsi="仿宋" w:eastAsia="仿宋_GB2312"/>
          <w:sz w:val="32"/>
          <w:szCs w:val="32"/>
        </w:rPr>
      </w:pPr>
      <w:r>
        <w:rPr>
          <w:rFonts w:hint="eastAsia" w:ascii="仿宋_GB2312" w:hAnsi="仿宋" w:eastAsia="仿宋_GB2312"/>
          <w:sz w:val="32"/>
          <w:szCs w:val="32"/>
        </w:rPr>
        <w:t>（一）施工现场存在重大安全隐患未按期整改或被责令停工拒不停工的；</w:t>
      </w:r>
    </w:p>
    <w:p>
      <w:pPr>
        <w:ind w:firstLine="640"/>
        <w:rPr>
          <w:rFonts w:ascii="仿宋_GB2312" w:hAnsi="仿宋" w:eastAsia="仿宋_GB2312"/>
          <w:sz w:val="32"/>
          <w:szCs w:val="32"/>
        </w:rPr>
      </w:pPr>
      <w:r>
        <w:rPr>
          <w:rFonts w:hint="eastAsia" w:ascii="仿宋_GB2312" w:hAnsi="仿宋" w:eastAsia="仿宋_GB2312"/>
          <w:sz w:val="32"/>
          <w:szCs w:val="32"/>
        </w:rPr>
        <w:t>（二）施工现场发生安全事故的；</w:t>
      </w:r>
    </w:p>
    <w:p>
      <w:pPr>
        <w:ind w:firstLine="640"/>
        <w:rPr>
          <w:rFonts w:ascii="仿宋_GB2312" w:hAnsi="仿宋" w:eastAsia="仿宋_GB2312"/>
          <w:sz w:val="32"/>
          <w:szCs w:val="32"/>
        </w:rPr>
      </w:pPr>
      <w:r>
        <w:rPr>
          <w:rFonts w:hint="eastAsia" w:ascii="仿宋_GB2312" w:hAnsi="仿宋" w:eastAsia="仿宋_GB2312"/>
          <w:sz w:val="32"/>
          <w:szCs w:val="32"/>
        </w:rPr>
        <w:t>（三）未按规定开展工人实名制管理、工人工资分账管理，经主管部门责令整改拒不整改的；挪用、冒领或套取工人工资专用账户资金10万元以上的；6个月内发生3次以上拖欠工人工资事件的；拖欠工人工资3个月以上且数额超过100万元的；拖欠工人工资后，拒不配合主管部门处理，导致事态扩大的；</w:t>
      </w:r>
    </w:p>
    <w:p>
      <w:pPr>
        <w:ind w:firstLine="640"/>
        <w:rPr>
          <w:rFonts w:ascii="仿宋_GB2312" w:hAnsi="仿宋" w:eastAsia="仿宋_GB2312"/>
          <w:sz w:val="32"/>
          <w:szCs w:val="32"/>
        </w:rPr>
      </w:pPr>
      <w:r>
        <w:rPr>
          <w:rFonts w:hint="eastAsia" w:ascii="仿宋_GB2312" w:hAnsi="仿宋" w:eastAsia="仿宋_GB2312"/>
          <w:sz w:val="32"/>
          <w:szCs w:val="32"/>
        </w:rPr>
        <w:t xml:space="preserve">（四）发生直接经济损失1000万元以上质量事故；  </w:t>
      </w:r>
    </w:p>
    <w:p>
      <w:pPr>
        <w:ind w:firstLine="640"/>
        <w:rPr>
          <w:rFonts w:ascii="仿宋_GB2312" w:hAnsi="仿宋" w:eastAsia="仿宋_GB2312"/>
          <w:sz w:val="32"/>
          <w:szCs w:val="32"/>
        </w:rPr>
      </w:pPr>
      <w:r>
        <w:rPr>
          <w:rFonts w:hint="eastAsia" w:ascii="仿宋_GB2312" w:hAnsi="仿宋" w:eastAsia="仿宋_GB2312"/>
          <w:sz w:val="32"/>
          <w:szCs w:val="32"/>
        </w:rPr>
        <w:t>（五）供应假冒伪劣建筑材料、建筑设备的，货值达100万元以上或者影响恶劣的；</w:t>
      </w:r>
    </w:p>
    <w:p>
      <w:pPr>
        <w:ind w:firstLine="640"/>
        <w:rPr>
          <w:rFonts w:ascii="仿宋_GB2312" w:hAnsi="仿宋" w:eastAsia="仿宋_GB2312"/>
          <w:sz w:val="32"/>
          <w:szCs w:val="32"/>
        </w:rPr>
      </w:pPr>
      <w:r>
        <w:rPr>
          <w:rFonts w:hint="eastAsia" w:ascii="仿宋_GB2312" w:hAnsi="仿宋" w:eastAsia="仿宋_GB2312"/>
          <w:sz w:val="32"/>
          <w:szCs w:val="32"/>
        </w:rPr>
        <w:t>（六）参与违法建筑建设，经建设行政主管部门制止拒不改正的；</w:t>
      </w:r>
    </w:p>
    <w:p>
      <w:pPr>
        <w:ind w:firstLine="640"/>
        <w:rPr>
          <w:rFonts w:ascii="仿宋_GB2312" w:hAnsi="仿宋" w:eastAsia="仿宋_GB2312"/>
          <w:sz w:val="32"/>
          <w:szCs w:val="32"/>
        </w:rPr>
      </w:pPr>
      <w:r>
        <w:rPr>
          <w:rFonts w:hint="eastAsia" w:ascii="仿宋_GB2312" w:hAnsi="仿宋" w:eastAsia="仿宋_GB2312"/>
          <w:sz w:val="32"/>
          <w:szCs w:val="32"/>
        </w:rPr>
        <w:t xml:space="preserve"> (七）拒不执行行政处罚的、暴力抗法的；</w:t>
      </w:r>
    </w:p>
    <w:p>
      <w:pPr>
        <w:ind w:firstLine="640"/>
        <w:rPr>
          <w:rFonts w:ascii="仿宋_GB2312" w:hAnsi="仿宋" w:eastAsia="仿宋_GB2312"/>
          <w:sz w:val="32"/>
          <w:szCs w:val="32"/>
        </w:rPr>
      </w:pPr>
      <w:r>
        <w:rPr>
          <w:rFonts w:hint="eastAsia" w:ascii="仿宋_GB2312" w:hAnsi="仿宋" w:eastAsia="仿宋_GB2312"/>
          <w:sz w:val="32"/>
          <w:szCs w:val="32"/>
        </w:rPr>
        <w:t>（八）其他造成严重后果或恶劣影响或对公共安全造成严重威胁的行为。</w:t>
      </w:r>
    </w:p>
    <w:p>
      <w:pPr>
        <w:ind w:firstLine="643"/>
        <w:rPr>
          <w:rFonts w:ascii="仿宋_GB2312" w:hAnsi="仿宋" w:eastAsia="仿宋_GB2312"/>
          <w:sz w:val="32"/>
          <w:szCs w:val="32"/>
        </w:rPr>
      </w:pPr>
      <w:r>
        <w:rPr>
          <w:rFonts w:hint="eastAsia" w:ascii="仿宋_GB2312" w:hAnsi="黑体" w:eastAsia="仿宋_GB2312"/>
          <w:b/>
          <w:sz w:val="32"/>
          <w:szCs w:val="32"/>
        </w:rPr>
        <w:t>第十七条</w:t>
      </w:r>
      <w:r>
        <w:rPr>
          <w:rFonts w:hint="eastAsia" w:ascii="仿宋_GB2312" w:hAnsi="仿宋" w:eastAsia="仿宋_GB2312"/>
          <w:sz w:val="32"/>
          <w:szCs w:val="32"/>
        </w:rPr>
        <w:t xml:space="preserve"> 建设工程市场主体以不正当行为影响评价工作，一经查实，其评价结果将降低一个评价档次，履约评价得分以该档次区间最低分计。</w:t>
      </w:r>
    </w:p>
    <w:p>
      <w:pPr>
        <w:ind w:firstLine="643"/>
        <w:rPr>
          <w:rFonts w:ascii="仿宋_GB2312" w:hAnsi="仿宋" w:eastAsia="仿宋_GB2312"/>
          <w:sz w:val="32"/>
          <w:szCs w:val="32"/>
        </w:rPr>
      </w:pPr>
      <w:r>
        <w:rPr>
          <w:rFonts w:hint="eastAsia" w:ascii="仿宋_GB2312" w:hAnsi="黑体" w:eastAsia="仿宋_GB2312"/>
          <w:b/>
          <w:sz w:val="32"/>
          <w:szCs w:val="32"/>
        </w:rPr>
        <w:t>第十八条</w:t>
      </w:r>
      <w:r>
        <w:rPr>
          <w:rFonts w:hint="eastAsia" w:ascii="仿宋_GB2312" w:hAnsi="仿宋" w:eastAsia="仿宋_GB2312"/>
          <w:sz w:val="32"/>
          <w:szCs w:val="32"/>
        </w:rPr>
        <w:t xml:space="preserve"> 专业工程分包商及相关责任人员的工程履约评价由总承包商和建设单位负责。</w:t>
      </w:r>
    </w:p>
    <w:p>
      <w:pPr>
        <w:ind w:firstLine="643"/>
        <w:rPr>
          <w:rFonts w:ascii="仿宋_GB2312" w:hAnsi="仿宋" w:eastAsia="仿宋_GB2312"/>
          <w:sz w:val="32"/>
          <w:szCs w:val="32"/>
        </w:rPr>
      </w:pPr>
      <w:r>
        <w:rPr>
          <w:rFonts w:hint="eastAsia" w:ascii="仿宋_GB2312" w:hAnsi="黑体" w:eastAsia="仿宋_GB2312"/>
          <w:b/>
          <w:sz w:val="32"/>
          <w:szCs w:val="32"/>
        </w:rPr>
        <w:t>第十九条</w:t>
      </w:r>
      <w:r>
        <w:rPr>
          <w:rFonts w:hint="eastAsia" w:ascii="仿宋_GB2312" w:hAnsi="仿宋" w:eastAsia="仿宋_GB2312"/>
          <w:sz w:val="32"/>
          <w:szCs w:val="32"/>
        </w:rPr>
        <w:t xml:space="preserve"> 建设单位可以结合工程特点和具体要求，参照附件二《罗湖区建设工程市场主体履约评价表》，量化具体评分指标，制定评分表，并作为招标文件或合同的附件。</w:t>
      </w:r>
    </w:p>
    <w:p>
      <w:pPr>
        <w:ind w:firstLine="640"/>
        <w:rPr>
          <w:rFonts w:ascii="仿宋_GB2312" w:hAnsi="仿宋" w:eastAsia="仿宋_GB2312"/>
          <w:sz w:val="32"/>
          <w:szCs w:val="32"/>
        </w:rPr>
      </w:pPr>
      <w:r>
        <w:rPr>
          <w:rFonts w:hint="eastAsia" w:ascii="仿宋_GB2312" w:hAnsi="仿宋" w:eastAsia="仿宋_GB2312"/>
          <w:sz w:val="32"/>
          <w:szCs w:val="32"/>
        </w:rPr>
        <w:t>本办法附表中未涉及的承包商及相关责任人员，建设单位应参考《罗湖区建设工程市场主体履约评价表》，按工程技术管理特点，制定有针对性的履约评价表进行履约评价。</w:t>
      </w:r>
    </w:p>
    <w:p>
      <w:pPr>
        <w:ind w:firstLine="643"/>
        <w:rPr>
          <w:rFonts w:ascii="仿宋_GB2312" w:hAnsi="仿宋" w:eastAsia="仿宋_GB2312"/>
          <w:sz w:val="32"/>
          <w:szCs w:val="32"/>
        </w:rPr>
      </w:pPr>
      <w:r>
        <w:rPr>
          <w:rFonts w:hint="eastAsia" w:ascii="仿宋_GB2312" w:hAnsi="黑体" w:eastAsia="仿宋_GB2312"/>
          <w:b/>
          <w:sz w:val="32"/>
          <w:szCs w:val="32"/>
        </w:rPr>
        <w:t>第二十条</w:t>
      </w:r>
      <w:r>
        <w:rPr>
          <w:rFonts w:hint="eastAsia" w:ascii="仿宋_GB2312" w:hAnsi="仿宋" w:eastAsia="仿宋_GB2312"/>
          <w:sz w:val="32"/>
          <w:szCs w:val="32"/>
        </w:rPr>
        <w:t xml:space="preserve"> 建设单位应依照双方约定的合同条款以及本办法规定，开展履约行为的评价活动。</w:t>
      </w:r>
    </w:p>
    <w:p>
      <w:pPr>
        <w:ind w:firstLine="640"/>
        <w:rPr>
          <w:rFonts w:ascii="仿宋_GB2312" w:hAnsi="仿宋" w:eastAsia="仿宋_GB2312"/>
          <w:sz w:val="32"/>
          <w:szCs w:val="32"/>
        </w:rPr>
      </w:pPr>
      <w:r>
        <w:rPr>
          <w:rFonts w:hint="eastAsia" w:ascii="仿宋_GB2312" w:hAnsi="仿宋" w:eastAsia="仿宋_GB2312"/>
          <w:sz w:val="32"/>
          <w:szCs w:val="32"/>
        </w:rPr>
        <w:t>建设单位一般情况下应当</w:t>
      </w:r>
      <w:r>
        <w:rPr>
          <w:rFonts w:hint="eastAsia" w:ascii="仿宋_GB2312" w:hAnsi="仿宋_GB2312" w:eastAsia="仿宋_GB2312" w:cs="仿宋_GB2312"/>
          <w:sz w:val="32"/>
          <w:szCs w:val="32"/>
        </w:rPr>
        <w:t>在项目结束并完成工程竣工财务决算后10个工作日内作出履约评价，在项目结束前招标人有充足理由认为评价结果为不合格的，可以在项目实施过程中进行履约评价；并</w:t>
      </w:r>
      <w:r>
        <w:rPr>
          <w:rFonts w:hint="eastAsia" w:ascii="仿宋_GB2312" w:hAnsi="仿宋" w:eastAsia="仿宋_GB2312"/>
          <w:sz w:val="32"/>
          <w:szCs w:val="32"/>
        </w:rPr>
        <w:t>将评价表和评价认定书</w:t>
      </w:r>
      <w:r>
        <w:rPr>
          <w:rFonts w:hint="eastAsia" w:ascii="仿宋_GB2312" w:hAnsi="仿宋_GB2312" w:eastAsia="仿宋_GB2312" w:cs="仿宋_GB2312"/>
          <w:sz w:val="32"/>
          <w:szCs w:val="32"/>
        </w:rPr>
        <w:t>于5个工作日内</w:t>
      </w:r>
      <w:r>
        <w:rPr>
          <w:rFonts w:hint="eastAsia" w:ascii="仿宋_GB2312" w:hAnsi="仿宋" w:eastAsia="仿宋_GB2312"/>
          <w:sz w:val="32"/>
          <w:szCs w:val="32"/>
        </w:rPr>
        <w:t>送达履约评价当事人。</w:t>
      </w:r>
    </w:p>
    <w:p>
      <w:pPr>
        <w:ind w:firstLine="640"/>
        <w:rPr>
          <w:rFonts w:ascii="仿宋_GB2312" w:hAnsi="仿宋" w:eastAsia="仿宋_GB2312"/>
          <w:sz w:val="32"/>
          <w:szCs w:val="32"/>
        </w:rPr>
      </w:pPr>
      <w:r>
        <w:rPr>
          <w:rFonts w:hint="eastAsia" w:ascii="仿宋_GB2312" w:hAnsi="仿宋" w:eastAsia="仿宋_GB2312"/>
          <w:sz w:val="32"/>
          <w:szCs w:val="32"/>
        </w:rPr>
        <w:t>评价表和评价认定书的送达参照行政处罚决定书的送达方式执行。</w:t>
      </w:r>
    </w:p>
    <w:p>
      <w:pPr>
        <w:ind w:firstLine="643"/>
        <w:rPr>
          <w:rFonts w:ascii="仿宋_GB2312" w:hAnsi="仿宋" w:eastAsia="仿宋_GB2312"/>
          <w:sz w:val="32"/>
          <w:szCs w:val="32"/>
        </w:rPr>
      </w:pPr>
      <w:r>
        <w:rPr>
          <w:rFonts w:hint="eastAsia" w:ascii="仿宋_GB2312" w:hAnsi="黑体" w:eastAsia="仿宋_GB2312"/>
          <w:b/>
          <w:sz w:val="32"/>
          <w:szCs w:val="32"/>
        </w:rPr>
        <w:t>第二十一条</w:t>
      </w:r>
      <w:r>
        <w:rPr>
          <w:rFonts w:hint="eastAsia" w:ascii="仿宋_GB2312" w:hAnsi="仿宋" w:eastAsia="仿宋_GB2312"/>
          <w:sz w:val="32"/>
          <w:szCs w:val="32"/>
        </w:rPr>
        <w:t xml:space="preserve">  评价表和评价认定书送达当事人后5个工作日内为异议期，异议期内当事人可向建设单位提出书面异议申请。书面异议申请应当载明异议的具体请求以及事实和理由。</w:t>
      </w:r>
    </w:p>
    <w:p>
      <w:pPr>
        <w:ind w:firstLine="640"/>
        <w:rPr>
          <w:rFonts w:ascii="仿宋_GB2312" w:hAnsi="仿宋" w:eastAsia="仿宋_GB2312"/>
          <w:sz w:val="32"/>
          <w:szCs w:val="32"/>
        </w:rPr>
      </w:pPr>
      <w:r>
        <w:rPr>
          <w:rFonts w:hint="eastAsia" w:ascii="仿宋_GB2312" w:hAnsi="仿宋" w:eastAsia="仿宋_GB2312"/>
          <w:sz w:val="32"/>
          <w:szCs w:val="32"/>
        </w:rPr>
        <w:t>建设单位应于收到书面异议申请后20个工作日内完成复核，并告知当事人。</w:t>
      </w:r>
    </w:p>
    <w:p>
      <w:pPr>
        <w:ind w:firstLine="640"/>
        <w:rPr>
          <w:rFonts w:ascii="仿宋_GB2312" w:hAnsi="仿宋" w:eastAsia="仿宋_GB2312"/>
          <w:sz w:val="32"/>
          <w:szCs w:val="32"/>
        </w:rPr>
      </w:pPr>
      <w:r>
        <w:rPr>
          <w:rFonts w:hint="eastAsia" w:ascii="仿宋_GB2312" w:hAnsi="仿宋" w:eastAsia="仿宋_GB2312"/>
          <w:sz w:val="32"/>
          <w:szCs w:val="32"/>
        </w:rPr>
        <w:t>异议期内，当事人未提出异议申请的，建设单位应在期满后2个工作日内报送区建设部门，由区建设部门予以采集和录入。</w:t>
      </w:r>
    </w:p>
    <w:p>
      <w:pPr>
        <w:ind w:firstLine="640"/>
        <w:rPr>
          <w:rFonts w:ascii="仿宋_GB2312" w:hAnsi="仿宋" w:eastAsia="仿宋_GB2312"/>
          <w:sz w:val="32"/>
          <w:szCs w:val="32"/>
        </w:rPr>
      </w:pPr>
    </w:p>
    <w:p>
      <w:pPr>
        <w:pStyle w:val="2"/>
        <w:rPr>
          <w:rFonts w:ascii="仿宋_GB2312" w:hAnsi="仿宋" w:eastAsia="仿宋_GB2312"/>
          <w:b/>
          <w:bCs/>
          <w:szCs w:val="32"/>
        </w:rPr>
      </w:pPr>
      <w:r>
        <w:rPr>
          <w:rFonts w:hint="eastAsia" w:ascii="仿宋_GB2312" w:hAnsi="仿宋" w:eastAsia="仿宋_GB2312"/>
          <w:b/>
          <w:bCs/>
          <w:szCs w:val="32"/>
        </w:rPr>
        <w:t>第五章  信用信息应用</w:t>
      </w:r>
    </w:p>
    <w:p>
      <w:pPr>
        <w:ind w:firstLine="640"/>
        <w:rPr>
          <w:rFonts w:ascii="仿宋_GB2312" w:eastAsia="仿宋_GB2312"/>
          <w:sz w:val="32"/>
          <w:szCs w:val="32"/>
        </w:rPr>
      </w:pPr>
    </w:p>
    <w:p>
      <w:pPr>
        <w:ind w:firstLine="643"/>
        <w:rPr>
          <w:rFonts w:ascii="仿宋_GB2312" w:hAnsi="仿宋" w:eastAsia="仿宋_GB2312"/>
          <w:sz w:val="32"/>
          <w:szCs w:val="32"/>
        </w:rPr>
      </w:pPr>
      <w:r>
        <w:rPr>
          <w:rFonts w:hint="eastAsia" w:ascii="仿宋_GB2312" w:hAnsi="黑体" w:eastAsia="仿宋_GB2312"/>
          <w:b/>
          <w:sz w:val="32"/>
          <w:szCs w:val="32"/>
        </w:rPr>
        <w:t>第二十二条</w:t>
      </w:r>
      <w:r>
        <w:rPr>
          <w:rFonts w:hint="eastAsia" w:ascii="仿宋_GB2312" w:hAnsi="仿宋" w:eastAsia="仿宋_GB2312"/>
          <w:b/>
          <w:sz w:val="32"/>
          <w:szCs w:val="32"/>
        </w:rPr>
        <w:t xml:space="preserve"> </w:t>
      </w:r>
      <w:r>
        <w:rPr>
          <w:rFonts w:hint="eastAsia" w:ascii="仿宋_GB2312" w:hAnsi="仿宋" w:eastAsia="仿宋_GB2312"/>
          <w:sz w:val="32"/>
          <w:szCs w:val="32"/>
        </w:rPr>
        <w:t>区建设部门负责将采集到的信用信息录入罗湖电子政务网予以公布，同时上报市建设部门。</w:t>
      </w:r>
    </w:p>
    <w:p>
      <w:pPr>
        <w:ind w:firstLine="643"/>
        <w:rPr>
          <w:rFonts w:ascii="仿宋_GB2312" w:hAnsi="仿宋" w:eastAsia="仿宋_GB2312"/>
          <w:sz w:val="32"/>
          <w:szCs w:val="32"/>
        </w:rPr>
      </w:pPr>
      <w:r>
        <w:rPr>
          <w:rFonts w:hint="eastAsia" w:ascii="仿宋_GB2312" w:hAnsi="黑体" w:eastAsia="仿宋_GB2312"/>
          <w:b/>
          <w:sz w:val="32"/>
          <w:szCs w:val="32"/>
        </w:rPr>
        <w:t>第二十三条</w:t>
      </w:r>
      <w:r>
        <w:rPr>
          <w:rFonts w:hint="eastAsia" w:ascii="仿宋_GB2312" w:hAnsi="仿宋" w:eastAsia="仿宋_GB2312"/>
          <w:b/>
          <w:sz w:val="32"/>
          <w:szCs w:val="32"/>
        </w:rPr>
        <w:t xml:space="preserve"> </w:t>
      </w:r>
      <w:r>
        <w:rPr>
          <w:rFonts w:hint="eastAsia" w:ascii="仿宋_GB2312" w:hAnsi="仿宋" w:eastAsia="仿宋_GB2312"/>
          <w:sz w:val="32"/>
          <w:szCs w:val="32"/>
        </w:rPr>
        <w:t>对从事建设工程招投标活动的市场主体，信用评价按照《深圳市工程建设市场主体信用管理办法》的规定实行动态加减分制。依据信用记录得分，市建设部门对工程建设市场主体信用等级进行动态评定。信用等级共划分为AAA、AA、A、B、C五级。信用记录得分与其对应的信用等级如下表所示：</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4"/>
        <w:gridCol w:w="2497"/>
        <w:gridCol w:w="2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24" w:type="dxa"/>
            <w:vAlign w:val="center"/>
          </w:tcPr>
          <w:p>
            <w:pPr>
              <w:ind w:firstLine="640"/>
              <w:rPr>
                <w:rFonts w:ascii="仿宋_GB2312" w:hAnsi="仿宋" w:eastAsia="仿宋_GB2312"/>
                <w:sz w:val="32"/>
                <w:szCs w:val="32"/>
              </w:rPr>
            </w:pPr>
            <w:r>
              <w:rPr>
                <w:rFonts w:hint="eastAsia" w:ascii="仿宋_GB2312" w:hAnsi="仿宋" w:eastAsia="仿宋_GB2312"/>
                <w:sz w:val="32"/>
                <w:szCs w:val="32"/>
              </w:rPr>
              <w:t>信用评价得分</w:t>
            </w:r>
          </w:p>
        </w:tc>
        <w:tc>
          <w:tcPr>
            <w:tcW w:w="2497" w:type="dxa"/>
            <w:vAlign w:val="center"/>
          </w:tcPr>
          <w:p>
            <w:pPr>
              <w:ind w:firstLine="640"/>
              <w:rPr>
                <w:rFonts w:ascii="仿宋_GB2312" w:hAnsi="仿宋" w:eastAsia="仿宋_GB2312"/>
                <w:sz w:val="32"/>
                <w:szCs w:val="32"/>
              </w:rPr>
            </w:pPr>
            <w:r>
              <w:rPr>
                <w:rFonts w:hint="eastAsia" w:ascii="仿宋_GB2312" w:hAnsi="仿宋" w:eastAsia="仿宋_GB2312"/>
                <w:sz w:val="32"/>
                <w:szCs w:val="32"/>
              </w:rPr>
              <w:t>等级</w:t>
            </w:r>
          </w:p>
        </w:tc>
        <w:tc>
          <w:tcPr>
            <w:tcW w:w="2497" w:type="dxa"/>
            <w:vAlign w:val="center"/>
          </w:tcPr>
          <w:p>
            <w:pPr>
              <w:ind w:firstLine="640"/>
              <w:rPr>
                <w:rFonts w:ascii="仿宋_GB2312" w:hAnsi="仿宋" w:eastAsia="仿宋_GB2312"/>
                <w:sz w:val="32"/>
                <w:szCs w:val="32"/>
              </w:rPr>
            </w:pPr>
            <w:r>
              <w:rPr>
                <w:rFonts w:hint="eastAsia" w:ascii="仿宋_GB2312" w:hAnsi="仿宋" w:eastAsia="仿宋_GB2312"/>
                <w:sz w:val="32"/>
                <w:szCs w:val="32"/>
              </w:rPr>
              <w:t>信用情况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24" w:type="dxa"/>
            <w:vAlign w:val="center"/>
          </w:tcPr>
          <w:p>
            <w:pPr>
              <w:ind w:firstLine="640"/>
              <w:rPr>
                <w:rFonts w:ascii="仿宋_GB2312" w:hAnsi="仿宋" w:eastAsia="仿宋_GB2312"/>
                <w:sz w:val="32"/>
                <w:szCs w:val="32"/>
              </w:rPr>
            </w:pPr>
            <w:r>
              <w:rPr>
                <w:rFonts w:hint="eastAsia" w:ascii="仿宋_GB2312" w:hAnsi="仿宋" w:eastAsia="仿宋_GB2312"/>
                <w:sz w:val="32"/>
                <w:szCs w:val="32"/>
              </w:rPr>
              <w:t>100以上</w:t>
            </w:r>
          </w:p>
        </w:tc>
        <w:tc>
          <w:tcPr>
            <w:tcW w:w="2497" w:type="dxa"/>
            <w:vAlign w:val="center"/>
          </w:tcPr>
          <w:p>
            <w:pPr>
              <w:ind w:firstLine="640"/>
              <w:rPr>
                <w:rFonts w:ascii="仿宋_GB2312" w:hAnsi="仿宋" w:eastAsia="仿宋_GB2312"/>
                <w:sz w:val="32"/>
                <w:szCs w:val="32"/>
              </w:rPr>
            </w:pPr>
            <w:r>
              <w:rPr>
                <w:rFonts w:hint="eastAsia" w:ascii="仿宋_GB2312" w:hAnsi="仿宋" w:eastAsia="仿宋_GB2312"/>
                <w:sz w:val="32"/>
                <w:szCs w:val="32"/>
              </w:rPr>
              <w:t>AAA</w:t>
            </w:r>
          </w:p>
        </w:tc>
        <w:tc>
          <w:tcPr>
            <w:tcW w:w="2497" w:type="dxa"/>
            <w:vAlign w:val="center"/>
          </w:tcPr>
          <w:p>
            <w:pPr>
              <w:ind w:firstLine="640"/>
              <w:rPr>
                <w:rFonts w:ascii="仿宋_GB2312" w:hAnsi="仿宋" w:eastAsia="仿宋_GB2312"/>
                <w:sz w:val="32"/>
                <w:szCs w:val="32"/>
              </w:rPr>
            </w:pPr>
            <w:r>
              <w:rPr>
                <w:rFonts w:hint="eastAsia" w:ascii="仿宋_GB2312" w:hAnsi="仿宋" w:eastAsia="仿宋_GB2312"/>
                <w:sz w:val="32"/>
                <w:szCs w:val="32"/>
              </w:rPr>
              <w:t>优秀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24" w:type="dxa"/>
            <w:vAlign w:val="center"/>
          </w:tcPr>
          <w:p>
            <w:pPr>
              <w:ind w:firstLine="640"/>
              <w:rPr>
                <w:rFonts w:ascii="仿宋_GB2312" w:hAnsi="仿宋" w:eastAsia="仿宋_GB2312"/>
                <w:sz w:val="32"/>
                <w:szCs w:val="32"/>
              </w:rPr>
            </w:pPr>
            <w:r>
              <w:rPr>
                <w:rFonts w:hint="eastAsia" w:ascii="仿宋_GB2312" w:hAnsi="仿宋" w:eastAsia="仿宋_GB2312"/>
                <w:sz w:val="32"/>
                <w:szCs w:val="32"/>
              </w:rPr>
              <w:t>90~99</w:t>
            </w:r>
          </w:p>
        </w:tc>
        <w:tc>
          <w:tcPr>
            <w:tcW w:w="2497" w:type="dxa"/>
            <w:vAlign w:val="center"/>
          </w:tcPr>
          <w:p>
            <w:pPr>
              <w:ind w:firstLine="640"/>
              <w:rPr>
                <w:rFonts w:ascii="仿宋_GB2312" w:hAnsi="仿宋" w:eastAsia="仿宋_GB2312"/>
                <w:sz w:val="32"/>
                <w:szCs w:val="32"/>
              </w:rPr>
            </w:pPr>
            <w:r>
              <w:rPr>
                <w:rFonts w:hint="eastAsia" w:ascii="仿宋_GB2312" w:hAnsi="仿宋" w:eastAsia="仿宋_GB2312"/>
                <w:sz w:val="32"/>
                <w:szCs w:val="32"/>
              </w:rPr>
              <w:t>AA</w:t>
            </w:r>
          </w:p>
        </w:tc>
        <w:tc>
          <w:tcPr>
            <w:tcW w:w="2497" w:type="dxa"/>
            <w:vAlign w:val="center"/>
          </w:tcPr>
          <w:p>
            <w:pPr>
              <w:ind w:firstLine="640"/>
              <w:rPr>
                <w:rFonts w:ascii="仿宋_GB2312" w:hAnsi="仿宋" w:eastAsia="仿宋_GB2312"/>
                <w:sz w:val="32"/>
                <w:szCs w:val="32"/>
              </w:rPr>
            </w:pPr>
            <w:r>
              <w:rPr>
                <w:rFonts w:hint="eastAsia" w:ascii="仿宋_GB2312" w:hAnsi="仿宋" w:eastAsia="仿宋_GB2312"/>
                <w:sz w:val="32"/>
                <w:szCs w:val="32"/>
              </w:rPr>
              <w:t>良好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3524" w:type="dxa"/>
            <w:vAlign w:val="center"/>
          </w:tcPr>
          <w:p>
            <w:pPr>
              <w:ind w:firstLine="640"/>
              <w:rPr>
                <w:rFonts w:ascii="仿宋_GB2312" w:hAnsi="仿宋" w:eastAsia="仿宋_GB2312"/>
                <w:sz w:val="32"/>
                <w:szCs w:val="32"/>
              </w:rPr>
            </w:pPr>
            <w:r>
              <w:rPr>
                <w:rFonts w:hint="eastAsia" w:ascii="仿宋_GB2312" w:hAnsi="仿宋" w:eastAsia="仿宋_GB2312"/>
                <w:sz w:val="32"/>
                <w:szCs w:val="32"/>
              </w:rPr>
              <w:t>80~99</w:t>
            </w:r>
          </w:p>
        </w:tc>
        <w:tc>
          <w:tcPr>
            <w:tcW w:w="2497" w:type="dxa"/>
            <w:vAlign w:val="center"/>
          </w:tcPr>
          <w:p>
            <w:pPr>
              <w:ind w:firstLine="640"/>
              <w:rPr>
                <w:rFonts w:ascii="仿宋_GB2312" w:hAnsi="仿宋" w:eastAsia="仿宋_GB2312"/>
                <w:sz w:val="32"/>
                <w:szCs w:val="32"/>
              </w:rPr>
            </w:pPr>
            <w:r>
              <w:rPr>
                <w:rFonts w:hint="eastAsia" w:ascii="仿宋_GB2312" w:hAnsi="仿宋" w:eastAsia="仿宋_GB2312"/>
                <w:sz w:val="32"/>
                <w:szCs w:val="32"/>
              </w:rPr>
              <w:t>A</w:t>
            </w:r>
          </w:p>
        </w:tc>
        <w:tc>
          <w:tcPr>
            <w:tcW w:w="2497" w:type="dxa"/>
            <w:vAlign w:val="center"/>
          </w:tcPr>
          <w:p>
            <w:pPr>
              <w:ind w:firstLine="640"/>
              <w:rPr>
                <w:rFonts w:ascii="仿宋_GB2312" w:hAnsi="仿宋" w:eastAsia="仿宋_GB2312"/>
                <w:sz w:val="32"/>
                <w:szCs w:val="32"/>
              </w:rPr>
            </w:pPr>
            <w:r>
              <w:rPr>
                <w:rFonts w:hint="eastAsia" w:ascii="仿宋_GB2312" w:hAnsi="仿宋" w:eastAsia="仿宋_GB2312"/>
                <w:sz w:val="32"/>
                <w:szCs w:val="32"/>
              </w:rPr>
              <w:t>较好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24" w:type="dxa"/>
            <w:vAlign w:val="center"/>
          </w:tcPr>
          <w:p>
            <w:pPr>
              <w:ind w:firstLine="640"/>
              <w:rPr>
                <w:rFonts w:ascii="仿宋_GB2312" w:hAnsi="仿宋" w:eastAsia="仿宋_GB2312"/>
                <w:sz w:val="32"/>
                <w:szCs w:val="32"/>
              </w:rPr>
            </w:pPr>
            <w:r>
              <w:rPr>
                <w:rFonts w:hint="eastAsia" w:ascii="仿宋_GB2312" w:hAnsi="仿宋" w:eastAsia="仿宋_GB2312"/>
                <w:sz w:val="32"/>
                <w:szCs w:val="32"/>
              </w:rPr>
              <w:t>60~79</w:t>
            </w:r>
          </w:p>
        </w:tc>
        <w:tc>
          <w:tcPr>
            <w:tcW w:w="2497" w:type="dxa"/>
            <w:vAlign w:val="center"/>
          </w:tcPr>
          <w:p>
            <w:pPr>
              <w:ind w:firstLine="640"/>
              <w:rPr>
                <w:rFonts w:ascii="仿宋_GB2312" w:hAnsi="仿宋" w:eastAsia="仿宋_GB2312"/>
                <w:sz w:val="32"/>
                <w:szCs w:val="32"/>
              </w:rPr>
            </w:pPr>
            <w:r>
              <w:rPr>
                <w:rFonts w:hint="eastAsia" w:ascii="仿宋_GB2312" w:hAnsi="仿宋" w:eastAsia="仿宋_GB2312"/>
                <w:sz w:val="32"/>
                <w:szCs w:val="32"/>
              </w:rPr>
              <w:t>B</w:t>
            </w:r>
          </w:p>
        </w:tc>
        <w:tc>
          <w:tcPr>
            <w:tcW w:w="2497" w:type="dxa"/>
            <w:vAlign w:val="center"/>
          </w:tcPr>
          <w:p>
            <w:pPr>
              <w:ind w:firstLine="640"/>
              <w:rPr>
                <w:rFonts w:ascii="仿宋_GB2312" w:hAnsi="仿宋" w:eastAsia="仿宋_GB2312"/>
                <w:sz w:val="32"/>
                <w:szCs w:val="32"/>
              </w:rPr>
            </w:pPr>
            <w:r>
              <w:rPr>
                <w:rFonts w:hint="eastAsia" w:ascii="仿宋_GB2312" w:hAnsi="仿宋" w:eastAsia="仿宋_GB2312"/>
                <w:sz w:val="32"/>
                <w:szCs w:val="32"/>
              </w:rPr>
              <w:t>一般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24" w:type="dxa"/>
            <w:vAlign w:val="center"/>
          </w:tcPr>
          <w:p>
            <w:pPr>
              <w:ind w:firstLine="640"/>
              <w:rPr>
                <w:rFonts w:ascii="仿宋_GB2312" w:hAnsi="仿宋" w:eastAsia="仿宋_GB2312"/>
                <w:sz w:val="32"/>
                <w:szCs w:val="32"/>
              </w:rPr>
            </w:pPr>
            <w:r>
              <w:rPr>
                <w:rFonts w:hint="eastAsia" w:ascii="仿宋_GB2312" w:hAnsi="仿宋" w:eastAsia="仿宋_GB2312"/>
                <w:sz w:val="32"/>
                <w:szCs w:val="32"/>
              </w:rPr>
              <w:t>0~59</w:t>
            </w:r>
          </w:p>
        </w:tc>
        <w:tc>
          <w:tcPr>
            <w:tcW w:w="2497" w:type="dxa"/>
            <w:vAlign w:val="center"/>
          </w:tcPr>
          <w:p>
            <w:pPr>
              <w:ind w:firstLine="640"/>
              <w:rPr>
                <w:rFonts w:ascii="仿宋_GB2312" w:hAnsi="仿宋" w:eastAsia="仿宋_GB2312"/>
                <w:sz w:val="32"/>
                <w:szCs w:val="32"/>
              </w:rPr>
            </w:pPr>
            <w:r>
              <w:rPr>
                <w:rFonts w:hint="eastAsia" w:ascii="仿宋_GB2312" w:hAnsi="仿宋" w:eastAsia="仿宋_GB2312"/>
                <w:sz w:val="32"/>
                <w:szCs w:val="32"/>
              </w:rPr>
              <w:t>C</w:t>
            </w:r>
          </w:p>
        </w:tc>
        <w:tc>
          <w:tcPr>
            <w:tcW w:w="2497" w:type="dxa"/>
            <w:vAlign w:val="center"/>
          </w:tcPr>
          <w:p>
            <w:pPr>
              <w:ind w:firstLine="640"/>
              <w:rPr>
                <w:rFonts w:ascii="仿宋_GB2312" w:hAnsi="仿宋" w:eastAsia="仿宋_GB2312"/>
                <w:sz w:val="32"/>
                <w:szCs w:val="32"/>
              </w:rPr>
            </w:pPr>
            <w:r>
              <w:rPr>
                <w:rFonts w:hint="eastAsia" w:ascii="仿宋_GB2312" w:hAnsi="仿宋" w:eastAsia="仿宋_GB2312"/>
                <w:sz w:val="32"/>
                <w:szCs w:val="32"/>
              </w:rPr>
              <w:t>差</w:t>
            </w:r>
          </w:p>
        </w:tc>
      </w:tr>
    </w:tbl>
    <w:p>
      <w:pPr>
        <w:ind w:firstLine="643"/>
        <w:rPr>
          <w:rFonts w:ascii="仿宋_GB2312" w:hAnsi="仿宋" w:eastAsia="仿宋_GB2312"/>
          <w:sz w:val="32"/>
          <w:szCs w:val="32"/>
        </w:rPr>
      </w:pPr>
      <w:r>
        <w:rPr>
          <w:rFonts w:hint="eastAsia" w:ascii="仿宋_GB2312" w:hAnsi="黑体" w:eastAsia="仿宋_GB2312"/>
          <w:b/>
          <w:sz w:val="32"/>
          <w:szCs w:val="32"/>
        </w:rPr>
        <w:t>第二十四条</w:t>
      </w:r>
      <w:r>
        <w:rPr>
          <w:rFonts w:hint="eastAsia" w:ascii="仿宋_GB2312" w:hAnsi="仿宋" w:eastAsia="仿宋_GB2312"/>
          <w:sz w:val="32"/>
          <w:szCs w:val="32"/>
        </w:rPr>
        <w:t xml:space="preserve"> 对工程履约评价为“不合格”的承包商，采取下列处理措施：</w:t>
      </w:r>
    </w:p>
    <w:p>
      <w:pPr>
        <w:ind w:firstLine="640"/>
        <w:rPr>
          <w:rFonts w:ascii="仿宋_GB2312" w:hAnsi="仿宋" w:eastAsia="仿宋_GB2312"/>
          <w:sz w:val="32"/>
          <w:szCs w:val="32"/>
        </w:rPr>
      </w:pPr>
      <w:r>
        <w:rPr>
          <w:rFonts w:hint="eastAsia" w:ascii="仿宋_GB2312" w:hAnsi="仿宋" w:eastAsia="仿宋_GB2312"/>
          <w:sz w:val="32"/>
          <w:szCs w:val="32"/>
        </w:rPr>
        <w:t>（一）属于区预选企业库的，</w:t>
      </w:r>
      <w:r>
        <w:rPr>
          <w:rFonts w:hint="eastAsia" w:ascii="仿宋_GB2312" w:hAnsi="仿宋_GB2312" w:eastAsia="仿宋_GB2312" w:cs="仿宋_GB2312"/>
          <w:sz w:val="32"/>
          <w:szCs w:val="32"/>
        </w:rPr>
        <w:t>取消预选企业资格，且不得进入下一期预选企业</w:t>
      </w:r>
      <w:r>
        <w:rPr>
          <w:rFonts w:hint="eastAsia" w:ascii="仿宋_GB2312" w:hAnsi="仿宋" w:eastAsia="仿宋_GB2312"/>
          <w:sz w:val="32"/>
          <w:szCs w:val="32"/>
        </w:rPr>
        <w:t>；</w:t>
      </w:r>
    </w:p>
    <w:p>
      <w:pPr>
        <w:ind w:firstLine="640"/>
        <w:rPr>
          <w:rFonts w:ascii="仿宋_GB2312" w:hAnsi="仿宋" w:eastAsia="仿宋_GB2312"/>
          <w:sz w:val="32"/>
          <w:szCs w:val="32"/>
        </w:rPr>
      </w:pPr>
      <w:r>
        <w:rPr>
          <w:rFonts w:hint="eastAsia" w:ascii="仿宋_GB2312" w:hAnsi="仿宋" w:eastAsia="仿宋_GB2312"/>
          <w:sz w:val="32"/>
          <w:szCs w:val="32"/>
        </w:rPr>
        <w:t>（二）由区建设部门约谈其相关负责人或责任人；</w:t>
      </w:r>
    </w:p>
    <w:p>
      <w:pPr>
        <w:ind w:firstLine="640"/>
        <w:rPr>
          <w:rFonts w:ascii="仿宋_GB2312" w:hAnsi="仿宋" w:eastAsia="仿宋_GB2312"/>
          <w:sz w:val="32"/>
          <w:szCs w:val="32"/>
        </w:rPr>
      </w:pPr>
      <w:r>
        <w:rPr>
          <w:rFonts w:hint="eastAsia" w:ascii="仿宋_GB2312" w:hAnsi="仿宋" w:eastAsia="仿宋_GB2312"/>
          <w:sz w:val="32"/>
          <w:szCs w:val="32"/>
        </w:rPr>
        <w:t>（三）列为重点监管对象，加大监管力度和检查频率。</w:t>
      </w:r>
    </w:p>
    <w:p>
      <w:pPr>
        <w:ind w:firstLine="643"/>
        <w:rPr>
          <w:rFonts w:ascii="仿宋_GB2312" w:hAnsi="仿宋" w:eastAsia="仿宋_GB2312"/>
          <w:sz w:val="32"/>
          <w:szCs w:val="32"/>
        </w:rPr>
      </w:pPr>
      <w:r>
        <w:rPr>
          <w:rFonts w:hint="eastAsia" w:ascii="仿宋_GB2312" w:hAnsi="黑体" w:eastAsia="仿宋_GB2312"/>
          <w:b/>
          <w:sz w:val="32"/>
          <w:szCs w:val="32"/>
        </w:rPr>
        <w:t>第二十五条</w:t>
      </w:r>
      <w:r>
        <w:rPr>
          <w:rFonts w:hint="eastAsia" w:ascii="仿宋_GB2312" w:hAnsi="仿宋" w:eastAsia="仿宋_GB2312"/>
          <w:sz w:val="32"/>
          <w:szCs w:val="32"/>
        </w:rPr>
        <w:t xml:space="preserve"> 对受到市区建设部门行政处罚、被认定存在不良行为、工程履约评价为“不合格”及信用等级为C级的建设工程市场主体，列入罗湖区政府投资建设工程“黑名单”，在定标活动中优先淘汰。对于履约评价等级为“优”的建设工程市场主体，列入罗湖区政府投资建设工程“红名单”，给予通报表扬。</w:t>
      </w:r>
    </w:p>
    <w:p>
      <w:pPr>
        <w:ind w:firstLine="640"/>
        <w:rPr>
          <w:rFonts w:ascii="仿宋_GB2312" w:hAnsi="仿宋" w:eastAsia="仿宋_GB2312"/>
          <w:sz w:val="32"/>
          <w:szCs w:val="32"/>
        </w:rPr>
      </w:pPr>
      <w:r>
        <w:rPr>
          <w:rFonts w:hint="eastAsia" w:ascii="仿宋_GB2312" w:hAnsi="仿宋" w:eastAsia="仿宋_GB2312"/>
          <w:sz w:val="32"/>
          <w:szCs w:val="32"/>
        </w:rPr>
        <w:t>对于被列入罗湖区政府投资建设工程“黑名单”和“红名单”的建设工程市场主体，由区建设部门在罗湖区电子政务网予以曝光，曝光时间如下:</w:t>
      </w:r>
    </w:p>
    <w:p>
      <w:pPr>
        <w:ind w:firstLine="640"/>
        <w:rPr>
          <w:rFonts w:ascii="仿宋_GB2312" w:hAnsi="仿宋" w:eastAsia="仿宋_GB2312"/>
          <w:sz w:val="32"/>
          <w:szCs w:val="32"/>
        </w:rPr>
      </w:pPr>
      <w:r>
        <w:rPr>
          <w:rFonts w:hint="eastAsia" w:ascii="仿宋_GB2312" w:hAnsi="仿宋" w:eastAsia="仿宋_GB2312"/>
          <w:sz w:val="32"/>
          <w:szCs w:val="32"/>
        </w:rPr>
        <w:t>（一）受到市区建设部门行政处罚的，曝光期限为1年；</w:t>
      </w:r>
    </w:p>
    <w:p>
      <w:pPr>
        <w:ind w:firstLine="640"/>
        <w:rPr>
          <w:rFonts w:ascii="仿宋_GB2312" w:hAnsi="仿宋" w:eastAsia="仿宋_GB2312"/>
          <w:sz w:val="32"/>
          <w:szCs w:val="32"/>
        </w:rPr>
      </w:pPr>
      <w:r>
        <w:rPr>
          <w:rFonts w:hint="eastAsia" w:ascii="仿宋_GB2312" w:hAnsi="仿宋" w:eastAsia="仿宋_GB2312"/>
          <w:sz w:val="32"/>
          <w:szCs w:val="32"/>
        </w:rPr>
        <w:t>（二）被认定存在不良行为、履约评价为不合格的，曝光期限为9个月；</w:t>
      </w:r>
    </w:p>
    <w:p>
      <w:pPr>
        <w:ind w:firstLine="640"/>
        <w:rPr>
          <w:rFonts w:ascii="仿宋_GB2312" w:hAnsi="仿宋" w:eastAsia="仿宋_GB2312"/>
          <w:sz w:val="32"/>
          <w:szCs w:val="32"/>
        </w:rPr>
      </w:pPr>
      <w:r>
        <w:rPr>
          <w:rFonts w:hint="eastAsia" w:ascii="仿宋_GB2312" w:hAnsi="仿宋" w:eastAsia="仿宋_GB2312"/>
          <w:sz w:val="32"/>
          <w:szCs w:val="32"/>
        </w:rPr>
        <w:t>（三）履约评价为合格的，曝光期限为6个月</w:t>
      </w:r>
    </w:p>
    <w:p>
      <w:pPr>
        <w:ind w:firstLine="640"/>
        <w:rPr>
          <w:rFonts w:ascii="仿宋_GB2312" w:hAnsi="仿宋" w:eastAsia="仿宋_GB2312"/>
          <w:sz w:val="32"/>
          <w:szCs w:val="32"/>
        </w:rPr>
      </w:pPr>
      <w:r>
        <w:rPr>
          <w:rFonts w:hint="eastAsia" w:ascii="仿宋_GB2312" w:hAnsi="仿宋" w:eastAsia="仿宋_GB2312"/>
          <w:sz w:val="32"/>
          <w:szCs w:val="32"/>
        </w:rPr>
        <w:t>（四）红名单的曝光时间为3个月。</w:t>
      </w:r>
    </w:p>
    <w:p>
      <w:pPr>
        <w:ind w:firstLine="643"/>
        <w:rPr>
          <w:rFonts w:ascii="仿宋_GB2312" w:hAnsi="仿宋" w:eastAsia="仿宋_GB2312"/>
          <w:sz w:val="32"/>
          <w:szCs w:val="32"/>
        </w:rPr>
      </w:pPr>
      <w:r>
        <w:rPr>
          <w:rFonts w:hint="eastAsia" w:ascii="仿宋_GB2312" w:hAnsi="黑体" w:eastAsia="仿宋_GB2312"/>
          <w:b/>
          <w:sz w:val="32"/>
          <w:szCs w:val="32"/>
        </w:rPr>
        <w:t xml:space="preserve">第二十六条 </w:t>
      </w:r>
      <w:r>
        <w:rPr>
          <w:rFonts w:hint="eastAsia" w:ascii="仿宋_GB2312" w:hAnsi="仿宋" w:eastAsia="仿宋_GB2312"/>
          <w:sz w:val="32"/>
          <w:szCs w:val="32"/>
        </w:rPr>
        <w:t>对市建设部门官网公布的信用等级为AAA、AA级的诚信企业，区建设部门对其申请的行政许可及服务事项缩短办理时限并优先办理，部分事项实行告知承诺制，并在区政府投资建设工程项目招投标中依法予以优先考虑。</w:t>
      </w:r>
    </w:p>
    <w:p>
      <w:pPr>
        <w:ind w:firstLine="643"/>
        <w:rPr>
          <w:rFonts w:ascii="仿宋_GB2312" w:hAnsi="仿宋" w:eastAsia="仿宋_GB2312"/>
          <w:sz w:val="32"/>
          <w:szCs w:val="32"/>
        </w:rPr>
      </w:pPr>
      <w:r>
        <w:rPr>
          <w:rFonts w:hint="eastAsia" w:ascii="仿宋_GB2312" w:hAnsi="黑体" w:eastAsia="仿宋_GB2312"/>
          <w:b/>
          <w:sz w:val="32"/>
          <w:szCs w:val="32"/>
        </w:rPr>
        <w:t xml:space="preserve">第二十七条 </w:t>
      </w:r>
      <w:r>
        <w:rPr>
          <w:rFonts w:hint="eastAsia" w:ascii="仿宋_GB2312" w:hAnsi="仿宋" w:eastAsia="仿宋_GB2312"/>
          <w:sz w:val="32"/>
          <w:szCs w:val="32"/>
        </w:rPr>
        <w:t>招标人在定标前应当查询投标人的信用信息提供给定标委员会作为定标参考。</w:t>
      </w:r>
    </w:p>
    <w:p>
      <w:pPr>
        <w:ind w:firstLine="640"/>
        <w:rPr>
          <w:rFonts w:ascii="仿宋_GB2312" w:hAnsi="仿宋" w:eastAsia="仿宋_GB2312"/>
          <w:sz w:val="32"/>
          <w:szCs w:val="32"/>
        </w:rPr>
      </w:pPr>
      <w:r>
        <w:rPr>
          <w:rFonts w:hint="eastAsia" w:ascii="仿宋_GB2312" w:hAnsi="仿宋" w:eastAsia="仿宋_GB2312"/>
          <w:sz w:val="32"/>
          <w:szCs w:val="32"/>
        </w:rPr>
        <w:t>招标人制定定标工作规则应将信用信息纳入择优要素。</w:t>
      </w:r>
    </w:p>
    <w:p>
      <w:pPr>
        <w:ind w:firstLine="643"/>
        <w:rPr>
          <w:rFonts w:ascii="仿宋_GB2312" w:hAnsi="仿宋" w:eastAsia="仿宋_GB2312"/>
          <w:sz w:val="32"/>
          <w:szCs w:val="32"/>
        </w:rPr>
      </w:pPr>
      <w:r>
        <w:rPr>
          <w:rFonts w:hint="eastAsia" w:ascii="仿宋_GB2312" w:hAnsi="黑体" w:eastAsia="仿宋_GB2312"/>
          <w:b/>
          <w:sz w:val="32"/>
          <w:szCs w:val="32"/>
        </w:rPr>
        <w:t xml:space="preserve">第二十八条 </w:t>
      </w:r>
      <w:r>
        <w:rPr>
          <w:rFonts w:hint="eastAsia" w:ascii="仿宋_GB2312" w:hAnsi="仿宋" w:eastAsia="仿宋_GB2312"/>
          <w:sz w:val="32"/>
          <w:szCs w:val="32"/>
        </w:rPr>
        <w:t>对于市建设部门网站公示的信用等级为C级的建设工程市场主体，招标人应当在资格审查时不予通过，直接发包工程应当禁止其承接本单位业务。</w:t>
      </w:r>
    </w:p>
    <w:p>
      <w:pPr>
        <w:tabs>
          <w:tab w:val="left" w:pos="3795"/>
        </w:tabs>
        <w:rPr>
          <w:rFonts w:ascii="仿宋_GB2312" w:hAnsi="仿宋" w:eastAsia="仿宋_GB2312"/>
          <w:sz w:val="32"/>
          <w:szCs w:val="32"/>
        </w:rPr>
      </w:pPr>
      <w:r>
        <w:rPr>
          <w:rFonts w:hint="eastAsia" w:ascii="仿宋_GB2312" w:hAnsi="仿宋" w:eastAsia="仿宋_GB2312"/>
          <w:sz w:val="32"/>
          <w:szCs w:val="32"/>
        </w:rPr>
        <w:tab/>
      </w:r>
    </w:p>
    <w:p>
      <w:pPr>
        <w:pStyle w:val="2"/>
        <w:rPr>
          <w:rFonts w:ascii="仿宋_GB2312" w:hAnsi="仿宋" w:eastAsia="仿宋_GB2312"/>
          <w:b/>
          <w:bCs/>
          <w:szCs w:val="32"/>
        </w:rPr>
      </w:pPr>
      <w:r>
        <w:rPr>
          <w:rFonts w:hint="eastAsia" w:ascii="仿宋_GB2312" w:hAnsi="仿宋" w:eastAsia="仿宋_GB2312"/>
          <w:b/>
          <w:bCs/>
          <w:szCs w:val="32"/>
        </w:rPr>
        <w:t>第六章  异议处理</w:t>
      </w:r>
    </w:p>
    <w:p/>
    <w:p>
      <w:pPr>
        <w:ind w:firstLine="643"/>
        <w:rPr>
          <w:rFonts w:ascii="仿宋_GB2312" w:hAnsi="仿宋" w:eastAsia="仿宋_GB2312"/>
          <w:sz w:val="32"/>
          <w:szCs w:val="32"/>
        </w:rPr>
      </w:pPr>
      <w:r>
        <w:rPr>
          <w:rFonts w:hint="eastAsia" w:ascii="仿宋_GB2312" w:hAnsi="仿宋" w:eastAsia="仿宋_GB2312"/>
          <w:b/>
          <w:sz w:val="32"/>
          <w:szCs w:val="32"/>
        </w:rPr>
        <w:t>第二十九条</w:t>
      </w:r>
      <w:r>
        <w:rPr>
          <w:rFonts w:hint="eastAsia" w:ascii="仿宋_GB2312" w:hAnsi="仿宋" w:eastAsia="仿宋_GB2312"/>
          <w:sz w:val="32"/>
          <w:szCs w:val="32"/>
        </w:rPr>
        <w:t xml:space="preserve"> 当事人对区建设部门录入的信用信息记录有异议的，在信用信息公示期均可向区建设部门提出书面申辩，申辩时应当提交相应的证据。申辩书应当载明申辩的具体请求以及申辩的事实和理由。</w:t>
      </w:r>
    </w:p>
    <w:p>
      <w:pPr>
        <w:ind w:firstLine="643"/>
        <w:rPr>
          <w:rFonts w:ascii="仿宋_GB2312" w:hAnsi="仿宋" w:eastAsia="仿宋_GB2312"/>
          <w:sz w:val="32"/>
          <w:szCs w:val="32"/>
        </w:rPr>
      </w:pPr>
      <w:r>
        <w:rPr>
          <w:rFonts w:hint="eastAsia" w:ascii="仿宋_GB2312" w:hAnsi="仿宋" w:eastAsia="仿宋_GB2312"/>
          <w:b/>
          <w:sz w:val="32"/>
          <w:szCs w:val="32"/>
        </w:rPr>
        <w:t>第三十条</w:t>
      </w:r>
      <w:r>
        <w:rPr>
          <w:rFonts w:hint="eastAsia" w:ascii="仿宋_GB2312" w:hAnsi="仿宋" w:eastAsia="仿宋_GB2312"/>
          <w:sz w:val="32"/>
          <w:szCs w:val="32"/>
        </w:rPr>
        <w:t xml:space="preserve"> 当事人提交的申辩材料符合形式要求的，区建设部门应当出具受理通知；不符合要求的，应当一次性告知需更正或补充的材料。不属于本部门受理的，应当告知受理部门。</w:t>
      </w:r>
    </w:p>
    <w:p>
      <w:pPr>
        <w:ind w:firstLine="643"/>
        <w:rPr>
          <w:rFonts w:ascii="仿宋_GB2312" w:hAnsi="仿宋" w:eastAsia="仿宋_GB2312"/>
          <w:sz w:val="32"/>
          <w:szCs w:val="32"/>
        </w:rPr>
      </w:pPr>
      <w:r>
        <w:rPr>
          <w:rFonts w:hint="eastAsia" w:ascii="仿宋_GB2312" w:hAnsi="仿宋" w:eastAsia="仿宋_GB2312"/>
          <w:b/>
          <w:sz w:val="32"/>
          <w:szCs w:val="32"/>
        </w:rPr>
        <w:t>第三十一条</w:t>
      </w:r>
      <w:r>
        <w:rPr>
          <w:rFonts w:hint="eastAsia" w:ascii="仿宋_GB2312" w:hAnsi="仿宋" w:eastAsia="仿宋_GB2312"/>
          <w:sz w:val="32"/>
          <w:szCs w:val="32"/>
        </w:rPr>
        <w:t xml:space="preserve"> 区建设部门受理申辩后，应在出具受理通知之日起60日内完成核查，并书面告知当事人核查结果，信用信息记录确有错误的，应当予以撤销或纠正后公示、应用。异议处理期间，不影响记录的公示和应用。</w:t>
      </w:r>
    </w:p>
    <w:p>
      <w:pPr>
        <w:ind w:firstLine="643"/>
        <w:rPr>
          <w:rFonts w:ascii="仿宋_GB2312" w:hAnsi="仿宋" w:eastAsia="仿宋_GB2312"/>
          <w:sz w:val="32"/>
          <w:szCs w:val="32"/>
        </w:rPr>
      </w:pPr>
    </w:p>
    <w:p>
      <w:pPr>
        <w:pStyle w:val="2"/>
        <w:rPr>
          <w:rFonts w:ascii="仿宋_GB2312" w:hAnsi="仿宋" w:eastAsia="仿宋_GB2312"/>
          <w:b/>
          <w:bCs/>
          <w:szCs w:val="32"/>
        </w:rPr>
      </w:pPr>
      <w:r>
        <w:rPr>
          <w:rFonts w:hint="eastAsia" w:ascii="仿宋_GB2312" w:hAnsi="仿宋" w:eastAsia="仿宋_GB2312"/>
          <w:b/>
          <w:bCs/>
          <w:szCs w:val="32"/>
        </w:rPr>
        <w:t>第七章  附则</w:t>
      </w:r>
    </w:p>
    <w:p>
      <w:pPr>
        <w:ind w:firstLine="643"/>
        <w:rPr>
          <w:rFonts w:ascii="仿宋_GB2312" w:hAnsi="仿宋" w:eastAsia="仿宋_GB2312"/>
          <w:sz w:val="32"/>
          <w:szCs w:val="32"/>
        </w:rPr>
      </w:pPr>
      <w:r>
        <w:rPr>
          <w:rFonts w:hint="eastAsia" w:ascii="仿宋_GB2312" w:hAnsi="仿宋" w:eastAsia="仿宋_GB2312"/>
          <w:b/>
          <w:sz w:val="32"/>
          <w:szCs w:val="32"/>
        </w:rPr>
        <w:t>第三十二条</w:t>
      </w:r>
      <w:r>
        <w:rPr>
          <w:rFonts w:hint="eastAsia" w:ascii="仿宋_GB2312" w:hAnsi="仿宋" w:eastAsia="仿宋_GB2312"/>
          <w:sz w:val="32"/>
          <w:szCs w:val="32"/>
        </w:rPr>
        <w:t xml:space="preserve"> 区建设部门根据监督管理的实际情况，可对本办法附件内容进行实时更新并公布实施。</w:t>
      </w:r>
    </w:p>
    <w:p>
      <w:pPr>
        <w:ind w:firstLine="643"/>
        <w:rPr>
          <w:rFonts w:ascii="仿宋_GB2312" w:hAnsi="仿宋" w:eastAsia="仿宋_GB2312"/>
          <w:sz w:val="32"/>
          <w:szCs w:val="32"/>
        </w:rPr>
      </w:pPr>
      <w:r>
        <w:rPr>
          <w:rFonts w:hint="eastAsia" w:ascii="仿宋_GB2312" w:hAnsi="仿宋" w:eastAsia="仿宋_GB2312"/>
          <w:b/>
          <w:sz w:val="32"/>
          <w:szCs w:val="32"/>
        </w:rPr>
        <w:t>第三十三条</w:t>
      </w:r>
      <w:r>
        <w:rPr>
          <w:rFonts w:hint="eastAsia" w:ascii="仿宋_GB2312" w:hAnsi="仿宋" w:eastAsia="仿宋_GB2312"/>
          <w:sz w:val="32"/>
          <w:szCs w:val="32"/>
        </w:rPr>
        <w:t xml:space="preserve"> 本办法未规定的事项，适用《深圳市工程建设市场主体信用管理办法》的相关规定。</w:t>
      </w:r>
    </w:p>
    <w:p>
      <w:pPr>
        <w:ind w:firstLine="643"/>
        <w:rPr>
          <w:rFonts w:ascii="仿宋_GB2312" w:hAnsi="仿宋" w:eastAsia="仿宋_GB2312"/>
          <w:sz w:val="32"/>
          <w:szCs w:val="32"/>
        </w:rPr>
      </w:pPr>
      <w:r>
        <w:rPr>
          <w:rFonts w:hint="eastAsia" w:ascii="仿宋_GB2312" w:hAnsi="仿宋" w:eastAsia="仿宋_GB2312"/>
          <w:b/>
          <w:sz w:val="32"/>
          <w:szCs w:val="32"/>
        </w:rPr>
        <w:t>第三十四条</w:t>
      </w:r>
      <w:r>
        <w:rPr>
          <w:rFonts w:hint="eastAsia" w:ascii="仿宋_GB2312" w:hAnsi="仿宋" w:eastAsia="仿宋_GB2312"/>
          <w:sz w:val="32"/>
          <w:szCs w:val="32"/>
        </w:rPr>
        <w:t xml:space="preserve"> 本办法由深圳市罗湖区住房和建设局负责解释。</w:t>
      </w:r>
    </w:p>
    <w:p>
      <w:pPr>
        <w:ind w:firstLine="643"/>
        <w:rPr>
          <w:rFonts w:ascii="仿宋_GB2312" w:hAnsi="仿宋" w:eastAsia="仿宋_GB2312"/>
          <w:sz w:val="32"/>
          <w:szCs w:val="32"/>
        </w:rPr>
      </w:pPr>
      <w:r>
        <w:rPr>
          <w:rFonts w:hint="eastAsia" w:ascii="仿宋_GB2312" w:hAnsi="仿宋" w:eastAsia="仿宋_GB2312"/>
          <w:b/>
          <w:sz w:val="32"/>
          <w:szCs w:val="32"/>
        </w:rPr>
        <w:t>第三十五条</w:t>
      </w:r>
      <w:r>
        <w:rPr>
          <w:rFonts w:hint="eastAsia" w:ascii="仿宋_GB2312" w:hAnsi="仿宋" w:eastAsia="仿宋_GB2312"/>
          <w:sz w:val="32"/>
          <w:szCs w:val="32"/>
        </w:rPr>
        <w:t xml:space="preserve"> 本办法自发布之日起施行，有效期3年。</w:t>
      </w:r>
    </w:p>
    <w:p>
      <w:pPr>
        <w:spacing w:line="360" w:lineRule="auto"/>
        <w:ind w:firstLine="640" w:firstLineChars="200"/>
        <w:rPr>
          <w:rFonts w:ascii="仿宋_GB2312" w:hAnsi="仿宋" w:eastAsia="仿宋_GB2312" w:cs="Times New Roman"/>
          <w:sz w:val="32"/>
          <w:szCs w:val="32"/>
        </w:rPr>
      </w:pPr>
    </w:p>
    <w:p>
      <w:pPr>
        <w:spacing w:line="360" w:lineRule="auto"/>
        <w:ind w:firstLine="640" w:firstLineChars="200"/>
        <w:rPr>
          <w:rFonts w:hint="eastAsia" w:ascii="仿宋_GB2312" w:hAnsi="仿宋" w:eastAsia="仿宋_GB2312" w:cs="Times New Roman"/>
          <w:sz w:val="32"/>
          <w:szCs w:val="32"/>
        </w:rPr>
      </w:pPr>
    </w:p>
    <w:p>
      <w:pPr>
        <w:spacing w:line="360" w:lineRule="auto"/>
        <w:ind w:firstLine="640" w:firstLineChars="200"/>
        <w:rPr>
          <w:rFonts w:hint="eastAsia" w:ascii="仿宋_GB2312" w:hAnsi="仿宋" w:eastAsia="仿宋_GB2312" w:cs="Times New Roman"/>
          <w:sz w:val="32"/>
          <w:szCs w:val="32"/>
        </w:rPr>
      </w:pPr>
    </w:p>
    <w:p>
      <w:pPr>
        <w:spacing w:line="360" w:lineRule="auto"/>
        <w:ind w:firstLine="640" w:firstLineChars="200"/>
        <w:rPr>
          <w:rFonts w:hint="eastAsia" w:ascii="仿宋_GB2312" w:hAnsi="仿宋" w:eastAsia="仿宋_GB2312" w:cs="Times New Roman"/>
          <w:sz w:val="32"/>
          <w:szCs w:val="32"/>
        </w:rPr>
      </w:pPr>
    </w:p>
    <w:p>
      <w:pPr>
        <w:spacing w:line="360" w:lineRule="auto"/>
        <w:ind w:firstLine="640" w:firstLineChars="200"/>
        <w:rPr>
          <w:rFonts w:hint="eastAsia" w:ascii="仿宋_GB2312" w:hAnsi="仿宋" w:eastAsia="仿宋_GB2312" w:cs="Times New Roman"/>
          <w:sz w:val="32"/>
          <w:szCs w:val="32"/>
        </w:rPr>
      </w:pPr>
    </w:p>
    <w:p>
      <w:pPr>
        <w:spacing w:line="360" w:lineRule="auto"/>
        <w:ind w:firstLine="640" w:firstLineChars="200"/>
        <w:rPr>
          <w:rFonts w:hint="eastAsia" w:ascii="仿宋_GB2312" w:hAnsi="仿宋" w:eastAsia="仿宋_GB2312" w:cs="Times New Roman"/>
          <w:sz w:val="32"/>
          <w:szCs w:val="32"/>
        </w:rPr>
      </w:pPr>
    </w:p>
    <w:p>
      <w:pPr>
        <w:spacing w:line="360" w:lineRule="auto"/>
        <w:ind w:firstLine="640" w:firstLineChars="200"/>
        <w:rPr>
          <w:rFonts w:hint="eastAsia" w:ascii="仿宋_GB2312" w:hAnsi="仿宋" w:eastAsia="仿宋_GB2312" w:cs="Times New Roman"/>
          <w:sz w:val="32"/>
          <w:szCs w:val="32"/>
        </w:rPr>
      </w:pPr>
    </w:p>
    <w:p>
      <w:pPr>
        <w:spacing w:line="360" w:lineRule="auto"/>
        <w:ind w:firstLine="640" w:firstLineChars="200"/>
        <w:rPr>
          <w:rFonts w:hint="eastAsia" w:ascii="仿宋_GB2312" w:hAnsi="仿宋" w:eastAsia="仿宋_GB2312" w:cs="Times New Roman"/>
          <w:sz w:val="32"/>
          <w:szCs w:val="32"/>
        </w:rPr>
      </w:pPr>
    </w:p>
    <w:p>
      <w:pPr>
        <w:spacing w:line="360" w:lineRule="auto"/>
        <w:ind w:firstLine="640" w:firstLineChars="200"/>
        <w:rPr>
          <w:rFonts w:hint="eastAsia" w:ascii="仿宋_GB2312" w:hAnsi="仿宋" w:eastAsia="仿宋_GB2312" w:cs="Times New Roman"/>
          <w:sz w:val="32"/>
          <w:szCs w:val="32"/>
        </w:rPr>
      </w:pPr>
    </w:p>
    <w:p>
      <w:pPr>
        <w:spacing w:line="360" w:lineRule="auto"/>
        <w:ind w:firstLine="640" w:firstLineChars="200"/>
        <w:rPr>
          <w:rFonts w:hint="eastAsia" w:ascii="仿宋_GB2312" w:hAnsi="仿宋" w:eastAsia="仿宋_GB2312" w:cs="Times New Roman"/>
          <w:sz w:val="32"/>
          <w:szCs w:val="32"/>
        </w:rPr>
      </w:pPr>
    </w:p>
    <w:p>
      <w:pPr>
        <w:spacing w:line="360" w:lineRule="auto"/>
        <w:ind w:firstLine="640" w:firstLineChars="200"/>
        <w:rPr>
          <w:rFonts w:hint="eastAsia" w:ascii="仿宋_GB2312" w:hAnsi="仿宋" w:eastAsia="仿宋_GB2312" w:cs="Times New Roman"/>
          <w:sz w:val="32"/>
          <w:szCs w:val="32"/>
        </w:rPr>
      </w:pPr>
    </w:p>
    <w:p>
      <w:pPr>
        <w:spacing w:line="360" w:lineRule="auto"/>
        <w:ind w:firstLine="640" w:firstLineChars="200"/>
        <w:rPr>
          <w:rFonts w:hint="eastAsia" w:ascii="仿宋_GB2312" w:hAnsi="仿宋" w:eastAsia="仿宋_GB2312" w:cs="Times New Roman"/>
          <w:sz w:val="32"/>
          <w:szCs w:val="32"/>
        </w:rPr>
      </w:pPr>
    </w:p>
    <w:p>
      <w:pPr>
        <w:spacing w:line="360" w:lineRule="auto"/>
        <w:ind w:firstLine="640" w:firstLineChars="200"/>
        <w:rPr>
          <w:rFonts w:hint="eastAsia" w:ascii="仿宋_GB2312" w:hAnsi="仿宋" w:eastAsia="仿宋_GB2312" w:cs="Times New Roman"/>
          <w:sz w:val="32"/>
          <w:szCs w:val="32"/>
        </w:rPr>
      </w:pPr>
    </w:p>
    <w:p>
      <w:pPr>
        <w:spacing w:line="360" w:lineRule="auto"/>
        <w:ind w:firstLine="640" w:firstLineChars="200"/>
        <w:rPr>
          <w:rFonts w:hint="eastAsia" w:ascii="仿宋_GB2312" w:hAnsi="仿宋" w:eastAsia="仿宋_GB2312" w:cs="Times New Roman"/>
          <w:sz w:val="32"/>
          <w:szCs w:val="32"/>
        </w:rPr>
      </w:pPr>
    </w:p>
    <w:p>
      <w:pPr>
        <w:spacing w:line="360" w:lineRule="auto"/>
        <w:ind w:firstLine="640" w:firstLineChars="200"/>
        <w:rPr>
          <w:rFonts w:hint="eastAsia" w:ascii="仿宋_GB2312" w:hAnsi="仿宋" w:eastAsia="仿宋_GB2312" w:cs="Times New Roman"/>
          <w:sz w:val="32"/>
          <w:szCs w:val="32"/>
        </w:rPr>
      </w:pPr>
    </w:p>
    <w:p>
      <w:pPr>
        <w:spacing w:line="360" w:lineRule="auto"/>
        <w:ind w:firstLine="640" w:firstLineChars="200"/>
        <w:rPr>
          <w:rFonts w:hint="eastAsia" w:ascii="仿宋_GB2312" w:hAnsi="仿宋" w:eastAsia="仿宋_GB2312" w:cs="Times New Roman"/>
          <w:sz w:val="32"/>
          <w:szCs w:val="32"/>
        </w:rPr>
      </w:pPr>
    </w:p>
    <w:p>
      <w:pPr>
        <w:spacing w:line="360" w:lineRule="auto"/>
        <w:ind w:firstLine="640" w:firstLineChars="200"/>
        <w:rPr>
          <w:rFonts w:ascii="仿宋_GB2312" w:hAnsi="仿宋" w:eastAsia="仿宋_GB2312" w:cs="Times New Roman"/>
          <w:sz w:val="32"/>
          <w:szCs w:val="32"/>
        </w:rPr>
      </w:pPr>
    </w:p>
    <w:p>
      <w:pPr>
        <w:spacing w:line="360" w:lineRule="auto"/>
        <w:ind w:firstLine="640" w:firstLineChars="200"/>
        <w:rPr>
          <w:rFonts w:hint="eastAsia" w:ascii="仿宋_GB2312" w:hAnsi="仿宋" w:eastAsia="仿宋_GB2312" w:cs="Times New Roman"/>
          <w:sz w:val="32"/>
          <w:szCs w:val="32"/>
        </w:rPr>
      </w:pPr>
      <w:r>
        <w:rPr>
          <w:rFonts w:ascii="仿宋_GB2312" w:hAnsi="仿宋" w:eastAsia="仿宋_GB2312" w:cs="Times New Roman"/>
          <w:sz w:val="32"/>
          <w:szCs w:val="32"/>
        </w:rPr>
        <w:t>附件一、《招标投标类不良行为一览表》</w:t>
      </w:r>
    </w:p>
    <w:p>
      <w:pPr>
        <w:spacing w:line="360" w:lineRule="auto"/>
        <w:ind w:firstLine="640" w:firstLineChars="200"/>
        <w:rPr>
          <w:rFonts w:ascii="仿宋_GB2312" w:hAnsi="仿宋" w:eastAsia="仿宋_GB2312" w:cs="Times New Roman"/>
          <w:sz w:val="32"/>
          <w:szCs w:val="32"/>
        </w:rPr>
      </w:pPr>
    </w:p>
    <w:tbl>
      <w:tblPr>
        <w:tblStyle w:val="9"/>
        <w:tblW w:w="8429" w:type="dxa"/>
        <w:jc w:val="center"/>
        <w:tblLayout w:type="autofit"/>
        <w:tblCellMar>
          <w:top w:w="0" w:type="dxa"/>
          <w:left w:w="108" w:type="dxa"/>
          <w:bottom w:w="0" w:type="dxa"/>
          <w:right w:w="108" w:type="dxa"/>
        </w:tblCellMar>
      </w:tblPr>
      <w:tblGrid>
        <w:gridCol w:w="758"/>
        <w:gridCol w:w="722"/>
        <w:gridCol w:w="6949"/>
      </w:tblGrid>
      <w:tr>
        <w:tblPrEx>
          <w:tblCellMar>
            <w:top w:w="0" w:type="dxa"/>
            <w:left w:w="108" w:type="dxa"/>
            <w:bottom w:w="0" w:type="dxa"/>
            <w:right w:w="108" w:type="dxa"/>
          </w:tblCellMar>
        </w:tblPrEx>
        <w:trPr>
          <w:trHeight w:val="1402" w:hRule="atLeast"/>
          <w:jc w:val="center"/>
        </w:trPr>
        <w:tc>
          <w:tcPr>
            <w:tcW w:w="75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类别</w:t>
            </w:r>
          </w:p>
        </w:tc>
        <w:tc>
          <w:tcPr>
            <w:tcW w:w="722" w:type="dxa"/>
            <w:tcBorders>
              <w:top w:val="single" w:color="auto" w:sz="4" w:space="0"/>
              <w:left w:val="single" w:color="auto" w:sz="4" w:space="0"/>
              <w:bottom w:val="single" w:color="auto" w:sz="4" w:space="0"/>
              <w:right w:val="single" w:color="auto" w:sz="4" w:space="0"/>
            </w:tcBorders>
          </w:tcPr>
          <w:p>
            <w:pPr>
              <w:widowControl/>
              <w:jc w:val="center"/>
              <w:rPr>
                <w:rFonts w:hint="eastAsia" w:ascii="宋体" w:hAnsi="宋体" w:eastAsia="宋体" w:cs="宋体"/>
                <w:b/>
                <w:bCs/>
                <w:kern w:val="0"/>
                <w:sz w:val="22"/>
              </w:rPr>
            </w:pPr>
          </w:p>
          <w:p>
            <w:pPr>
              <w:widowControl/>
              <w:jc w:val="center"/>
              <w:rPr>
                <w:rFonts w:hint="eastAsia" w:ascii="宋体" w:hAnsi="宋体" w:eastAsia="宋体" w:cs="宋体"/>
                <w:b/>
                <w:bCs/>
                <w:kern w:val="0"/>
                <w:sz w:val="22"/>
              </w:rPr>
            </w:pPr>
          </w:p>
          <w:p>
            <w:pPr>
              <w:widowControl/>
              <w:jc w:val="center"/>
              <w:rPr>
                <w:rFonts w:hint="eastAsia" w:ascii="宋体" w:hAnsi="宋体" w:eastAsia="宋体" w:cs="宋体"/>
                <w:b/>
                <w:bCs/>
                <w:kern w:val="0"/>
                <w:sz w:val="22"/>
              </w:rPr>
            </w:pPr>
            <w:r>
              <w:rPr>
                <w:rFonts w:hint="eastAsia" w:ascii="宋体" w:hAnsi="宋体" w:eastAsia="宋体" w:cs="宋体"/>
                <w:b/>
                <w:bCs/>
                <w:kern w:val="0"/>
                <w:sz w:val="22"/>
              </w:rPr>
              <w:t>序号</w:t>
            </w:r>
          </w:p>
        </w:tc>
        <w:tc>
          <w:tcPr>
            <w:tcW w:w="694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行为描述</w:t>
            </w:r>
          </w:p>
        </w:tc>
      </w:tr>
      <w:tr>
        <w:tblPrEx>
          <w:tblCellMar>
            <w:top w:w="0" w:type="dxa"/>
            <w:left w:w="108" w:type="dxa"/>
            <w:bottom w:w="0" w:type="dxa"/>
            <w:right w:w="108" w:type="dxa"/>
          </w:tblCellMar>
        </w:tblPrEx>
        <w:trPr>
          <w:trHeight w:val="240" w:hRule="atLeast"/>
          <w:jc w:val="center"/>
        </w:trPr>
        <w:tc>
          <w:tcPr>
            <w:tcW w:w="758"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b/>
                <w:bCs/>
                <w:kern w:val="0"/>
                <w:sz w:val="22"/>
              </w:rPr>
            </w:pPr>
            <w:r>
              <w:rPr>
                <w:rFonts w:hint="eastAsia" w:ascii="宋体" w:hAnsi="宋体" w:eastAsia="宋体" w:cs="宋体"/>
                <w:b/>
                <w:bCs/>
                <w:kern w:val="0"/>
                <w:sz w:val="22"/>
              </w:rPr>
              <w:t>招标投标类</w:t>
            </w:r>
          </w:p>
        </w:tc>
        <w:tc>
          <w:tcPr>
            <w:tcW w:w="722" w:type="dxa"/>
            <w:tcBorders>
              <w:top w:val="single" w:color="auto" w:sz="4" w:space="0"/>
              <w:left w:val="nil"/>
              <w:bottom w:val="single" w:color="auto" w:sz="4" w:space="0"/>
              <w:right w:val="single" w:color="auto" w:sz="4" w:space="0"/>
            </w:tcBorders>
          </w:tcPr>
          <w:p>
            <w:pPr>
              <w:widowControl/>
              <w:jc w:val="center"/>
              <w:rPr>
                <w:rFonts w:hint="eastAsia" w:ascii="宋体" w:hAnsi="宋体" w:eastAsia="宋体" w:cs="宋体"/>
                <w:kern w:val="0"/>
                <w:szCs w:val="21"/>
              </w:rPr>
            </w:pPr>
            <w:r>
              <w:rPr>
                <w:rFonts w:hint="eastAsia" w:ascii="宋体" w:hAnsi="宋体" w:eastAsia="宋体" w:cs="宋体"/>
                <w:kern w:val="0"/>
                <w:szCs w:val="21"/>
              </w:rPr>
              <w:t>1</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不具备自行组织招标的条件而自行组织招标的</w:t>
            </w:r>
          </w:p>
        </w:tc>
      </w:tr>
      <w:tr>
        <w:tblPrEx>
          <w:tblCellMar>
            <w:top w:w="0" w:type="dxa"/>
            <w:left w:w="108" w:type="dxa"/>
            <w:bottom w:w="0" w:type="dxa"/>
            <w:right w:w="108" w:type="dxa"/>
          </w:tblCellMar>
        </w:tblPrEx>
        <w:trPr>
          <w:trHeight w:val="24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2</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未按规定开标的</w:t>
            </w:r>
          </w:p>
        </w:tc>
      </w:tr>
      <w:tr>
        <w:tblPrEx>
          <w:tblCellMar>
            <w:top w:w="0" w:type="dxa"/>
            <w:left w:w="108" w:type="dxa"/>
            <w:bottom w:w="0" w:type="dxa"/>
            <w:right w:w="108" w:type="dxa"/>
          </w:tblCellMar>
        </w:tblPrEx>
        <w:trPr>
          <w:trHeight w:val="24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3</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未按规定组建评标委员会的</w:t>
            </w:r>
          </w:p>
        </w:tc>
      </w:tr>
      <w:tr>
        <w:tblPrEx>
          <w:tblCellMar>
            <w:top w:w="0" w:type="dxa"/>
            <w:left w:w="108" w:type="dxa"/>
            <w:bottom w:w="0" w:type="dxa"/>
            <w:right w:w="108" w:type="dxa"/>
          </w:tblCellMar>
        </w:tblPrEx>
        <w:trPr>
          <w:trHeight w:val="24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4</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未按规定办理有关招标投标备案手续的</w:t>
            </w:r>
          </w:p>
        </w:tc>
      </w:tr>
      <w:tr>
        <w:tblPrEx>
          <w:tblCellMar>
            <w:top w:w="0" w:type="dxa"/>
            <w:left w:w="108" w:type="dxa"/>
            <w:bottom w:w="0" w:type="dxa"/>
            <w:right w:w="108" w:type="dxa"/>
          </w:tblCellMar>
        </w:tblPrEx>
        <w:trPr>
          <w:trHeight w:val="24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5</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在投标前联络评标专家，给予好处或承诺给予好处的</w:t>
            </w:r>
          </w:p>
        </w:tc>
      </w:tr>
      <w:tr>
        <w:tblPrEx>
          <w:tblCellMar>
            <w:top w:w="0" w:type="dxa"/>
            <w:left w:w="108" w:type="dxa"/>
            <w:bottom w:w="0" w:type="dxa"/>
            <w:right w:w="108" w:type="dxa"/>
          </w:tblCellMar>
        </w:tblPrEx>
        <w:trPr>
          <w:trHeight w:val="24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6</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投标文件中存在严重不平衡报价的</w:t>
            </w:r>
          </w:p>
        </w:tc>
      </w:tr>
      <w:tr>
        <w:tblPrEx>
          <w:tblCellMar>
            <w:top w:w="0" w:type="dxa"/>
            <w:left w:w="108" w:type="dxa"/>
            <w:bottom w:w="0" w:type="dxa"/>
            <w:right w:w="108" w:type="dxa"/>
          </w:tblCellMar>
        </w:tblPrEx>
        <w:trPr>
          <w:trHeight w:val="48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7</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以联合体形式投标，联合体成员又以自己名义单独投标</w:t>
            </w:r>
            <w:bookmarkStart w:id="0" w:name="_GoBack"/>
            <w:bookmarkEnd w:id="0"/>
            <w:r>
              <w:rPr>
                <w:rFonts w:hint="eastAsia" w:ascii="宋体" w:hAnsi="宋体" w:eastAsia="宋体" w:cs="宋体"/>
                <w:kern w:val="0"/>
                <w:szCs w:val="21"/>
              </w:rPr>
              <w:t>或者参加其他联合体投同一个标的</w:t>
            </w:r>
          </w:p>
        </w:tc>
      </w:tr>
      <w:tr>
        <w:tblPrEx>
          <w:tblCellMar>
            <w:top w:w="0" w:type="dxa"/>
            <w:left w:w="108" w:type="dxa"/>
            <w:bottom w:w="0" w:type="dxa"/>
            <w:right w:w="108" w:type="dxa"/>
          </w:tblCellMar>
        </w:tblPrEx>
        <w:trPr>
          <w:trHeight w:val="24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8</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无故放弃中标候选人资格的</w:t>
            </w:r>
          </w:p>
        </w:tc>
      </w:tr>
      <w:tr>
        <w:tblPrEx>
          <w:tblCellMar>
            <w:top w:w="0" w:type="dxa"/>
            <w:left w:w="108" w:type="dxa"/>
            <w:bottom w:w="0" w:type="dxa"/>
            <w:right w:w="108" w:type="dxa"/>
          </w:tblCellMar>
        </w:tblPrEx>
        <w:trPr>
          <w:trHeight w:val="24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9</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无故缺席评标会答辩或答辩迟到30分钟以上的</w:t>
            </w:r>
          </w:p>
        </w:tc>
      </w:tr>
      <w:tr>
        <w:tblPrEx>
          <w:tblCellMar>
            <w:top w:w="0" w:type="dxa"/>
            <w:left w:w="108" w:type="dxa"/>
            <w:bottom w:w="0" w:type="dxa"/>
            <w:right w:w="108" w:type="dxa"/>
          </w:tblCellMar>
        </w:tblPrEx>
        <w:trPr>
          <w:trHeight w:val="48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10</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学校合成材料运动场地面层建设工程的招标采购简单以“最低价法”定标</w:t>
            </w:r>
          </w:p>
        </w:tc>
      </w:tr>
      <w:tr>
        <w:tblPrEx>
          <w:tblCellMar>
            <w:top w:w="0" w:type="dxa"/>
            <w:left w:w="108" w:type="dxa"/>
            <w:bottom w:w="0" w:type="dxa"/>
            <w:right w:w="108" w:type="dxa"/>
          </w:tblCellMar>
        </w:tblPrEx>
        <w:trPr>
          <w:trHeight w:val="72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11</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同一工程的施工单位和监理单位之间、招标代理机构和投标单位之间、施工单位和设备（材料）供应商之间违反规定，相互间有隶属关系或者其他利害关系的</w:t>
            </w:r>
          </w:p>
        </w:tc>
      </w:tr>
      <w:tr>
        <w:tblPrEx>
          <w:tblCellMar>
            <w:top w:w="0" w:type="dxa"/>
            <w:left w:w="108" w:type="dxa"/>
            <w:bottom w:w="0" w:type="dxa"/>
            <w:right w:w="108" w:type="dxa"/>
          </w:tblCellMar>
        </w:tblPrEx>
        <w:trPr>
          <w:trHeight w:val="48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12</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在所代理的招标项目中投标、代理投标或者向该项目投标人提供咨询的</w:t>
            </w:r>
          </w:p>
        </w:tc>
      </w:tr>
      <w:tr>
        <w:tblPrEx>
          <w:tblCellMar>
            <w:top w:w="0" w:type="dxa"/>
            <w:left w:w="108" w:type="dxa"/>
            <w:bottom w:w="0" w:type="dxa"/>
            <w:right w:w="108" w:type="dxa"/>
          </w:tblCellMar>
        </w:tblPrEx>
        <w:trPr>
          <w:trHeight w:val="48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13</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参加受托编制招标控制价项目的投标或者为该项目的投标人编制投标文件、提供咨询的</w:t>
            </w:r>
          </w:p>
        </w:tc>
      </w:tr>
      <w:tr>
        <w:tblPrEx>
          <w:tblCellMar>
            <w:top w:w="0" w:type="dxa"/>
            <w:left w:w="108" w:type="dxa"/>
            <w:bottom w:w="0" w:type="dxa"/>
            <w:right w:w="108" w:type="dxa"/>
          </w:tblCellMar>
        </w:tblPrEx>
        <w:trPr>
          <w:trHeight w:val="48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14</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未按投标承诺的项目班子成员（包括项目负责人、建造师、项目总监等）、机械设备进行配备的</w:t>
            </w:r>
          </w:p>
        </w:tc>
      </w:tr>
      <w:tr>
        <w:tblPrEx>
          <w:tblCellMar>
            <w:top w:w="0" w:type="dxa"/>
            <w:left w:w="108" w:type="dxa"/>
            <w:bottom w:w="0" w:type="dxa"/>
            <w:right w:w="108" w:type="dxa"/>
          </w:tblCellMar>
        </w:tblPrEx>
        <w:trPr>
          <w:trHeight w:val="24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15</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施工企业或劳务分包企业配备的劳务队长不在岗的</w:t>
            </w:r>
          </w:p>
        </w:tc>
      </w:tr>
      <w:tr>
        <w:tblPrEx>
          <w:tblCellMar>
            <w:top w:w="0" w:type="dxa"/>
            <w:left w:w="108" w:type="dxa"/>
            <w:bottom w:w="0" w:type="dxa"/>
            <w:right w:w="108" w:type="dxa"/>
          </w:tblCellMar>
        </w:tblPrEx>
        <w:trPr>
          <w:trHeight w:val="24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tcPr>
          <w:p>
            <w:pPr>
              <w:widowControl/>
              <w:jc w:val="center"/>
              <w:rPr>
                <w:rFonts w:hint="eastAsia" w:ascii="宋体" w:hAnsi="宋体" w:eastAsia="宋体" w:cs="宋体"/>
                <w:kern w:val="0"/>
                <w:szCs w:val="21"/>
              </w:rPr>
            </w:pPr>
            <w:r>
              <w:rPr>
                <w:rFonts w:hint="eastAsia" w:ascii="宋体" w:hAnsi="宋体" w:eastAsia="宋体" w:cs="宋体"/>
                <w:kern w:val="0"/>
                <w:szCs w:val="21"/>
              </w:rPr>
              <w:t>16</w:t>
            </w:r>
          </w:p>
        </w:tc>
        <w:tc>
          <w:tcPr>
            <w:tcW w:w="694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招标文件中暂估部分的工程估价设定不符合有关规定的</w:t>
            </w:r>
          </w:p>
        </w:tc>
      </w:tr>
      <w:tr>
        <w:tblPrEx>
          <w:tblCellMar>
            <w:top w:w="0" w:type="dxa"/>
            <w:left w:w="108" w:type="dxa"/>
            <w:bottom w:w="0" w:type="dxa"/>
            <w:right w:w="108" w:type="dxa"/>
          </w:tblCellMar>
        </w:tblPrEx>
        <w:trPr>
          <w:trHeight w:val="24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tcPr>
          <w:p>
            <w:pPr>
              <w:widowControl/>
              <w:jc w:val="center"/>
              <w:rPr>
                <w:rFonts w:hint="eastAsia" w:ascii="宋体" w:hAnsi="宋体" w:eastAsia="宋体" w:cs="宋体"/>
                <w:kern w:val="0"/>
                <w:szCs w:val="21"/>
              </w:rPr>
            </w:pPr>
            <w:r>
              <w:rPr>
                <w:rFonts w:hint="eastAsia" w:ascii="宋体" w:hAnsi="宋体" w:eastAsia="宋体" w:cs="宋体"/>
                <w:kern w:val="0"/>
                <w:szCs w:val="21"/>
              </w:rPr>
              <w:t>17</w:t>
            </w:r>
          </w:p>
        </w:tc>
        <w:tc>
          <w:tcPr>
            <w:tcW w:w="694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不按合同约定编制结算文件，情节严重的</w:t>
            </w:r>
          </w:p>
        </w:tc>
      </w:tr>
      <w:tr>
        <w:tblPrEx>
          <w:tblCellMar>
            <w:top w:w="0" w:type="dxa"/>
            <w:left w:w="108" w:type="dxa"/>
            <w:bottom w:w="0" w:type="dxa"/>
            <w:right w:w="108" w:type="dxa"/>
          </w:tblCellMar>
        </w:tblPrEx>
        <w:trPr>
          <w:trHeight w:val="24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tcPr>
          <w:p>
            <w:pPr>
              <w:widowControl/>
              <w:jc w:val="center"/>
              <w:rPr>
                <w:rFonts w:hint="eastAsia" w:ascii="宋体" w:hAnsi="宋体" w:eastAsia="宋体" w:cs="宋体"/>
                <w:kern w:val="0"/>
                <w:szCs w:val="21"/>
              </w:rPr>
            </w:pPr>
            <w:r>
              <w:rPr>
                <w:rFonts w:hint="eastAsia" w:ascii="宋体" w:hAnsi="宋体" w:eastAsia="宋体" w:cs="宋体"/>
                <w:kern w:val="0"/>
                <w:szCs w:val="21"/>
              </w:rPr>
              <w:t>18</w:t>
            </w:r>
          </w:p>
        </w:tc>
        <w:tc>
          <w:tcPr>
            <w:tcW w:w="694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工程造价成果文件签章不符合相关规定的</w:t>
            </w:r>
          </w:p>
        </w:tc>
      </w:tr>
      <w:tr>
        <w:tblPrEx>
          <w:tblCellMar>
            <w:top w:w="0" w:type="dxa"/>
            <w:left w:w="108" w:type="dxa"/>
            <w:bottom w:w="0" w:type="dxa"/>
            <w:right w:w="108" w:type="dxa"/>
          </w:tblCellMar>
        </w:tblPrEx>
        <w:trPr>
          <w:trHeight w:val="24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tcPr>
          <w:p>
            <w:pPr>
              <w:widowControl/>
              <w:jc w:val="center"/>
              <w:rPr>
                <w:rFonts w:hint="eastAsia" w:ascii="宋体" w:hAnsi="宋体" w:eastAsia="宋体" w:cs="宋体"/>
                <w:kern w:val="0"/>
                <w:szCs w:val="21"/>
              </w:rPr>
            </w:pPr>
            <w:r>
              <w:rPr>
                <w:rFonts w:hint="eastAsia" w:ascii="宋体" w:hAnsi="宋体" w:eastAsia="宋体" w:cs="宋体"/>
                <w:kern w:val="0"/>
                <w:szCs w:val="21"/>
              </w:rPr>
              <w:t>19</w:t>
            </w:r>
          </w:p>
        </w:tc>
        <w:tc>
          <w:tcPr>
            <w:tcW w:w="694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在本市范围内从业的造价咨询企业未到市建设行政主管部门备案的</w:t>
            </w:r>
          </w:p>
        </w:tc>
      </w:tr>
      <w:tr>
        <w:tblPrEx>
          <w:tblCellMar>
            <w:top w:w="0" w:type="dxa"/>
            <w:left w:w="108" w:type="dxa"/>
            <w:bottom w:w="0" w:type="dxa"/>
            <w:right w:w="108" w:type="dxa"/>
          </w:tblCellMar>
        </w:tblPrEx>
        <w:trPr>
          <w:trHeight w:val="48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tcPr>
          <w:p>
            <w:pPr>
              <w:widowControl/>
              <w:jc w:val="center"/>
              <w:rPr>
                <w:rFonts w:hint="eastAsia" w:ascii="宋体" w:hAnsi="宋体" w:eastAsia="宋体" w:cs="宋体"/>
                <w:kern w:val="0"/>
                <w:szCs w:val="21"/>
              </w:rPr>
            </w:pPr>
            <w:r>
              <w:rPr>
                <w:rFonts w:hint="eastAsia" w:ascii="宋体" w:hAnsi="宋体" w:eastAsia="宋体" w:cs="宋体"/>
                <w:kern w:val="0"/>
                <w:szCs w:val="21"/>
              </w:rPr>
              <w:t>20</w:t>
            </w:r>
          </w:p>
        </w:tc>
        <w:tc>
          <w:tcPr>
            <w:tcW w:w="694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外地企业在我市承接单项咨询业务，未及时到市建设行政主管部门备案的</w:t>
            </w:r>
          </w:p>
        </w:tc>
      </w:tr>
      <w:tr>
        <w:tblPrEx>
          <w:tblCellMar>
            <w:top w:w="0" w:type="dxa"/>
            <w:left w:w="108" w:type="dxa"/>
            <w:bottom w:w="0" w:type="dxa"/>
            <w:right w:w="108" w:type="dxa"/>
          </w:tblCellMar>
        </w:tblPrEx>
        <w:trPr>
          <w:trHeight w:val="48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tcPr>
          <w:p>
            <w:pPr>
              <w:widowControl/>
              <w:jc w:val="center"/>
              <w:rPr>
                <w:rFonts w:hint="eastAsia" w:ascii="宋体" w:hAnsi="宋体" w:eastAsia="宋体" w:cs="宋体"/>
                <w:kern w:val="0"/>
                <w:szCs w:val="21"/>
              </w:rPr>
            </w:pPr>
            <w:r>
              <w:rPr>
                <w:rFonts w:hint="eastAsia" w:ascii="宋体" w:hAnsi="宋体" w:eastAsia="宋体" w:cs="宋体"/>
                <w:kern w:val="0"/>
                <w:szCs w:val="21"/>
              </w:rPr>
              <w:t>21</w:t>
            </w:r>
          </w:p>
        </w:tc>
        <w:tc>
          <w:tcPr>
            <w:tcW w:w="6949" w:type="dxa"/>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Cs w:val="21"/>
              </w:rPr>
            </w:pPr>
            <w:r>
              <w:rPr>
                <w:rFonts w:hint="eastAsia" w:ascii="宋体" w:hAnsi="宋体" w:eastAsia="宋体" w:cs="宋体"/>
                <w:kern w:val="0"/>
                <w:szCs w:val="21"/>
              </w:rPr>
              <w:t>除法律、法规另有规定外，未经委托人书面同意，对外提供在造价咨询服务过程中获知的当事人的商业秘密和业务资料的</w:t>
            </w:r>
          </w:p>
        </w:tc>
      </w:tr>
      <w:tr>
        <w:tblPrEx>
          <w:tblCellMar>
            <w:top w:w="0" w:type="dxa"/>
            <w:left w:w="108" w:type="dxa"/>
            <w:bottom w:w="0" w:type="dxa"/>
            <w:right w:w="108" w:type="dxa"/>
          </w:tblCellMar>
        </w:tblPrEx>
        <w:trPr>
          <w:trHeight w:val="27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22</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对拒不配合履约合同审计的</w:t>
            </w:r>
          </w:p>
        </w:tc>
      </w:tr>
      <w:tr>
        <w:tblPrEx>
          <w:tblCellMar>
            <w:top w:w="0" w:type="dxa"/>
            <w:left w:w="108" w:type="dxa"/>
            <w:bottom w:w="0" w:type="dxa"/>
            <w:right w:w="108" w:type="dxa"/>
          </w:tblCellMar>
        </w:tblPrEx>
        <w:trPr>
          <w:trHeight w:val="762"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23</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企业受市、区主管部门通报批评，受市政府或安监机构通报批评，受省主管部门或住建部通报批评的</w:t>
            </w:r>
          </w:p>
        </w:tc>
      </w:tr>
      <w:tr>
        <w:tblPrEx>
          <w:tblCellMar>
            <w:top w:w="0" w:type="dxa"/>
            <w:left w:w="108" w:type="dxa"/>
            <w:bottom w:w="0" w:type="dxa"/>
            <w:right w:w="108" w:type="dxa"/>
          </w:tblCellMar>
        </w:tblPrEx>
        <w:trPr>
          <w:trHeight w:val="48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24</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假造监管部门证件、印章、文件的，向监管部门提交的文件资料弄虚作假的</w:t>
            </w:r>
          </w:p>
        </w:tc>
      </w:tr>
      <w:tr>
        <w:tblPrEx>
          <w:tblCellMar>
            <w:top w:w="0" w:type="dxa"/>
            <w:left w:w="108" w:type="dxa"/>
            <w:bottom w:w="0" w:type="dxa"/>
            <w:right w:w="108" w:type="dxa"/>
          </w:tblCellMar>
        </w:tblPrEx>
        <w:trPr>
          <w:trHeight w:val="48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25</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对招标文件内容把关不严，填报的招标数据在公开发布后申请修改；</w:t>
            </w:r>
          </w:p>
        </w:tc>
      </w:tr>
      <w:tr>
        <w:tblPrEx>
          <w:tblCellMar>
            <w:top w:w="0" w:type="dxa"/>
            <w:left w:w="108" w:type="dxa"/>
            <w:bottom w:w="0" w:type="dxa"/>
            <w:right w:w="108" w:type="dxa"/>
          </w:tblCellMar>
        </w:tblPrEx>
        <w:trPr>
          <w:trHeight w:val="48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26</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对资格审查结果把关不严，在资格审查结果公示结束后发现入围的合格投标人存在依规应不予审查通过的情形；</w:t>
            </w:r>
          </w:p>
        </w:tc>
      </w:tr>
      <w:tr>
        <w:tblPrEx>
          <w:tblCellMar>
            <w:top w:w="0" w:type="dxa"/>
            <w:left w:w="108" w:type="dxa"/>
            <w:bottom w:w="0" w:type="dxa"/>
            <w:right w:w="108" w:type="dxa"/>
          </w:tblCellMar>
        </w:tblPrEx>
        <w:trPr>
          <w:trHeight w:val="48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27</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票决淘汰部分合格投标人、票决定标未事先制定相应定标工作规则的；</w:t>
            </w:r>
          </w:p>
        </w:tc>
      </w:tr>
      <w:tr>
        <w:tblPrEx>
          <w:tblCellMar>
            <w:top w:w="0" w:type="dxa"/>
            <w:left w:w="108" w:type="dxa"/>
            <w:bottom w:w="0" w:type="dxa"/>
            <w:right w:w="108" w:type="dxa"/>
          </w:tblCellMar>
        </w:tblPrEx>
        <w:trPr>
          <w:trHeight w:val="42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28</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 xml:space="preserve">对评标、定标过程出现明显错漏等问题未及时发现的； </w:t>
            </w:r>
          </w:p>
        </w:tc>
      </w:tr>
      <w:tr>
        <w:tblPrEx>
          <w:tblCellMar>
            <w:top w:w="0" w:type="dxa"/>
            <w:left w:w="108" w:type="dxa"/>
            <w:bottom w:w="0" w:type="dxa"/>
            <w:right w:w="108" w:type="dxa"/>
          </w:tblCellMar>
        </w:tblPrEx>
        <w:trPr>
          <w:trHeight w:val="48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29</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无正当理由延期定标，或者延期定标未将延期原因和最终定标日期进行公示的；</w:t>
            </w:r>
          </w:p>
        </w:tc>
      </w:tr>
      <w:tr>
        <w:tblPrEx>
          <w:tblCellMar>
            <w:top w:w="0" w:type="dxa"/>
            <w:left w:w="108" w:type="dxa"/>
            <w:bottom w:w="0" w:type="dxa"/>
            <w:right w:w="108" w:type="dxa"/>
          </w:tblCellMar>
        </w:tblPrEx>
        <w:trPr>
          <w:trHeight w:val="48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30</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投标人或者其他利害关系人在规定期限内提出异议，招标人未按规定受理或者答复异议的；</w:t>
            </w:r>
          </w:p>
        </w:tc>
      </w:tr>
      <w:tr>
        <w:tblPrEx>
          <w:tblCellMar>
            <w:top w:w="0" w:type="dxa"/>
            <w:left w:w="108" w:type="dxa"/>
            <w:bottom w:w="0" w:type="dxa"/>
            <w:right w:w="108" w:type="dxa"/>
          </w:tblCellMar>
        </w:tblPrEx>
        <w:trPr>
          <w:trHeight w:val="27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31</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招标人对招标方案的不合法合规问题拒不整改，备案未通过的；</w:t>
            </w:r>
          </w:p>
        </w:tc>
      </w:tr>
      <w:tr>
        <w:tblPrEx>
          <w:tblCellMar>
            <w:top w:w="0" w:type="dxa"/>
            <w:left w:w="108" w:type="dxa"/>
            <w:bottom w:w="0" w:type="dxa"/>
            <w:right w:w="108" w:type="dxa"/>
          </w:tblCellMar>
        </w:tblPrEx>
        <w:trPr>
          <w:trHeight w:val="27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32</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 xml:space="preserve">招标人提交的招标投标情况报告里存在不合法合规问题的； </w:t>
            </w:r>
          </w:p>
        </w:tc>
      </w:tr>
      <w:tr>
        <w:tblPrEx>
          <w:tblCellMar>
            <w:top w:w="0" w:type="dxa"/>
            <w:left w:w="108" w:type="dxa"/>
            <w:bottom w:w="0" w:type="dxa"/>
            <w:right w:w="108" w:type="dxa"/>
          </w:tblCellMar>
        </w:tblPrEx>
        <w:trPr>
          <w:trHeight w:val="27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33</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其他未按招标投标法律法规以及本办法规定进行招标投标活动的。</w:t>
            </w:r>
          </w:p>
        </w:tc>
      </w:tr>
      <w:tr>
        <w:tblPrEx>
          <w:tblCellMar>
            <w:top w:w="0" w:type="dxa"/>
            <w:left w:w="108" w:type="dxa"/>
            <w:bottom w:w="0" w:type="dxa"/>
            <w:right w:w="108" w:type="dxa"/>
          </w:tblCellMar>
        </w:tblPrEx>
        <w:trPr>
          <w:trHeight w:val="27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34</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结算审计金额超出概算100万元且达到原投资计划10%以上的</w:t>
            </w:r>
          </w:p>
        </w:tc>
      </w:tr>
      <w:tr>
        <w:tblPrEx>
          <w:tblCellMar>
            <w:top w:w="0" w:type="dxa"/>
            <w:left w:w="108" w:type="dxa"/>
            <w:bottom w:w="0" w:type="dxa"/>
            <w:right w:w="108" w:type="dxa"/>
          </w:tblCellMar>
        </w:tblPrEx>
        <w:trPr>
          <w:trHeight w:val="270" w:hRule="atLeast"/>
          <w:jc w:val="center"/>
        </w:trPr>
        <w:tc>
          <w:tcPr>
            <w:tcW w:w="758"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b/>
                <w:bCs/>
                <w:kern w:val="0"/>
                <w:sz w:val="22"/>
              </w:rPr>
            </w:pPr>
          </w:p>
        </w:tc>
        <w:tc>
          <w:tcPr>
            <w:tcW w:w="722" w:type="dxa"/>
            <w:tcBorders>
              <w:top w:val="single" w:color="auto" w:sz="4" w:space="0"/>
              <w:left w:val="nil"/>
              <w:bottom w:val="single" w:color="auto" w:sz="4" w:space="0"/>
              <w:right w:val="single" w:color="auto" w:sz="4" w:space="0"/>
            </w:tcBorders>
            <w:shd w:val="clear" w:color="000000" w:fill="FFFFFF"/>
          </w:tcPr>
          <w:p>
            <w:pPr>
              <w:widowControl/>
              <w:jc w:val="center"/>
              <w:rPr>
                <w:rFonts w:hint="eastAsia" w:ascii="宋体" w:hAnsi="宋体" w:eastAsia="宋体" w:cs="宋体"/>
                <w:kern w:val="0"/>
                <w:szCs w:val="21"/>
              </w:rPr>
            </w:pPr>
            <w:r>
              <w:rPr>
                <w:rFonts w:hint="eastAsia" w:ascii="宋体" w:hAnsi="宋体" w:eastAsia="宋体" w:cs="宋体"/>
                <w:kern w:val="0"/>
                <w:szCs w:val="21"/>
              </w:rPr>
              <w:t>35</w:t>
            </w:r>
          </w:p>
        </w:tc>
        <w:tc>
          <w:tcPr>
            <w:tcW w:w="6949" w:type="dxa"/>
            <w:tcBorders>
              <w:top w:val="nil"/>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Cs w:val="21"/>
              </w:rPr>
            </w:pPr>
            <w:r>
              <w:rPr>
                <w:rFonts w:hint="eastAsia" w:ascii="宋体" w:hAnsi="宋体" w:eastAsia="宋体" w:cs="宋体"/>
                <w:kern w:val="0"/>
                <w:szCs w:val="21"/>
              </w:rPr>
              <w:t>建设工程标后评估发现的市场主体其他失误行为</w:t>
            </w:r>
          </w:p>
        </w:tc>
      </w:tr>
    </w:tbl>
    <w:p>
      <w:pPr>
        <w:spacing w:line="360" w:lineRule="auto"/>
        <w:ind w:firstLine="640" w:firstLineChars="200"/>
        <w:rPr>
          <w:rFonts w:ascii="仿宋_GB2312" w:hAnsi="仿宋" w:eastAsia="仿宋_GB2312" w:cs="Times New Roman"/>
          <w:sz w:val="32"/>
          <w:szCs w:val="32"/>
        </w:rPr>
      </w:pPr>
    </w:p>
    <w:p>
      <w:pPr>
        <w:spacing w:line="360" w:lineRule="auto"/>
        <w:ind w:firstLine="640" w:firstLineChars="200"/>
        <w:rPr>
          <w:rFonts w:ascii="仿宋_GB2312" w:hAnsi="仿宋" w:eastAsia="仿宋_GB2312" w:cs="Times New Roman"/>
          <w:sz w:val="32"/>
          <w:szCs w:val="32"/>
        </w:rPr>
      </w:pPr>
    </w:p>
    <w:p>
      <w:pPr>
        <w:spacing w:line="360" w:lineRule="auto"/>
        <w:ind w:firstLine="640" w:firstLineChars="200"/>
        <w:rPr>
          <w:rFonts w:ascii="仿宋_GB2312" w:hAnsi="仿宋" w:eastAsia="仿宋_GB2312" w:cs="Times New Roman"/>
          <w:sz w:val="32"/>
          <w:szCs w:val="32"/>
        </w:rPr>
      </w:pPr>
    </w:p>
    <w:p>
      <w:pPr>
        <w:spacing w:line="360" w:lineRule="auto"/>
        <w:ind w:firstLine="640" w:firstLineChars="200"/>
        <w:rPr>
          <w:rFonts w:ascii="仿宋_GB2312" w:hAnsi="仿宋" w:eastAsia="仿宋_GB2312" w:cs="Times New Roman"/>
          <w:sz w:val="32"/>
          <w:szCs w:val="32"/>
        </w:rPr>
      </w:pPr>
    </w:p>
    <w:p>
      <w:pPr>
        <w:spacing w:line="360" w:lineRule="auto"/>
        <w:ind w:firstLine="640" w:firstLineChars="200"/>
        <w:rPr>
          <w:rFonts w:ascii="仿宋_GB2312" w:hAnsi="仿宋" w:eastAsia="仿宋_GB2312" w:cs="Times New Roman"/>
          <w:sz w:val="32"/>
          <w:szCs w:val="32"/>
        </w:rPr>
      </w:pPr>
    </w:p>
    <w:p>
      <w:pPr>
        <w:spacing w:line="360" w:lineRule="auto"/>
        <w:ind w:firstLine="640" w:firstLineChars="200"/>
        <w:rPr>
          <w:rFonts w:ascii="仿宋_GB2312" w:hAnsi="仿宋" w:eastAsia="仿宋_GB2312" w:cs="Times New Roman"/>
          <w:sz w:val="32"/>
          <w:szCs w:val="32"/>
        </w:rPr>
      </w:pPr>
    </w:p>
    <w:p>
      <w:pPr>
        <w:spacing w:line="360" w:lineRule="auto"/>
        <w:ind w:firstLine="640" w:firstLineChars="200"/>
        <w:rPr>
          <w:rFonts w:ascii="仿宋_GB2312" w:hAnsi="仿宋" w:eastAsia="仿宋_GB2312" w:cs="Times New Roman"/>
          <w:sz w:val="32"/>
          <w:szCs w:val="32"/>
        </w:rPr>
      </w:pPr>
    </w:p>
    <w:p>
      <w:pPr>
        <w:spacing w:line="360" w:lineRule="auto"/>
        <w:ind w:firstLine="640" w:firstLineChars="200"/>
        <w:rPr>
          <w:rFonts w:ascii="仿宋_GB2312" w:hAnsi="仿宋" w:eastAsia="仿宋_GB2312" w:cs="Times New Roman"/>
          <w:sz w:val="32"/>
          <w:szCs w:val="32"/>
        </w:rPr>
      </w:pPr>
    </w:p>
    <w:p>
      <w:pPr>
        <w:spacing w:line="360" w:lineRule="auto"/>
        <w:ind w:firstLine="640" w:firstLineChars="200"/>
        <w:rPr>
          <w:rFonts w:ascii="仿宋_GB2312" w:hAnsi="仿宋" w:eastAsia="仿宋_GB2312" w:cs="Times New Roman"/>
          <w:sz w:val="32"/>
          <w:szCs w:val="32"/>
        </w:rPr>
      </w:pPr>
    </w:p>
    <w:p>
      <w:pPr>
        <w:spacing w:line="360" w:lineRule="auto"/>
        <w:ind w:firstLine="640" w:firstLineChars="200"/>
        <w:rPr>
          <w:rFonts w:ascii="仿宋_GB2312" w:hAnsi="仿宋" w:eastAsia="仿宋_GB2312" w:cs="Times New Roman"/>
          <w:sz w:val="32"/>
          <w:szCs w:val="32"/>
        </w:rPr>
      </w:pPr>
    </w:p>
    <w:p>
      <w:pPr>
        <w:spacing w:line="360" w:lineRule="auto"/>
        <w:ind w:firstLine="640" w:firstLineChars="200"/>
        <w:rPr>
          <w:rFonts w:ascii="仿宋_GB2312" w:hAnsi="仿宋" w:eastAsia="仿宋_GB2312" w:cs="Times New Roman"/>
          <w:sz w:val="32"/>
          <w:szCs w:val="32"/>
        </w:rPr>
      </w:pPr>
    </w:p>
    <w:p>
      <w:pPr>
        <w:spacing w:line="360" w:lineRule="auto"/>
        <w:ind w:firstLine="640" w:firstLineChars="200"/>
        <w:rPr>
          <w:rFonts w:ascii="仿宋_GB2312" w:hAnsi="仿宋" w:eastAsia="仿宋_GB2312" w:cs="Times New Roman"/>
          <w:sz w:val="32"/>
          <w:szCs w:val="32"/>
        </w:rPr>
      </w:pPr>
    </w:p>
    <w:p>
      <w:pPr>
        <w:spacing w:line="360" w:lineRule="auto"/>
        <w:rPr>
          <w:rFonts w:ascii="仿宋_GB2312" w:hAnsi="仿宋" w:eastAsia="仿宋_GB2312"/>
          <w:bCs/>
          <w:sz w:val="28"/>
          <w:szCs w:val="28"/>
        </w:rPr>
      </w:pPr>
    </w:p>
    <w:p>
      <w:pPr>
        <w:pStyle w:val="8"/>
        <w:rPr>
          <w:kern w:val="0"/>
        </w:rPr>
      </w:pPr>
      <w:r>
        <w:rPr>
          <w:rFonts w:hint="eastAsia"/>
          <w:kern w:val="0"/>
        </w:rPr>
        <w:t>附件二、</w:t>
      </w:r>
      <w:r>
        <w:rPr>
          <w:rFonts w:hint="eastAsia" w:ascii="仿宋_GB2312" w:hAnsi="仿宋"/>
        </w:rPr>
        <w:t>《罗湖区建设工程市场主体履约评价结果表》</w:t>
      </w:r>
    </w:p>
    <w:p>
      <w:pPr>
        <w:tabs>
          <w:tab w:val="left" w:pos="1620"/>
        </w:tabs>
        <w:jc w:val="center"/>
        <w:rPr>
          <w:sz w:val="24"/>
        </w:rPr>
      </w:pPr>
      <w:r>
        <w:rPr>
          <w:rFonts w:hint="eastAsia" w:ascii="黑体" w:eastAsia="黑体"/>
          <w:sz w:val="32"/>
          <w:szCs w:val="32"/>
        </w:rPr>
        <w:t>罗湖区建设工程市场主体</w:t>
      </w:r>
      <w:r>
        <w:rPr>
          <w:rFonts w:hint="eastAsia" w:ascii="黑体" w:eastAsia="黑体"/>
          <w:sz w:val="32"/>
        </w:rPr>
        <w:t>履约评价认定书</w:t>
      </w:r>
    </w:p>
    <w:tbl>
      <w:tblPr>
        <w:tblStyle w:val="9"/>
        <w:tblW w:w="89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761"/>
        <w:gridCol w:w="860"/>
        <w:gridCol w:w="540"/>
        <w:gridCol w:w="449"/>
        <w:gridCol w:w="7"/>
        <w:gridCol w:w="804"/>
        <w:gridCol w:w="540"/>
        <w:gridCol w:w="89"/>
        <w:gridCol w:w="7"/>
        <w:gridCol w:w="444"/>
        <w:gridCol w:w="180"/>
        <w:gridCol w:w="1116"/>
        <w:gridCol w:w="11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jc w:val="center"/>
        </w:trPr>
        <w:tc>
          <w:tcPr>
            <w:tcW w:w="1979" w:type="dxa"/>
            <w:vAlign w:val="center"/>
          </w:tcPr>
          <w:p>
            <w:pPr>
              <w:pStyle w:val="3"/>
              <w:tabs>
                <w:tab w:val="left" w:pos="1620"/>
              </w:tabs>
              <w:rPr>
                <w:rFonts w:ascii="仿宋_GB2312" w:hAnsi="宋体" w:eastAsia="仿宋_GB2312" w:cs="Arial Unicode MS"/>
                <w:bCs/>
                <w:sz w:val="24"/>
                <w:szCs w:val="32"/>
              </w:rPr>
            </w:pPr>
            <w:r>
              <w:rPr>
                <w:rFonts w:hint="eastAsia" w:ascii="仿宋_GB2312" w:hAnsi="宋体" w:eastAsia="仿宋_GB2312" w:cs="Arial Unicode MS"/>
                <w:bCs/>
                <w:sz w:val="24"/>
                <w:szCs w:val="32"/>
              </w:rPr>
              <w:t>建设单位名称</w:t>
            </w:r>
          </w:p>
        </w:tc>
        <w:tc>
          <w:tcPr>
            <w:tcW w:w="2161" w:type="dxa"/>
            <w:gridSpan w:val="3"/>
            <w:vAlign w:val="center"/>
          </w:tcPr>
          <w:p>
            <w:pPr>
              <w:pStyle w:val="3"/>
              <w:tabs>
                <w:tab w:val="left" w:pos="1620"/>
              </w:tabs>
              <w:rPr>
                <w:rFonts w:ascii="仿宋_GB2312" w:hAnsi="宋体" w:eastAsia="仿宋_GB2312" w:cs="Arial Unicode MS"/>
                <w:bCs/>
                <w:sz w:val="24"/>
                <w:szCs w:val="32"/>
              </w:rPr>
            </w:pPr>
          </w:p>
        </w:tc>
        <w:tc>
          <w:tcPr>
            <w:tcW w:w="1800" w:type="dxa"/>
            <w:gridSpan w:val="4"/>
            <w:vAlign w:val="center"/>
          </w:tcPr>
          <w:p>
            <w:pPr>
              <w:pStyle w:val="3"/>
              <w:tabs>
                <w:tab w:val="left" w:pos="1620"/>
              </w:tabs>
              <w:rPr>
                <w:rFonts w:ascii="仿宋_GB2312" w:hAnsi="宋体" w:eastAsia="仿宋_GB2312" w:cs="Arial Unicode MS"/>
                <w:bCs/>
                <w:sz w:val="24"/>
                <w:szCs w:val="32"/>
              </w:rPr>
            </w:pPr>
            <w:r>
              <w:rPr>
                <w:rFonts w:hint="eastAsia" w:ascii="仿宋_GB2312" w:hAnsi="宋体" w:eastAsia="仿宋_GB2312" w:cs="Arial Unicode MS"/>
                <w:bCs/>
                <w:sz w:val="24"/>
                <w:szCs w:val="32"/>
              </w:rPr>
              <w:t>评价期限</w:t>
            </w:r>
          </w:p>
        </w:tc>
        <w:tc>
          <w:tcPr>
            <w:tcW w:w="2978" w:type="dxa"/>
            <w:gridSpan w:val="6"/>
            <w:vAlign w:val="center"/>
          </w:tcPr>
          <w:p>
            <w:pPr>
              <w:pStyle w:val="3"/>
              <w:tabs>
                <w:tab w:val="left" w:pos="1620"/>
              </w:tabs>
              <w:rPr>
                <w:rFonts w:ascii="仿宋_GB2312" w:hAnsi="宋体" w:eastAsia="仿宋_GB2312" w:cs="Arial Unicode MS"/>
                <w:bCs/>
                <w:sz w:val="24"/>
                <w:szCs w:val="32"/>
              </w:rPr>
            </w:pPr>
            <w:r>
              <w:rPr>
                <w:rFonts w:hint="eastAsia" w:ascii="仿宋_GB2312" w:hAnsi="宋体" w:eastAsia="仿宋_GB2312" w:cs="Arial Unicode MS"/>
                <w:bCs/>
                <w:sz w:val="24"/>
                <w:szCs w:val="32"/>
              </w:rPr>
              <w:t xml:space="preserve">         年  月  日</w:t>
            </w:r>
          </w:p>
          <w:p>
            <w:pPr>
              <w:pStyle w:val="3"/>
              <w:tabs>
                <w:tab w:val="left" w:pos="1620"/>
              </w:tabs>
              <w:rPr>
                <w:rFonts w:ascii="仿宋_GB2312" w:hAnsi="宋体" w:eastAsia="仿宋_GB2312" w:cs="Arial Unicode MS"/>
                <w:bCs/>
                <w:sz w:val="24"/>
                <w:szCs w:val="32"/>
              </w:rPr>
            </w:pPr>
            <w:r>
              <w:rPr>
                <w:rFonts w:hint="eastAsia" w:ascii="仿宋_GB2312" w:hAnsi="宋体" w:eastAsia="仿宋_GB2312" w:cs="Arial Unicode MS"/>
                <w:bCs/>
                <w:sz w:val="24"/>
                <w:szCs w:val="32"/>
              </w:rPr>
              <w:t>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1979" w:type="dxa"/>
            <w:vAlign w:val="center"/>
          </w:tcPr>
          <w:p>
            <w:pPr>
              <w:pStyle w:val="3"/>
              <w:tabs>
                <w:tab w:val="left" w:pos="1620"/>
              </w:tabs>
              <w:rPr>
                <w:rFonts w:ascii="仿宋_GB2312" w:hAnsi="宋体" w:eastAsia="仿宋_GB2312" w:cs="Arial Unicode MS"/>
                <w:bCs/>
                <w:sz w:val="24"/>
                <w:szCs w:val="32"/>
              </w:rPr>
            </w:pPr>
            <w:r>
              <w:rPr>
                <w:rFonts w:hint="eastAsia" w:ascii="仿宋_GB2312" w:hAnsi="宋体" w:eastAsia="仿宋_GB2312" w:cs="Arial Unicode MS"/>
                <w:bCs/>
                <w:sz w:val="24"/>
                <w:szCs w:val="32"/>
              </w:rPr>
              <w:t>市场主体名称</w:t>
            </w:r>
          </w:p>
        </w:tc>
        <w:tc>
          <w:tcPr>
            <w:tcW w:w="2161" w:type="dxa"/>
            <w:gridSpan w:val="3"/>
            <w:vAlign w:val="center"/>
          </w:tcPr>
          <w:p>
            <w:pPr>
              <w:pStyle w:val="3"/>
              <w:tabs>
                <w:tab w:val="left" w:pos="1620"/>
              </w:tabs>
              <w:rPr>
                <w:rFonts w:ascii="仿宋_GB2312" w:hAnsi="宋体" w:eastAsia="仿宋_GB2312" w:cs="Arial Unicode MS"/>
                <w:bCs/>
                <w:sz w:val="24"/>
                <w:szCs w:val="32"/>
              </w:rPr>
            </w:pPr>
          </w:p>
        </w:tc>
        <w:tc>
          <w:tcPr>
            <w:tcW w:w="1800" w:type="dxa"/>
            <w:gridSpan w:val="4"/>
            <w:vAlign w:val="center"/>
          </w:tcPr>
          <w:p>
            <w:pPr>
              <w:pStyle w:val="3"/>
              <w:tabs>
                <w:tab w:val="left" w:pos="1620"/>
              </w:tabs>
              <w:rPr>
                <w:rFonts w:ascii="仿宋_GB2312" w:hAnsi="宋体" w:eastAsia="仿宋_GB2312" w:cs="Arial Unicode MS"/>
                <w:bCs/>
                <w:sz w:val="24"/>
                <w:szCs w:val="32"/>
              </w:rPr>
            </w:pPr>
            <w:r>
              <w:rPr>
                <w:rFonts w:hint="eastAsia" w:ascii="仿宋_GB2312" w:hAnsi="宋体" w:eastAsia="仿宋_GB2312" w:cs="Arial Unicode MS"/>
                <w:bCs/>
                <w:sz w:val="24"/>
                <w:szCs w:val="32"/>
              </w:rPr>
              <w:t>市场主体资质</w:t>
            </w:r>
          </w:p>
        </w:tc>
        <w:tc>
          <w:tcPr>
            <w:tcW w:w="2978" w:type="dxa"/>
            <w:gridSpan w:val="6"/>
            <w:vAlign w:val="center"/>
          </w:tcPr>
          <w:p>
            <w:pPr>
              <w:pStyle w:val="3"/>
              <w:tabs>
                <w:tab w:val="left" w:pos="1620"/>
              </w:tabs>
              <w:ind w:firstLine="348" w:firstLineChars="145"/>
              <w:rPr>
                <w:rFonts w:ascii="仿宋_GB2312" w:hAnsi="宋体" w:eastAsia="仿宋_GB2312" w:cs="Arial Unicode MS"/>
                <w:bCs/>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979" w:type="dxa"/>
            <w:vAlign w:val="center"/>
          </w:tcPr>
          <w:p>
            <w:pPr>
              <w:pStyle w:val="3"/>
              <w:tabs>
                <w:tab w:val="left" w:pos="1620"/>
              </w:tabs>
              <w:jc w:val="center"/>
              <w:rPr>
                <w:rFonts w:ascii="仿宋_GB2312" w:hAnsi="宋体" w:eastAsia="仿宋_GB2312" w:cs="Arial Unicode MS"/>
                <w:bCs/>
                <w:sz w:val="24"/>
                <w:szCs w:val="32"/>
              </w:rPr>
            </w:pPr>
            <w:r>
              <w:rPr>
                <w:rFonts w:hint="eastAsia" w:ascii="仿宋_GB2312" w:hAnsi="宋体" w:eastAsia="仿宋_GB2312" w:cs="Arial Unicode MS"/>
                <w:bCs/>
                <w:sz w:val="24"/>
                <w:szCs w:val="32"/>
              </w:rPr>
              <w:t>法定代表人</w:t>
            </w:r>
          </w:p>
          <w:p>
            <w:pPr>
              <w:pStyle w:val="3"/>
              <w:tabs>
                <w:tab w:val="left" w:pos="1620"/>
              </w:tabs>
              <w:jc w:val="center"/>
              <w:rPr>
                <w:rFonts w:ascii="仿宋_GB2312" w:hAnsi="宋体" w:eastAsia="仿宋_GB2312" w:cs="Arial Unicode MS"/>
                <w:bCs/>
                <w:sz w:val="24"/>
                <w:szCs w:val="32"/>
              </w:rPr>
            </w:pPr>
            <w:r>
              <w:rPr>
                <w:rFonts w:hint="eastAsia" w:ascii="仿宋_GB2312" w:hAnsi="宋体" w:eastAsia="仿宋_GB2312" w:cs="Arial Unicode MS"/>
                <w:bCs/>
                <w:sz w:val="24"/>
                <w:szCs w:val="32"/>
              </w:rPr>
              <w:t>及联系方式</w:t>
            </w:r>
          </w:p>
        </w:tc>
        <w:tc>
          <w:tcPr>
            <w:tcW w:w="2161" w:type="dxa"/>
            <w:gridSpan w:val="3"/>
            <w:vAlign w:val="center"/>
          </w:tcPr>
          <w:p>
            <w:pPr>
              <w:pStyle w:val="3"/>
              <w:tabs>
                <w:tab w:val="left" w:pos="1620"/>
              </w:tabs>
              <w:rPr>
                <w:rFonts w:ascii="仿宋_GB2312" w:hAnsi="宋体" w:eastAsia="仿宋_GB2312" w:cs="Arial Unicode MS"/>
                <w:bCs/>
                <w:sz w:val="24"/>
                <w:szCs w:val="32"/>
              </w:rPr>
            </w:pPr>
          </w:p>
        </w:tc>
        <w:tc>
          <w:tcPr>
            <w:tcW w:w="1800" w:type="dxa"/>
            <w:gridSpan w:val="4"/>
            <w:vAlign w:val="center"/>
          </w:tcPr>
          <w:p>
            <w:pPr>
              <w:pStyle w:val="3"/>
              <w:tabs>
                <w:tab w:val="left" w:pos="1620"/>
              </w:tabs>
              <w:ind w:left="-2" w:leftChars="-51" w:hanging="105" w:hangingChars="44"/>
              <w:jc w:val="center"/>
              <w:rPr>
                <w:rFonts w:ascii="仿宋_GB2312" w:hAnsi="宋体" w:eastAsia="仿宋_GB2312" w:cs="Arial Unicode MS"/>
                <w:bCs/>
                <w:sz w:val="24"/>
                <w:szCs w:val="32"/>
              </w:rPr>
            </w:pPr>
            <w:r>
              <w:rPr>
                <w:rFonts w:hint="eastAsia" w:ascii="仿宋_GB2312" w:hAnsi="宋体" w:eastAsia="仿宋_GB2312" w:cs="Arial Unicode MS"/>
                <w:bCs/>
                <w:sz w:val="24"/>
                <w:szCs w:val="32"/>
              </w:rPr>
              <w:t>项目负责人</w:t>
            </w:r>
          </w:p>
          <w:p>
            <w:pPr>
              <w:pStyle w:val="3"/>
              <w:tabs>
                <w:tab w:val="left" w:pos="1620"/>
              </w:tabs>
              <w:ind w:left="-2" w:leftChars="-51" w:hanging="105" w:hangingChars="44"/>
              <w:jc w:val="center"/>
              <w:rPr>
                <w:rFonts w:ascii="仿宋_GB2312" w:hAnsi="宋体" w:eastAsia="仿宋_GB2312" w:cs="Arial Unicode MS"/>
                <w:bCs/>
                <w:sz w:val="24"/>
                <w:szCs w:val="32"/>
              </w:rPr>
            </w:pPr>
            <w:r>
              <w:rPr>
                <w:rFonts w:hint="eastAsia" w:ascii="仿宋_GB2312" w:hAnsi="宋体" w:eastAsia="仿宋_GB2312" w:cs="Arial Unicode MS"/>
                <w:bCs/>
                <w:sz w:val="24"/>
                <w:szCs w:val="32"/>
              </w:rPr>
              <w:t>及联系方式</w:t>
            </w:r>
          </w:p>
        </w:tc>
        <w:tc>
          <w:tcPr>
            <w:tcW w:w="2978" w:type="dxa"/>
            <w:gridSpan w:val="6"/>
            <w:vAlign w:val="center"/>
          </w:tcPr>
          <w:p>
            <w:pPr>
              <w:pStyle w:val="3"/>
              <w:tabs>
                <w:tab w:val="left" w:pos="1620"/>
              </w:tabs>
              <w:rPr>
                <w:rFonts w:ascii="仿宋_GB2312" w:hAnsi="宋体" w:eastAsia="仿宋_GB2312" w:cs="Arial Unicode MS"/>
                <w:bCs/>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1979" w:type="dxa"/>
            <w:vAlign w:val="center"/>
          </w:tcPr>
          <w:p>
            <w:pPr>
              <w:pStyle w:val="3"/>
              <w:tabs>
                <w:tab w:val="left" w:pos="1620"/>
              </w:tabs>
              <w:rPr>
                <w:rFonts w:ascii="仿宋_GB2312" w:hAnsi="宋体" w:eastAsia="仿宋_GB2312" w:cs="Arial Unicode MS"/>
                <w:bCs/>
                <w:sz w:val="24"/>
                <w:szCs w:val="32"/>
              </w:rPr>
            </w:pPr>
            <w:r>
              <w:rPr>
                <w:rFonts w:hint="eastAsia" w:ascii="仿宋_GB2312" w:hAnsi="宋体" w:eastAsia="仿宋_GB2312" w:cs="Arial Unicode MS"/>
                <w:bCs/>
                <w:sz w:val="24"/>
                <w:szCs w:val="32"/>
              </w:rPr>
              <w:t>企业地址</w:t>
            </w:r>
          </w:p>
        </w:tc>
        <w:tc>
          <w:tcPr>
            <w:tcW w:w="6939" w:type="dxa"/>
            <w:gridSpan w:val="13"/>
            <w:vAlign w:val="center"/>
          </w:tcPr>
          <w:p>
            <w:pPr>
              <w:pStyle w:val="3"/>
              <w:tabs>
                <w:tab w:val="left" w:pos="1620"/>
              </w:tabs>
              <w:rPr>
                <w:rFonts w:ascii="仿宋_GB2312" w:hAnsi="宋体" w:eastAsia="仿宋_GB2312" w:cs="Arial Unicode MS"/>
                <w:bCs/>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979" w:type="dxa"/>
            <w:vAlign w:val="center"/>
          </w:tcPr>
          <w:p>
            <w:pPr>
              <w:pStyle w:val="3"/>
              <w:tabs>
                <w:tab w:val="left" w:pos="1620"/>
              </w:tabs>
              <w:rPr>
                <w:rFonts w:ascii="仿宋_GB2312" w:hAnsi="Arial Unicode MS" w:eastAsia="仿宋_GB2312" w:cs="Arial Unicode MS"/>
                <w:sz w:val="24"/>
              </w:rPr>
            </w:pPr>
            <w:r>
              <w:rPr>
                <w:rFonts w:hint="eastAsia" w:ascii="仿宋_GB2312" w:hAnsi="Arial Unicode MS" w:eastAsia="仿宋_GB2312" w:cs="Arial Unicode MS"/>
                <w:sz w:val="24"/>
              </w:rPr>
              <w:t>工程名称</w:t>
            </w:r>
          </w:p>
        </w:tc>
        <w:tc>
          <w:tcPr>
            <w:tcW w:w="2617" w:type="dxa"/>
            <w:gridSpan w:val="5"/>
            <w:vAlign w:val="center"/>
          </w:tcPr>
          <w:p>
            <w:pPr>
              <w:pStyle w:val="3"/>
              <w:tabs>
                <w:tab w:val="left" w:pos="1620"/>
              </w:tabs>
              <w:rPr>
                <w:rFonts w:ascii="仿宋_GB2312" w:hAnsi="宋体" w:eastAsia="仿宋_GB2312" w:cs="Arial Unicode MS"/>
                <w:bCs/>
                <w:sz w:val="24"/>
              </w:rPr>
            </w:pPr>
          </w:p>
        </w:tc>
        <w:tc>
          <w:tcPr>
            <w:tcW w:w="1440" w:type="dxa"/>
            <w:gridSpan w:val="4"/>
            <w:vAlign w:val="center"/>
          </w:tcPr>
          <w:p>
            <w:pPr>
              <w:pStyle w:val="3"/>
              <w:tabs>
                <w:tab w:val="left" w:pos="1620"/>
              </w:tabs>
              <w:rPr>
                <w:rFonts w:ascii="仿宋_GB2312" w:hAnsi="宋体" w:eastAsia="仿宋_GB2312" w:cs="Arial Unicode MS"/>
                <w:bCs/>
                <w:sz w:val="24"/>
              </w:rPr>
            </w:pPr>
            <w:r>
              <w:rPr>
                <w:rFonts w:hint="eastAsia" w:ascii="仿宋_GB2312" w:hAnsi="宋体" w:eastAsia="仿宋_GB2312" w:cs="Arial Unicode MS"/>
                <w:bCs/>
                <w:sz w:val="24"/>
              </w:rPr>
              <w:t>承包范围</w:t>
            </w:r>
          </w:p>
        </w:tc>
        <w:tc>
          <w:tcPr>
            <w:tcW w:w="2882" w:type="dxa"/>
            <w:gridSpan w:val="4"/>
            <w:vAlign w:val="center"/>
          </w:tcPr>
          <w:p>
            <w:pPr>
              <w:pStyle w:val="3"/>
              <w:tabs>
                <w:tab w:val="left" w:pos="1620"/>
              </w:tabs>
              <w:rPr>
                <w:rFonts w:ascii="仿宋_GB2312" w:hAnsi="宋体" w:eastAsia="仿宋_GB2312" w:cs="Arial Unicode MS"/>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979" w:type="dxa"/>
            <w:vAlign w:val="center"/>
          </w:tcPr>
          <w:p>
            <w:pPr>
              <w:pStyle w:val="3"/>
              <w:tabs>
                <w:tab w:val="left" w:pos="1620"/>
              </w:tabs>
              <w:rPr>
                <w:rFonts w:ascii="仿宋_GB2312" w:hAnsi="Arial Unicode MS" w:eastAsia="仿宋_GB2312" w:cs="Arial Unicode MS"/>
                <w:sz w:val="24"/>
              </w:rPr>
            </w:pPr>
            <w:r>
              <w:rPr>
                <w:rFonts w:hint="eastAsia" w:ascii="仿宋_GB2312" w:hAnsi="Arial Unicode MS" w:eastAsia="仿宋_GB2312" w:cs="Arial Unicode MS"/>
                <w:sz w:val="24"/>
              </w:rPr>
              <w:t>工程地点</w:t>
            </w:r>
          </w:p>
        </w:tc>
        <w:tc>
          <w:tcPr>
            <w:tcW w:w="2610" w:type="dxa"/>
            <w:gridSpan w:val="4"/>
            <w:vAlign w:val="center"/>
          </w:tcPr>
          <w:p>
            <w:pPr>
              <w:pStyle w:val="3"/>
              <w:tabs>
                <w:tab w:val="left" w:pos="1620"/>
              </w:tabs>
              <w:rPr>
                <w:rFonts w:ascii="仿宋_GB2312" w:hAnsi="宋体" w:eastAsia="仿宋_GB2312" w:cs="Arial Unicode MS"/>
                <w:bCs/>
                <w:sz w:val="24"/>
              </w:rPr>
            </w:pPr>
          </w:p>
        </w:tc>
        <w:tc>
          <w:tcPr>
            <w:tcW w:w="1440" w:type="dxa"/>
            <w:gridSpan w:val="4"/>
            <w:vAlign w:val="center"/>
          </w:tcPr>
          <w:p>
            <w:pPr>
              <w:pStyle w:val="3"/>
              <w:tabs>
                <w:tab w:val="left" w:pos="1620"/>
              </w:tabs>
              <w:rPr>
                <w:rFonts w:ascii="仿宋_GB2312" w:hAnsi="宋体" w:eastAsia="仿宋_GB2312" w:cs="Arial Unicode MS"/>
                <w:bCs/>
                <w:sz w:val="24"/>
              </w:rPr>
            </w:pPr>
            <w:r>
              <w:rPr>
                <w:rFonts w:hint="eastAsia" w:ascii="仿宋_GB2312" w:hAnsi="宋体" w:eastAsia="仿宋_GB2312" w:cs="Arial Unicode MS"/>
                <w:bCs/>
                <w:sz w:val="24"/>
              </w:rPr>
              <w:t>工程合同价</w:t>
            </w:r>
          </w:p>
        </w:tc>
        <w:tc>
          <w:tcPr>
            <w:tcW w:w="2889" w:type="dxa"/>
            <w:gridSpan w:val="5"/>
            <w:vAlign w:val="center"/>
          </w:tcPr>
          <w:p>
            <w:pPr>
              <w:pStyle w:val="3"/>
              <w:tabs>
                <w:tab w:val="left" w:pos="1620"/>
              </w:tabs>
              <w:rPr>
                <w:rFonts w:ascii="仿宋_GB2312" w:hAnsi="宋体" w:eastAsia="仿宋_GB2312" w:cs="Arial Unicode MS"/>
                <w:bCs/>
                <w:sz w:val="24"/>
              </w:rPr>
            </w:pPr>
            <w:r>
              <w:rPr>
                <w:rFonts w:hint="eastAsia" w:ascii="仿宋_GB2312" w:hAnsi="宋体" w:eastAsia="仿宋_GB2312" w:cs="Arial Unicode MS"/>
                <w:bCs/>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979" w:type="dxa"/>
            <w:vAlign w:val="center"/>
          </w:tcPr>
          <w:p>
            <w:pPr>
              <w:pStyle w:val="3"/>
              <w:tabs>
                <w:tab w:val="left" w:pos="1620"/>
              </w:tabs>
              <w:rPr>
                <w:rFonts w:ascii="仿宋_GB2312" w:hAnsi="Arial Unicode MS" w:eastAsia="仿宋_GB2312" w:cs="Arial Unicode MS"/>
                <w:sz w:val="24"/>
              </w:rPr>
            </w:pPr>
            <w:r>
              <w:rPr>
                <w:rFonts w:hint="eastAsia" w:ascii="仿宋_GB2312" w:hAnsi="Arial Unicode MS" w:eastAsia="仿宋_GB2312" w:cs="Arial Unicode MS"/>
                <w:sz w:val="24"/>
              </w:rPr>
              <w:t>合同开工日期</w:t>
            </w:r>
          </w:p>
        </w:tc>
        <w:tc>
          <w:tcPr>
            <w:tcW w:w="1621" w:type="dxa"/>
            <w:gridSpan w:val="2"/>
            <w:vAlign w:val="center"/>
          </w:tcPr>
          <w:p>
            <w:pPr>
              <w:pStyle w:val="3"/>
              <w:tabs>
                <w:tab w:val="left" w:pos="1620"/>
              </w:tabs>
              <w:rPr>
                <w:rFonts w:ascii="仿宋_GB2312" w:hAnsi="宋体" w:eastAsia="仿宋_GB2312" w:cs="Arial Unicode MS"/>
                <w:bCs/>
                <w:sz w:val="24"/>
              </w:rPr>
            </w:pPr>
          </w:p>
        </w:tc>
        <w:tc>
          <w:tcPr>
            <w:tcW w:w="1800" w:type="dxa"/>
            <w:gridSpan w:val="4"/>
            <w:vAlign w:val="center"/>
          </w:tcPr>
          <w:p>
            <w:pPr>
              <w:pStyle w:val="3"/>
              <w:tabs>
                <w:tab w:val="left" w:pos="1620"/>
              </w:tabs>
              <w:rPr>
                <w:rFonts w:ascii="仿宋_GB2312" w:hAnsi="宋体" w:eastAsia="仿宋_GB2312" w:cs="Arial Unicode MS"/>
                <w:bCs/>
                <w:sz w:val="24"/>
              </w:rPr>
            </w:pPr>
            <w:r>
              <w:rPr>
                <w:rFonts w:hint="eastAsia" w:ascii="仿宋_GB2312" w:hAnsi="宋体" w:eastAsia="仿宋_GB2312" w:cs="Arial Unicode MS"/>
                <w:bCs/>
                <w:sz w:val="24"/>
              </w:rPr>
              <w:t>合同竣工日期</w:t>
            </w:r>
          </w:p>
        </w:tc>
        <w:tc>
          <w:tcPr>
            <w:tcW w:w="1080" w:type="dxa"/>
            <w:gridSpan w:val="4"/>
            <w:vAlign w:val="center"/>
          </w:tcPr>
          <w:p>
            <w:pPr>
              <w:pStyle w:val="3"/>
              <w:tabs>
                <w:tab w:val="left" w:pos="1620"/>
              </w:tabs>
              <w:rPr>
                <w:rFonts w:ascii="仿宋_GB2312" w:hAnsi="宋体" w:eastAsia="仿宋_GB2312" w:cs="Arial Unicode MS"/>
                <w:bCs/>
                <w:sz w:val="24"/>
              </w:rPr>
            </w:pPr>
          </w:p>
        </w:tc>
        <w:tc>
          <w:tcPr>
            <w:tcW w:w="1296" w:type="dxa"/>
            <w:gridSpan w:val="2"/>
            <w:vAlign w:val="center"/>
          </w:tcPr>
          <w:p>
            <w:pPr>
              <w:pStyle w:val="3"/>
              <w:tabs>
                <w:tab w:val="left" w:pos="1620"/>
              </w:tabs>
              <w:rPr>
                <w:rFonts w:ascii="仿宋_GB2312" w:hAnsi="宋体" w:eastAsia="仿宋_GB2312" w:cs="Arial Unicode MS"/>
                <w:bCs/>
                <w:sz w:val="24"/>
              </w:rPr>
            </w:pPr>
            <w:r>
              <w:rPr>
                <w:rFonts w:hint="eastAsia" w:ascii="仿宋_GB2312" w:hAnsi="宋体" w:eastAsia="仿宋_GB2312" w:cs="Arial Unicode MS"/>
                <w:bCs/>
                <w:sz w:val="24"/>
              </w:rPr>
              <w:t>合同工期</w:t>
            </w:r>
          </w:p>
        </w:tc>
        <w:tc>
          <w:tcPr>
            <w:tcW w:w="1142" w:type="dxa"/>
            <w:vAlign w:val="center"/>
          </w:tcPr>
          <w:p>
            <w:pPr>
              <w:pStyle w:val="3"/>
              <w:tabs>
                <w:tab w:val="left" w:pos="1620"/>
              </w:tabs>
              <w:rPr>
                <w:rFonts w:ascii="仿宋_GB2312" w:hAnsi="宋体" w:eastAsia="仿宋_GB2312" w:cs="Arial Unicode MS"/>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979" w:type="dxa"/>
            <w:vAlign w:val="center"/>
          </w:tcPr>
          <w:p>
            <w:pPr>
              <w:pStyle w:val="3"/>
              <w:tabs>
                <w:tab w:val="left" w:pos="1620"/>
              </w:tabs>
              <w:rPr>
                <w:rFonts w:ascii="仿宋_GB2312" w:hAnsi="Arial Unicode MS" w:eastAsia="仿宋_GB2312" w:cs="Arial Unicode MS"/>
                <w:sz w:val="24"/>
              </w:rPr>
            </w:pPr>
            <w:r>
              <w:rPr>
                <w:rFonts w:hint="eastAsia" w:ascii="仿宋_GB2312" w:hAnsi="Arial Unicode MS" w:eastAsia="仿宋_GB2312" w:cs="Arial Unicode MS"/>
                <w:sz w:val="24"/>
              </w:rPr>
              <w:t>实际开工日期</w:t>
            </w:r>
          </w:p>
        </w:tc>
        <w:tc>
          <w:tcPr>
            <w:tcW w:w="1621" w:type="dxa"/>
            <w:gridSpan w:val="2"/>
            <w:vAlign w:val="center"/>
          </w:tcPr>
          <w:p>
            <w:pPr>
              <w:pStyle w:val="3"/>
              <w:tabs>
                <w:tab w:val="left" w:pos="1620"/>
              </w:tabs>
              <w:rPr>
                <w:rFonts w:ascii="仿宋_GB2312" w:hAnsi="宋体" w:eastAsia="仿宋_GB2312" w:cs="Arial Unicode MS"/>
                <w:bCs/>
                <w:sz w:val="24"/>
              </w:rPr>
            </w:pPr>
          </w:p>
        </w:tc>
        <w:tc>
          <w:tcPr>
            <w:tcW w:w="1800" w:type="dxa"/>
            <w:gridSpan w:val="4"/>
            <w:vAlign w:val="center"/>
          </w:tcPr>
          <w:p>
            <w:pPr>
              <w:pStyle w:val="3"/>
              <w:tabs>
                <w:tab w:val="left" w:pos="1620"/>
              </w:tabs>
              <w:rPr>
                <w:rFonts w:ascii="仿宋_GB2312" w:hAnsi="宋体" w:eastAsia="仿宋_GB2312" w:cs="Arial Unicode MS"/>
                <w:bCs/>
                <w:sz w:val="24"/>
              </w:rPr>
            </w:pPr>
            <w:r>
              <w:rPr>
                <w:rFonts w:hint="eastAsia" w:ascii="仿宋_GB2312" w:hAnsi="宋体" w:eastAsia="仿宋_GB2312" w:cs="Arial Unicode MS"/>
                <w:bCs/>
                <w:sz w:val="24"/>
              </w:rPr>
              <w:t>实际竣工日期</w:t>
            </w:r>
          </w:p>
        </w:tc>
        <w:tc>
          <w:tcPr>
            <w:tcW w:w="1080" w:type="dxa"/>
            <w:gridSpan w:val="4"/>
            <w:vAlign w:val="center"/>
          </w:tcPr>
          <w:p>
            <w:pPr>
              <w:pStyle w:val="3"/>
              <w:tabs>
                <w:tab w:val="left" w:pos="1620"/>
              </w:tabs>
              <w:rPr>
                <w:rFonts w:ascii="仿宋_GB2312" w:hAnsi="宋体" w:eastAsia="仿宋_GB2312" w:cs="Arial Unicode MS"/>
                <w:bCs/>
                <w:sz w:val="24"/>
              </w:rPr>
            </w:pPr>
          </w:p>
        </w:tc>
        <w:tc>
          <w:tcPr>
            <w:tcW w:w="1296" w:type="dxa"/>
            <w:gridSpan w:val="2"/>
            <w:vAlign w:val="center"/>
          </w:tcPr>
          <w:p>
            <w:pPr>
              <w:pStyle w:val="3"/>
              <w:tabs>
                <w:tab w:val="left" w:pos="1620"/>
              </w:tabs>
              <w:rPr>
                <w:rFonts w:ascii="仿宋_GB2312" w:hAnsi="宋体" w:eastAsia="仿宋_GB2312" w:cs="Arial Unicode MS"/>
                <w:bCs/>
                <w:sz w:val="24"/>
              </w:rPr>
            </w:pPr>
            <w:r>
              <w:rPr>
                <w:rFonts w:hint="eastAsia" w:ascii="仿宋_GB2312" w:hAnsi="宋体" w:eastAsia="仿宋_GB2312" w:cs="Arial Unicode MS"/>
                <w:bCs/>
                <w:sz w:val="24"/>
              </w:rPr>
              <w:t>实际工期</w:t>
            </w:r>
          </w:p>
        </w:tc>
        <w:tc>
          <w:tcPr>
            <w:tcW w:w="1142" w:type="dxa"/>
            <w:vAlign w:val="center"/>
          </w:tcPr>
          <w:p>
            <w:pPr>
              <w:pStyle w:val="3"/>
              <w:tabs>
                <w:tab w:val="left" w:pos="1620"/>
              </w:tabs>
              <w:rPr>
                <w:rFonts w:ascii="仿宋_GB2312" w:hAnsi="宋体" w:eastAsia="仿宋_GB2312" w:cs="Arial Unicode MS"/>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918" w:type="dxa"/>
            <w:gridSpan w:val="14"/>
            <w:vAlign w:val="center"/>
          </w:tcPr>
          <w:p>
            <w:pPr>
              <w:pStyle w:val="3"/>
              <w:tabs>
                <w:tab w:val="left" w:pos="1620"/>
              </w:tabs>
              <w:rPr>
                <w:rFonts w:ascii="仿宋_GB2312" w:hAnsi="宋体" w:eastAsia="仿宋_GB2312" w:cs="Arial Unicode MS"/>
                <w:bCs/>
                <w:sz w:val="24"/>
              </w:rPr>
            </w:pPr>
            <w:r>
              <w:rPr>
                <w:rFonts w:hint="eastAsia" w:ascii="仿宋_GB2312" w:hAnsi="宋体" w:eastAsia="仿宋_GB2312" w:cs="Arial Unicode MS"/>
                <w:bCs/>
                <w:sz w:val="24"/>
              </w:rPr>
              <w:t>履约评价分项得分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660" w:type="dxa"/>
            <w:gridSpan w:val="12"/>
            <w:vAlign w:val="center"/>
          </w:tcPr>
          <w:p>
            <w:pPr>
              <w:pStyle w:val="3"/>
              <w:tabs>
                <w:tab w:val="left" w:pos="1620"/>
              </w:tabs>
              <w:jc w:val="center"/>
              <w:rPr>
                <w:rFonts w:ascii="仿宋_GB2312" w:hAnsi="宋体" w:eastAsia="仿宋_GB2312" w:cs="Arial Unicode MS"/>
                <w:bCs/>
                <w:sz w:val="24"/>
              </w:rPr>
            </w:pPr>
            <w:r>
              <w:rPr>
                <w:rFonts w:hint="eastAsia" w:ascii="仿宋_GB2312" w:hAnsi="宋体" w:eastAsia="仿宋_GB2312" w:cs="Arial Unicode MS"/>
                <w:bCs/>
                <w:sz w:val="24"/>
              </w:rPr>
              <w:t>分  项  内  容</w:t>
            </w:r>
          </w:p>
        </w:tc>
        <w:tc>
          <w:tcPr>
            <w:tcW w:w="2258" w:type="dxa"/>
            <w:gridSpan w:val="2"/>
            <w:vAlign w:val="center"/>
          </w:tcPr>
          <w:p>
            <w:pPr>
              <w:pStyle w:val="3"/>
              <w:tabs>
                <w:tab w:val="left" w:pos="1620"/>
              </w:tabs>
              <w:jc w:val="center"/>
              <w:rPr>
                <w:rFonts w:ascii="仿宋_GB2312" w:hAnsi="宋体" w:eastAsia="仿宋_GB2312" w:cs="Arial Unicode MS"/>
                <w:bCs/>
                <w:sz w:val="24"/>
              </w:rPr>
            </w:pPr>
            <w:r>
              <w:rPr>
                <w:rFonts w:hint="eastAsia" w:ascii="仿宋_GB2312" w:hAnsi="宋体" w:eastAsia="仿宋_GB2312" w:cs="Arial Unicode MS"/>
                <w:bCs/>
                <w:sz w:val="24"/>
              </w:rPr>
              <w:t>得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660" w:type="dxa"/>
            <w:gridSpan w:val="12"/>
            <w:vAlign w:val="center"/>
          </w:tcPr>
          <w:p>
            <w:pPr>
              <w:pStyle w:val="3"/>
              <w:tabs>
                <w:tab w:val="left" w:pos="1620"/>
              </w:tabs>
              <w:rPr>
                <w:rFonts w:ascii="仿宋_GB2312" w:hAnsi="宋体" w:eastAsia="仿宋_GB2312" w:cs="Arial Unicode MS"/>
                <w:bCs/>
                <w:sz w:val="24"/>
              </w:rPr>
            </w:pPr>
          </w:p>
        </w:tc>
        <w:tc>
          <w:tcPr>
            <w:tcW w:w="2258" w:type="dxa"/>
            <w:gridSpan w:val="2"/>
            <w:vAlign w:val="center"/>
          </w:tcPr>
          <w:p>
            <w:pPr>
              <w:pStyle w:val="3"/>
              <w:tabs>
                <w:tab w:val="left" w:pos="1620"/>
              </w:tabs>
              <w:rPr>
                <w:rFonts w:ascii="仿宋_GB2312" w:hAnsi="宋体" w:eastAsia="仿宋_GB2312" w:cs="Arial Unicode MS"/>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660" w:type="dxa"/>
            <w:gridSpan w:val="12"/>
            <w:vAlign w:val="center"/>
          </w:tcPr>
          <w:p>
            <w:pPr>
              <w:pStyle w:val="3"/>
              <w:tabs>
                <w:tab w:val="left" w:pos="1620"/>
              </w:tabs>
              <w:rPr>
                <w:rFonts w:ascii="仿宋_GB2312" w:hAnsi="宋体" w:eastAsia="仿宋_GB2312" w:cs="Arial Unicode MS"/>
                <w:bCs/>
                <w:sz w:val="24"/>
              </w:rPr>
            </w:pPr>
          </w:p>
        </w:tc>
        <w:tc>
          <w:tcPr>
            <w:tcW w:w="2258" w:type="dxa"/>
            <w:gridSpan w:val="2"/>
            <w:vAlign w:val="center"/>
          </w:tcPr>
          <w:p>
            <w:pPr>
              <w:pStyle w:val="3"/>
              <w:tabs>
                <w:tab w:val="left" w:pos="1620"/>
              </w:tabs>
              <w:rPr>
                <w:rFonts w:ascii="仿宋_GB2312" w:hAnsi="宋体" w:eastAsia="仿宋_GB2312" w:cs="Arial Unicode MS"/>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660" w:type="dxa"/>
            <w:gridSpan w:val="12"/>
            <w:vAlign w:val="center"/>
          </w:tcPr>
          <w:p>
            <w:pPr>
              <w:pStyle w:val="3"/>
              <w:tabs>
                <w:tab w:val="left" w:pos="1620"/>
              </w:tabs>
              <w:rPr>
                <w:rFonts w:ascii="仿宋_GB2312" w:hAnsi="宋体" w:eastAsia="仿宋_GB2312" w:cs="Arial Unicode MS"/>
                <w:bCs/>
                <w:sz w:val="24"/>
              </w:rPr>
            </w:pPr>
          </w:p>
        </w:tc>
        <w:tc>
          <w:tcPr>
            <w:tcW w:w="2258" w:type="dxa"/>
            <w:gridSpan w:val="2"/>
            <w:vAlign w:val="center"/>
          </w:tcPr>
          <w:p>
            <w:pPr>
              <w:pStyle w:val="3"/>
              <w:tabs>
                <w:tab w:val="left" w:pos="1620"/>
              </w:tabs>
              <w:rPr>
                <w:rFonts w:ascii="仿宋_GB2312" w:hAnsi="宋体" w:eastAsia="仿宋_GB2312" w:cs="Arial Unicode MS"/>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660" w:type="dxa"/>
            <w:gridSpan w:val="12"/>
            <w:vAlign w:val="center"/>
          </w:tcPr>
          <w:p>
            <w:pPr>
              <w:pStyle w:val="3"/>
              <w:tabs>
                <w:tab w:val="left" w:pos="1620"/>
              </w:tabs>
              <w:rPr>
                <w:rFonts w:ascii="仿宋_GB2312" w:hAnsi="宋体" w:eastAsia="仿宋_GB2312" w:cs="Arial Unicode MS"/>
                <w:bCs/>
                <w:sz w:val="24"/>
              </w:rPr>
            </w:pPr>
          </w:p>
        </w:tc>
        <w:tc>
          <w:tcPr>
            <w:tcW w:w="2258" w:type="dxa"/>
            <w:gridSpan w:val="2"/>
            <w:vAlign w:val="center"/>
          </w:tcPr>
          <w:p>
            <w:pPr>
              <w:pStyle w:val="3"/>
              <w:tabs>
                <w:tab w:val="left" w:pos="1620"/>
              </w:tabs>
              <w:rPr>
                <w:rFonts w:ascii="仿宋_GB2312" w:hAnsi="宋体" w:eastAsia="仿宋_GB2312" w:cs="Arial Unicode MS"/>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660" w:type="dxa"/>
            <w:gridSpan w:val="12"/>
            <w:vAlign w:val="center"/>
          </w:tcPr>
          <w:p>
            <w:pPr>
              <w:pStyle w:val="3"/>
              <w:tabs>
                <w:tab w:val="left" w:pos="1620"/>
              </w:tabs>
              <w:rPr>
                <w:rFonts w:ascii="仿宋_GB2312" w:hAnsi="宋体" w:eastAsia="仿宋_GB2312" w:cs="Arial Unicode MS"/>
                <w:bCs/>
                <w:sz w:val="24"/>
              </w:rPr>
            </w:pPr>
          </w:p>
        </w:tc>
        <w:tc>
          <w:tcPr>
            <w:tcW w:w="2258" w:type="dxa"/>
            <w:gridSpan w:val="2"/>
            <w:vAlign w:val="center"/>
          </w:tcPr>
          <w:p>
            <w:pPr>
              <w:pStyle w:val="3"/>
              <w:tabs>
                <w:tab w:val="left" w:pos="1620"/>
              </w:tabs>
              <w:rPr>
                <w:rFonts w:ascii="仿宋_GB2312" w:hAnsi="宋体" w:eastAsia="仿宋_GB2312" w:cs="Arial Unicode MS"/>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6660" w:type="dxa"/>
            <w:gridSpan w:val="12"/>
            <w:vAlign w:val="center"/>
          </w:tcPr>
          <w:p>
            <w:pPr>
              <w:pStyle w:val="3"/>
              <w:tabs>
                <w:tab w:val="left" w:pos="1620"/>
              </w:tabs>
              <w:rPr>
                <w:rFonts w:ascii="仿宋_GB2312" w:hAnsi="宋体" w:eastAsia="仿宋_GB2312" w:cs="Arial Unicode MS"/>
                <w:bCs/>
                <w:sz w:val="24"/>
              </w:rPr>
            </w:pPr>
            <w:r>
              <w:rPr>
                <w:rFonts w:hint="eastAsia" w:ascii="仿宋_GB2312" w:hAnsi="宋体" w:eastAsia="仿宋_GB2312" w:cs="Arial Unicode MS"/>
                <w:bCs/>
                <w:sz w:val="24"/>
              </w:rPr>
              <w:t>合计</w:t>
            </w:r>
          </w:p>
        </w:tc>
        <w:tc>
          <w:tcPr>
            <w:tcW w:w="2258" w:type="dxa"/>
            <w:gridSpan w:val="2"/>
            <w:vAlign w:val="center"/>
          </w:tcPr>
          <w:p>
            <w:pPr>
              <w:pStyle w:val="3"/>
              <w:tabs>
                <w:tab w:val="left" w:pos="1620"/>
              </w:tabs>
              <w:rPr>
                <w:rFonts w:ascii="仿宋_GB2312" w:hAnsi="宋体" w:eastAsia="仿宋_GB2312" w:cs="Arial Unicode MS"/>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918" w:type="dxa"/>
            <w:gridSpan w:val="14"/>
            <w:vAlign w:val="center"/>
          </w:tcPr>
          <w:p>
            <w:pPr>
              <w:pStyle w:val="3"/>
              <w:tabs>
                <w:tab w:val="left" w:pos="1620"/>
              </w:tabs>
              <w:rPr>
                <w:rFonts w:ascii="仿宋_GB2312" w:hAnsi="宋体" w:eastAsia="仿宋_GB2312" w:cs="Arial Unicode MS"/>
                <w:bCs/>
                <w:sz w:val="24"/>
              </w:rPr>
            </w:pPr>
            <w:r>
              <w:rPr>
                <w:rFonts w:hint="eastAsia" w:ascii="仿宋_GB2312" w:hAnsi="宋体" w:eastAsia="仿宋_GB2312" w:cs="Arial Unicode MS"/>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8" w:hRule="atLeast"/>
          <w:jc w:val="center"/>
        </w:trPr>
        <w:tc>
          <w:tcPr>
            <w:tcW w:w="8918" w:type="dxa"/>
            <w:gridSpan w:val="14"/>
            <w:vAlign w:val="center"/>
          </w:tcPr>
          <w:p>
            <w:pPr>
              <w:pStyle w:val="3"/>
              <w:tabs>
                <w:tab w:val="left" w:pos="1620"/>
              </w:tabs>
              <w:rPr>
                <w:rFonts w:ascii="仿宋_GB2312" w:hAnsi="宋体" w:eastAsia="仿宋_GB2312" w:cs="Arial Unicode MS"/>
                <w:bCs/>
                <w:sz w:val="24"/>
              </w:rPr>
            </w:pPr>
            <w:r>
              <w:rPr>
                <w:rFonts w:hint="eastAsia" w:ascii="仿宋_GB2312" w:hAnsi="宋体" w:eastAsia="仿宋_GB2312" w:cs="Arial Unicode MS"/>
                <w:bCs/>
                <w:sz w:val="24"/>
              </w:rPr>
              <w:t>监理单位意见（适用于施工履约评价）：</w:t>
            </w:r>
          </w:p>
          <w:p>
            <w:pPr>
              <w:pStyle w:val="3"/>
              <w:tabs>
                <w:tab w:val="left" w:pos="1620"/>
              </w:tabs>
              <w:rPr>
                <w:rFonts w:ascii="仿宋_GB2312" w:hAnsi="宋体" w:eastAsia="仿宋_GB2312" w:cs="Arial Unicode MS"/>
                <w:bCs/>
                <w:sz w:val="24"/>
              </w:rPr>
            </w:pPr>
          </w:p>
          <w:p>
            <w:pPr>
              <w:pStyle w:val="3"/>
              <w:tabs>
                <w:tab w:val="left" w:pos="1620"/>
              </w:tabs>
              <w:rPr>
                <w:rFonts w:ascii="仿宋_GB2312" w:hAnsi="宋体" w:eastAsia="仿宋_GB2312" w:cs="Arial Unicode MS"/>
                <w:bCs/>
                <w:sz w:val="24"/>
              </w:rPr>
            </w:pPr>
            <w:r>
              <w:rPr>
                <w:rFonts w:hint="eastAsia" w:ascii="仿宋_GB2312" w:hAnsi="宋体" w:eastAsia="仿宋_GB2312" w:cs="Arial Unicode MS"/>
                <w:bCs/>
                <w:sz w:val="24"/>
              </w:rPr>
              <w:t xml:space="preserve">                                              </w:t>
            </w:r>
            <w:r>
              <w:rPr>
                <w:rFonts w:hint="eastAsia" w:ascii="仿宋_GB2312" w:hAnsi="Arial Unicode MS" w:eastAsia="仿宋_GB2312" w:cs="Arial Unicode MS"/>
                <w:sz w:val="24"/>
              </w:rPr>
              <w:t>（</w:t>
            </w:r>
            <w:r>
              <w:rPr>
                <w:rFonts w:hint="eastAsia" w:ascii="仿宋_GB2312" w:hAnsi="宋体" w:eastAsia="仿宋_GB2312" w:cs="Arial Unicode MS"/>
                <w:bCs/>
                <w:sz w:val="24"/>
              </w:rPr>
              <w:t>监理单位签字加盖</w:t>
            </w:r>
            <w:r>
              <w:rPr>
                <w:rFonts w:hint="eastAsia" w:ascii="仿宋_GB2312" w:hAnsi="Arial Unicode MS" w:eastAsia="仿宋_GB2312" w:cs="Arial Unicode MS"/>
                <w:sz w:val="24"/>
              </w:rPr>
              <w:t>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jc w:val="center"/>
        </w:trPr>
        <w:tc>
          <w:tcPr>
            <w:tcW w:w="8918" w:type="dxa"/>
            <w:gridSpan w:val="14"/>
            <w:vAlign w:val="center"/>
          </w:tcPr>
          <w:p>
            <w:pPr>
              <w:pStyle w:val="3"/>
              <w:tabs>
                <w:tab w:val="left" w:pos="1620"/>
              </w:tabs>
              <w:rPr>
                <w:rFonts w:ascii="仿宋_GB2312" w:hAnsi="Arial Unicode MS" w:eastAsia="仿宋_GB2312" w:cs="Arial Unicode MS"/>
                <w:sz w:val="24"/>
              </w:rPr>
            </w:pPr>
            <w:r>
              <w:rPr>
                <w:rFonts w:hint="eastAsia" w:ascii="仿宋_GB2312" w:hAnsi="Arial Unicode MS" w:eastAsia="仿宋_GB2312" w:cs="Arial Unicode MS"/>
                <w:sz w:val="24"/>
              </w:rPr>
              <w:t>建设单位对该市场主体履约的总体评价：</w:t>
            </w:r>
          </w:p>
          <w:p>
            <w:pPr>
              <w:pStyle w:val="3"/>
              <w:tabs>
                <w:tab w:val="left" w:pos="1620"/>
              </w:tabs>
              <w:rPr>
                <w:rFonts w:ascii="仿宋_GB2312" w:hAnsi="Arial Unicode MS" w:eastAsia="仿宋_GB2312" w:cs="Arial Unicode MS"/>
                <w:sz w:val="24"/>
              </w:rPr>
            </w:pPr>
          </w:p>
          <w:p>
            <w:pPr>
              <w:pStyle w:val="3"/>
              <w:tabs>
                <w:tab w:val="left" w:pos="1620"/>
              </w:tabs>
              <w:rPr>
                <w:rFonts w:ascii="仿宋_GB2312" w:hAnsi="Arial Unicode MS" w:eastAsia="仿宋_GB2312" w:cs="Arial Unicode MS"/>
                <w:sz w:val="24"/>
              </w:rPr>
            </w:pPr>
            <w:r>
              <w:rPr>
                <w:rFonts w:ascii="仿宋_GB2312" w:hAnsi="Arial Unicode MS" w:eastAsia="仿宋_GB2312" w:cs="Arial Unicode MS"/>
                <w:sz w:val="24"/>
              </w:rPr>
              <w:t>法定代表人（签字）：</w:t>
            </w:r>
          </w:p>
          <w:p>
            <w:pPr>
              <w:pStyle w:val="3"/>
              <w:tabs>
                <w:tab w:val="left" w:pos="1620"/>
              </w:tabs>
              <w:ind w:firstLine="5409" w:firstLineChars="2254"/>
              <w:rPr>
                <w:rFonts w:ascii="仿宋_GB2312" w:hAnsi="Arial Unicode MS" w:eastAsia="仿宋_GB2312" w:cs="Arial Unicode MS"/>
                <w:sz w:val="24"/>
              </w:rPr>
            </w:pPr>
            <w:r>
              <w:rPr>
                <w:rFonts w:hint="eastAsia" w:ascii="仿宋_GB2312" w:hAnsi="Arial Unicode MS" w:eastAsia="仿宋_GB2312" w:cs="Arial Unicode MS"/>
                <w:sz w:val="24"/>
              </w:rPr>
              <w:t>（建设单位公章）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2740" w:type="dxa"/>
            <w:gridSpan w:val="2"/>
            <w:vAlign w:val="center"/>
          </w:tcPr>
          <w:p>
            <w:pPr>
              <w:pStyle w:val="3"/>
              <w:tabs>
                <w:tab w:val="left" w:pos="1620"/>
              </w:tabs>
              <w:rPr>
                <w:rFonts w:ascii="仿宋_GB2312" w:hAnsi="Arial Unicode MS" w:eastAsia="仿宋_GB2312" w:cs="Arial Unicode MS"/>
                <w:sz w:val="24"/>
              </w:rPr>
            </w:pPr>
            <w:r>
              <w:rPr>
                <w:rFonts w:hint="eastAsia" w:ascii="仿宋_GB2312" w:hAnsi="Arial Unicode MS" w:eastAsia="仿宋_GB2312" w:cs="Arial Unicode MS"/>
                <w:sz w:val="24"/>
              </w:rPr>
              <w:t>评价等级</w:t>
            </w:r>
          </w:p>
        </w:tc>
        <w:tc>
          <w:tcPr>
            <w:tcW w:w="6178" w:type="dxa"/>
            <w:gridSpan w:val="12"/>
            <w:vAlign w:val="center"/>
          </w:tcPr>
          <w:p>
            <w:pPr>
              <w:pStyle w:val="3"/>
              <w:tabs>
                <w:tab w:val="left" w:pos="1620"/>
              </w:tabs>
              <w:rPr>
                <w:rFonts w:ascii="仿宋_GB2312" w:hAnsi="Arial Unicode MS" w:eastAsia="仿宋_GB2312" w:cs="Arial Unicode MS"/>
                <w:sz w:val="24"/>
              </w:rPr>
            </w:pPr>
            <w:r>
              <w:rPr>
                <w:rFonts w:hint="eastAsia" w:ascii="仿宋_GB2312" w:hAnsi="Arial Unicode MS" w:eastAsia="仿宋_GB2312" w:cs="Arial Unicode MS"/>
                <w:sz w:val="24"/>
              </w:rPr>
              <w:t>□优  □良 □中  □合格   □不合格</w:t>
            </w:r>
          </w:p>
        </w:tc>
      </w:tr>
    </w:tbl>
    <w:tbl>
      <w:tblPr>
        <w:tblStyle w:val="9"/>
        <w:tblpPr w:leftFromText="180" w:rightFromText="180" w:vertAnchor="text" w:horzAnchor="margin" w:tblpXSpec="center" w:tblpY="825"/>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8"/>
        <w:gridCol w:w="2891"/>
        <w:gridCol w:w="1276"/>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trPr>
        <w:tc>
          <w:tcPr>
            <w:tcW w:w="1328" w:type="dxa"/>
            <w:vAlign w:val="center"/>
          </w:tcPr>
          <w:p>
            <w:pPr>
              <w:jc w:val="center"/>
              <w:rPr>
                <w:rFonts w:ascii="宋体" w:hAnsi="宋体"/>
                <w:sz w:val="18"/>
                <w:szCs w:val="18"/>
              </w:rPr>
            </w:pPr>
            <w:r>
              <w:rPr>
                <w:rFonts w:hint="eastAsia" w:ascii="宋体" w:hAnsi="宋体"/>
                <w:sz w:val="18"/>
                <w:szCs w:val="18"/>
              </w:rPr>
              <w:t>工程名称</w:t>
            </w:r>
          </w:p>
        </w:tc>
        <w:tc>
          <w:tcPr>
            <w:tcW w:w="2891" w:type="dxa"/>
            <w:vAlign w:val="center"/>
          </w:tcPr>
          <w:p>
            <w:pPr>
              <w:rPr>
                <w:rFonts w:ascii="宋体" w:hAnsi="宋体"/>
                <w:b/>
                <w:sz w:val="18"/>
                <w:szCs w:val="18"/>
              </w:rPr>
            </w:pPr>
          </w:p>
        </w:tc>
        <w:tc>
          <w:tcPr>
            <w:tcW w:w="1276" w:type="dxa"/>
            <w:tcBorders>
              <w:top w:val="nil"/>
            </w:tcBorders>
            <w:vAlign w:val="center"/>
          </w:tcPr>
          <w:p>
            <w:pPr>
              <w:jc w:val="center"/>
              <w:rPr>
                <w:rFonts w:ascii="宋体" w:hAnsi="宋体"/>
                <w:sz w:val="18"/>
                <w:szCs w:val="18"/>
              </w:rPr>
            </w:pPr>
            <w:r>
              <w:rPr>
                <w:rFonts w:hint="eastAsia" w:ascii="宋体" w:hAnsi="宋体"/>
                <w:sz w:val="18"/>
                <w:szCs w:val="18"/>
              </w:rPr>
              <w:t>承 包 商</w:t>
            </w:r>
          </w:p>
        </w:tc>
        <w:tc>
          <w:tcPr>
            <w:tcW w:w="3827" w:type="dxa"/>
            <w:tcBorders>
              <w:top w:val="nil"/>
            </w:tcBorders>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328" w:type="dxa"/>
            <w:vAlign w:val="center"/>
          </w:tcPr>
          <w:p>
            <w:pPr>
              <w:jc w:val="center"/>
              <w:rPr>
                <w:rFonts w:ascii="宋体" w:hAnsi="宋体"/>
                <w:b/>
                <w:sz w:val="18"/>
                <w:szCs w:val="18"/>
              </w:rPr>
            </w:pPr>
            <w:r>
              <w:rPr>
                <w:rFonts w:hint="eastAsia" w:ascii="宋体" w:hAnsi="宋体"/>
                <w:sz w:val="18"/>
                <w:szCs w:val="18"/>
              </w:rPr>
              <w:t>总 得 分</w:t>
            </w:r>
          </w:p>
        </w:tc>
        <w:tc>
          <w:tcPr>
            <w:tcW w:w="2891" w:type="dxa"/>
            <w:vAlign w:val="center"/>
          </w:tcPr>
          <w:p>
            <w:pPr>
              <w:rPr>
                <w:rFonts w:ascii="宋体" w:hAnsi="宋体"/>
                <w:b/>
                <w:sz w:val="18"/>
                <w:szCs w:val="18"/>
              </w:rPr>
            </w:pPr>
          </w:p>
        </w:tc>
        <w:tc>
          <w:tcPr>
            <w:tcW w:w="1276" w:type="dxa"/>
            <w:vAlign w:val="center"/>
          </w:tcPr>
          <w:p>
            <w:pPr>
              <w:jc w:val="center"/>
              <w:rPr>
                <w:rFonts w:ascii="宋体" w:hAnsi="宋体"/>
                <w:b/>
                <w:sz w:val="18"/>
                <w:szCs w:val="18"/>
              </w:rPr>
            </w:pPr>
            <w:r>
              <w:rPr>
                <w:rFonts w:hint="eastAsia" w:ascii="宋体" w:hAnsi="宋体"/>
                <w:sz w:val="18"/>
                <w:szCs w:val="18"/>
              </w:rPr>
              <w:t>评价等级</w:t>
            </w:r>
          </w:p>
        </w:tc>
        <w:tc>
          <w:tcPr>
            <w:tcW w:w="3827" w:type="dxa"/>
            <w:vAlign w:val="center"/>
          </w:tcPr>
          <w:p>
            <w:pPr>
              <w:jc w:val="center"/>
              <w:rPr>
                <w:rFonts w:ascii="宋体" w:hAnsi="宋体"/>
                <w:sz w:val="18"/>
                <w:szCs w:val="18"/>
              </w:rPr>
            </w:pPr>
            <w:r>
              <w:rPr>
                <w:rFonts w:hint="eastAsia" w:ascii="宋体" w:hAnsi="宋体"/>
                <w:sz w:val="18"/>
                <w:szCs w:val="18"/>
              </w:rPr>
              <w:t>□优  □良 □中  □合格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328" w:type="dxa"/>
            <w:vAlign w:val="center"/>
          </w:tcPr>
          <w:p>
            <w:pPr>
              <w:jc w:val="center"/>
              <w:rPr>
                <w:rFonts w:ascii="宋体" w:hAnsi="宋体"/>
                <w:b/>
                <w:sz w:val="18"/>
                <w:szCs w:val="18"/>
              </w:rPr>
            </w:pPr>
            <w:r>
              <w:rPr>
                <w:rFonts w:hint="eastAsia"/>
                <w:sz w:val="18"/>
                <w:szCs w:val="18"/>
              </w:rPr>
              <w:t>建设单位</w:t>
            </w:r>
          </w:p>
        </w:tc>
        <w:tc>
          <w:tcPr>
            <w:tcW w:w="2891" w:type="dxa"/>
            <w:vAlign w:val="center"/>
          </w:tcPr>
          <w:p>
            <w:pPr>
              <w:rPr>
                <w:rFonts w:ascii="宋体" w:hAnsi="宋体"/>
                <w:b/>
                <w:sz w:val="18"/>
                <w:szCs w:val="18"/>
              </w:rPr>
            </w:pPr>
          </w:p>
        </w:tc>
        <w:tc>
          <w:tcPr>
            <w:tcW w:w="1276" w:type="dxa"/>
            <w:vAlign w:val="center"/>
          </w:tcPr>
          <w:p>
            <w:pPr>
              <w:jc w:val="center"/>
              <w:rPr>
                <w:rFonts w:ascii="宋体" w:hAnsi="宋体"/>
                <w:b/>
                <w:sz w:val="18"/>
                <w:szCs w:val="18"/>
              </w:rPr>
            </w:pPr>
            <w:r>
              <w:rPr>
                <w:rFonts w:hint="eastAsia" w:ascii="宋体" w:hAnsi="宋体"/>
                <w:sz w:val="18"/>
                <w:szCs w:val="18"/>
              </w:rPr>
              <w:t>评价时间</w:t>
            </w:r>
          </w:p>
        </w:tc>
        <w:tc>
          <w:tcPr>
            <w:tcW w:w="3827" w:type="dxa"/>
            <w:vAlign w:val="center"/>
          </w:tcPr>
          <w:p>
            <w:pPr>
              <w:jc w:val="right"/>
              <w:rPr>
                <w:rFonts w:ascii="宋体" w:hAnsi="宋体"/>
                <w:b/>
                <w:sz w:val="18"/>
                <w:szCs w:val="18"/>
              </w:rPr>
            </w:pPr>
            <w:r>
              <w:rPr>
                <w:rFonts w:hint="eastAsia" w:ascii="宋体" w:hAnsi="宋体"/>
                <w:sz w:val="18"/>
                <w:szCs w:val="18"/>
              </w:rPr>
              <w:t>年     月     日</w:t>
            </w:r>
          </w:p>
        </w:tc>
      </w:tr>
    </w:tbl>
    <w:p>
      <w:pPr>
        <w:pStyle w:val="3"/>
        <w:jc w:val="center"/>
        <w:rPr>
          <w:rFonts w:ascii="黑体" w:hAnsi="宋体" w:eastAsia="黑体" w:cs="宋体"/>
          <w:bCs/>
          <w:kern w:val="0"/>
          <w:sz w:val="36"/>
          <w:szCs w:val="36"/>
        </w:rPr>
      </w:pPr>
      <w:r>
        <w:rPr>
          <w:rFonts w:hint="eastAsia" w:ascii="黑体" w:hAnsi="宋体" w:eastAsia="黑体" w:cs="宋体"/>
          <w:bCs/>
          <w:kern w:val="0"/>
          <w:sz w:val="36"/>
          <w:szCs w:val="36"/>
        </w:rPr>
        <w:t>罗湖区建设工程市场主体履约评价表（施工）</w:t>
      </w:r>
    </w:p>
    <w:p>
      <w:pPr>
        <w:jc w:val="center"/>
        <w:rPr>
          <w:rFonts w:ascii="仿宋_GB2312" w:hAnsi="Arial Unicode MS" w:cs="Arial Unicode MS"/>
          <w:bCs/>
          <w:szCs w:val="21"/>
        </w:rPr>
      </w:pPr>
    </w:p>
    <w:p>
      <w:pPr>
        <w:pStyle w:val="3"/>
        <w:jc w:val="center"/>
        <w:rPr>
          <w:rFonts w:ascii="仿宋_GB2312" w:hAnsi="Arial Unicode MS" w:cs="Arial Unicode MS"/>
          <w:bCs/>
          <w:szCs w:val="21"/>
        </w:rPr>
      </w:pPr>
    </w:p>
    <w:tbl>
      <w:tblPr>
        <w:tblStyle w:val="9"/>
        <w:tblW w:w="0" w:type="auto"/>
        <w:jc w:val="center"/>
        <w:tblLayout w:type="fixed"/>
        <w:tblCellMar>
          <w:top w:w="0" w:type="dxa"/>
          <w:left w:w="108" w:type="dxa"/>
          <w:bottom w:w="0" w:type="dxa"/>
          <w:right w:w="108" w:type="dxa"/>
        </w:tblCellMar>
      </w:tblPr>
      <w:tblGrid>
        <w:gridCol w:w="456"/>
        <w:gridCol w:w="1901"/>
        <w:gridCol w:w="576"/>
        <w:gridCol w:w="5130"/>
        <w:gridCol w:w="673"/>
        <w:gridCol w:w="625"/>
      </w:tblGrid>
      <w:tr>
        <w:tblPrEx>
          <w:tblCellMar>
            <w:top w:w="0" w:type="dxa"/>
            <w:left w:w="108" w:type="dxa"/>
            <w:bottom w:w="0" w:type="dxa"/>
            <w:right w:w="108" w:type="dxa"/>
          </w:tblCellMar>
        </w:tblPrEx>
        <w:trPr>
          <w:trHeight w:val="570" w:hRule="atLeast"/>
          <w:jc w:val="center"/>
        </w:trPr>
        <w:tc>
          <w:tcPr>
            <w:tcW w:w="456" w:type="dxa"/>
            <w:tcBorders>
              <w:top w:val="single" w:color="auto" w:sz="4" w:space="0"/>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序</w:t>
            </w:r>
            <w:r>
              <w:rPr>
                <w:rFonts w:hint="eastAsia" w:ascii="宋体" w:hAnsi="宋体" w:cs="宋体"/>
                <w:kern w:val="0"/>
                <w:sz w:val="18"/>
                <w:szCs w:val="18"/>
              </w:rPr>
              <w:br w:type="textWrapping"/>
            </w:r>
            <w:r>
              <w:rPr>
                <w:rFonts w:hint="eastAsia" w:ascii="宋体" w:hAnsi="宋体" w:cs="宋体"/>
                <w:kern w:val="0"/>
                <w:sz w:val="18"/>
                <w:szCs w:val="18"/>
              </w:rPr>
              <w:t>号</w:t>
            </w:r>
          </w:p>
        </w:tc>
        <w:tc>
          <w:tcPr>
            <w:tcW w:w="1901" w:type="dxa"/>
            <w:tcBorders>
              <w:top w:val="single" w:color="auto" w:sz="4" w:space="0"/>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分 项</w:t>
            </w:r>
          </w:p>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内 容</w:t>
            </w:r>
          </w:p>
        </w:tc>
        <w:tc>
          <w:tcPr>
            <w:tcW w:w="576" w:type="dxa"/>
            <w:tcBorders>
              <w:top w:val="single" w:color="auto" w:sz="4" w:space="0"/>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满分</w:t>
            </w:r>
          </w:p>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分值</w:t>
            </w:r>
          </w:p>
        </w:tc>
        <w:tc>
          <w:tcPr>
            <w:tcW w:w="5130" w:type="dxa"/>
            <w:tcBorders>
              <w:top w:val="single" w:color="auto" w:sz="4" w:space="0"/>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评   价   标   准</w:t>
            </w:r>
          </w:p>
        </w:tc>
        <w:tc>
          <w:tcPr>
            <w:tcW w:w="673" w:type="dxa"/>
            <w:tcBorders>
              <w:top w:val="single" w:color="auto" w:sz="4" w:space="0"/>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应得分</w:t>
            </w:r>
          </w:p>
        </w:tc>
        <w:tc>
          <w:tcPr>
            <w:tcW w:w="625" w:type="dxa"/>
            <w:tcBorders>
              <w:top w:val="single" w:color="auto" w:sz="4" w:space="0"/>
              <w:left w:val="nil"/>
              <w:bottom w:val="single" w:color="auto" w:sz="4" w:space="0"/>
              <w:right w:val="single" w:color="auto" w:sz="8"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实得分</w:t>
            </w:r>
          </w:p>
        </w:tc>
      </w:tr>
      <w:tr>
        <w:tblPrEx>
          <w:tblCellMar>
            <w:top w:w="0" w:type="dxa"/>
            <w:left w:w="108" w:type="dxa"/>
            <w:bottom w:w="0" w:type="dxa"/>
            <w:right w:w="108" w:type="dxa"/>
          </w:tblCellMar>
        </w:tblPrEx>
        <w:trPr>
          <w:trHeight w:val="316"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黑体" w:hAnsi="宋体" w:eastAsia="黑体" w:cs="宋体"/>
                <w:kern w:val="0"/>
                <w:sz w:val="24"/>
              </w:rPr>
            </w:pPr>
            <w:r>
              <w:rPr>
                <w:rFonts w:hint="eastAsia" w:ascii="黑体" w:hAnsi="宋体" w:eastAsia="黑体" w:cs="宋体"/>
                <w:kern w:val="0"/>
                <w:sz w:val="24"/>
              </w:rPr>
              <w:t>一</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机构人员配备</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黑体" w:hAnsi="宋体" w:eastAsia="黑体" w:cs="宋体"/>
                <w:kern w:val="0"/>
                <w:sz w:val="24"/>
              </w:rPr>
            </w:pPr>
            <w:r>
              <w:rPr>
                <w:rFonts w:hint="eastAsia" w:ascii="黑体" w:hAnsi="宋体" w:eastAsia="黑体" w:cs="宋体"/>
                <w:kern w:val="0"/>
                <w:sz w:val="24"/>
              </w:rPr>
              <w:t>14</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　</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　</w:t>
            </w:r>
          </w:p>
        </w:tc>
      </w:tr>
      <w:tr>
        <w:tblPrEx>
          <w:tblCellMar>
            <w:top w:w="0" w:type="dxa"/>
            <w:left w:w="108" w:type="dxa"/>
            <w:bottom w:w="0" w:type="dxa"/>
            <w:right w:w="108" w:type="dxa"/>
          </w:tblCellMar>
        </w:tblPrEx>
        <w:trPr>
          <w:trHeight w:val="1575"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1</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项目经理要求</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5</w:t>
            </w:r>
          </w:p>
        </w:tc>
        <w:tc>
          <w:tcPr>
            <w:tcW w:w="513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良好 5 分：配备固定的项目经理且该项目经理具有高度的责任心、良好的组织协调能力和专业的业务水平；</w:t>
            </w:r>
            <w:r>
              <w:rPr>
                <w:rFonts w:hint="eastAsia" w:ascii="宋体" w:hAnsi="宋体" w:cs="宋体"/>
                <w:kern w:val="0"/>
                <w:sz w:val="18"/>
                <w:szCs w:val="18"/>
              </w:rPr>
              <w:br w:type="textWrapping"/>
            </w:r>
            <w:r>
              <w:rPr>
                <w:rFonts w:hint="eastAsia" w:ascii="宋体" w:hAnsi="宋体" w:cs="宋体"/>
                <w:kern w:val="0"/>
                <w:sz w:val="18"/>
                <w:szCs w:val="18"/>
              </w:rPr>
              <w:t xml:space="preserve">合格3分：配备固定的项目经理且该项目经理具有一定的责任心、基本良好的组织协调能力和基本专业的业务水平；                                                               </w:t>
            </w:r>
            <w:r>
              <w:rPr>
                <w:rFonts w:hint="eastAsia" w:ascii="宋体" w:hAnsi="宋体" w:cs="宋体"/>
                <w:kern w:val="0"/>
                <w:sz w:val="18"/>
                <w:szCs w:val="18"/>
              </w:rPr>
              <w:br w:type="textWrapping"/>
            </w:r>
            <w:r>
              <w:rPr>
                <w:rFonts w:hint="eastAsia" w:ascii="宋体" w:hAnsi="宋体" w:cs="宋体"/>
                <w:kern w:val="0"/>
                <w:sz w:val="18"/>
                <w:szCs w:val="18"/>
              </w:rPr>
              <w:t>不合格 0 分：配备的项目经理不固定或该项目经理无责任心、组织协调能力和专业的业务水平不满足要求。</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885"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2</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其他管理人员要求</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5</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良好5 分：项目主要管理人员能够按投标书的承诺到位且具有相应的履约能力；</w:t>
            </w:r>
            <w:r>
              <w:rPr>
                <w:rFonts w:hint="eastAsia" w:ascii="宋体" w:hAnsi="宋体" w:cs="宋体"/>
                <w:kern w:val="0"/>
                <w:sz w:val="18"/>
                <w:szCs w:val="18"/>
              </w:rPr>
              <w:br w:type="textWrapping"/>
            </w:r>
            <w:r>
              <w:rPr>
                <w:rFonts w:hint="eastAsia" w:ascii="宋体" w:hAnsi="宋体" w:cs="宋体"/>
                <w:kern w:val="0"/>
                <w:sz w:val="18"/>
                <w:szCs w:val="18"/>
              </w:rPr>
              <w:t>合格3分：项目主要管理人员能够按投标书的承诺到位且具有基本相应的履约能力；                                                                                                                                                                不合格 0 分：项目主要管理人员不能够按投标书的承诺到位或不具有相应的履约能力。</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885"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3</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工程作业人员要求</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4</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良好4分：有全面系统的培训计划措施并有效实施，工程作业人员业务素质良好；</w:t>
            </w:r>
            <w:r>
              <w:rPr>
                <w:rFonts w:hint="eastAsia" w:ascii="宋体" w:hAnsi="宋体" w:cs="宋体"/>
                <w:kern w:val="0"/>
                <w:sz w:val="18"/>
                <w:szCs w:val="18"/>
              </w:rPr>
              <w:br w:type="textWrapping"/>
            </w:r>
            <w:r>
              <w:rPr>
                <w:rFonts w:hint="eastAsia" w:ascii="宋体" w:hAnsi="宋体" w:cs="宋体"/>
                <w:kern w:val="0"/>
                <w:sz w:val="18"/>
                <w:szCs w:val="18"/>
              </w:rPr>
              <w:t>合格2分：有培训计划措施并实施，工程作业人员业务素质满足施工要求；                                                                                                                                                                不合格 0 分：无培训计划措施，工程作业人员业务素质无法满足施工要求。</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11"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黑体" w:hAnsi="宋体" w:eastAsia="黑体" w:cs="宋体"/>
                <w:kern w:val="0"/>
                <w:sz w:val="24"/>
              </w:rPr>
            </w:pPr>
            <w:r>
              <w:rPr>
                <w:rFonts w:hint="eastAsia" w:ascii="黑体" w:hAnsi="宋体" w:eastAsia="黑体" w:cs="宋体"/>
                <w:kern w:val="0"/>
                <w:sz w:val="24"/>
              </w:rPr>
              <w:t>二</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技术经济实力</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黑体" w:hAnsi="宋体" w:eastAsia="黑体" w:cs="宋体"/>
                <w:kern w:val="0"/>
                <w:sz w:val="24"/>
              </w:rPr>
            </w:pPr>
            <w:r>
              <w:rPr>
                <w:rFonts w:hint="eastAsia" w:ascii="黑体" w:hAnsi="宋体" w:eastAsia="黑体" w:cs="宋体"/>
                <w:kern w:val="0"/>
                <w:sz w:val="24"/>
              </w:rPr>
              <w:t>18</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　</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　</w:t>
            </w:r>
          </w:p>
        </w:tc>
      </w:tr>
      <w:tr>
        <w:tblPrEx>
          <w:tblCellMar>
            <w:top w:w="0" w:type="dxa"/>
            <w:left w:w="108" w:type="dxa"/>
            <w:bottom w:w="0" w:type="dxa"/>
            <w:right w:w="108" w:type="dxa"/>
          </w:tblCellMar>
        </w:tblPrEx>
        <w:trPr>
          <w:trHeight w:val="750"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4</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财务支付</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5</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良好 5 分：财务履约能力良好，能及时支付各项费用开支；</w:t>
            </w:r>
            <w:r>
              <w:rPr>
                <w:rFonts w:hint="eastAsia" w:ascii="宋体" w:hAnsi="宋体" w:cs="宋体"/>
                <w:kern w:val="0"/>
                <w:sz w:val="18"/>
                <w:szCs w:val="18"/>
              </w:rPr>
              <w:br w:type="textWrapping"/>
            </w:r>
            <w:r>
              <w:rPr>
                <w:rFonts w:hint="eastAsia" w:ascii="宋体" w:hAnsi="宋体" w:cs="宋体"/>
                <w:kern w:val="0"/>
                <w:sz w:val="18"/>
                <w:szCs w:val="18"/>
              </w:rPr>
              <w:t>合格 3分：基本能按工程合同要求支付各项费用开支；</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xml:space="preserve">不合格 0 分：不能按工程合同要求支付各项费用开支。 </w:t>
            </w:r>
          </w:p>
        </w:tc>
        <w:tc>
          <w:tcPr>
            <w:tcW w:w="673" w:type="dxa"/>
            <w:tcBorders>
              <w:top w:val="nil"/>
              <w:left w:val="nil"/>
              <w:bottom w:val="single" w:color="auto" w:sz="4" w:space="0"/>
              <w:right w:val="single" w:color="auto" w:sz="4" w:space="0"/>
            </w:tcBorders>
            <w:vAlign w:val="center"/>
          </w:tcPr>
          <w:p>
            <w:pPr>
              <w:widowControl/>
              <w:snapToGrid w:val="0"/>
              <w:spacing w:line="240" w:lineRule="atLeast"/>
              <w:jc w:val="left"/>
              <w:rPr>
                <w:rFonts w:ascii="宋体" w:hAnsi="宋体" w:cs="宋体"/>
                <w:kern w:val="0"/>
                <w:sz w:val="18"/>
                <w:szCs w:val="18"/>
              </w:rPr>
            </w:pP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br w:type="textWrapping"/>
            </w: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1005"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5</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技术实力</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5</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xml:space="preserve">良好5分：具有相应的履行合同的技术实力， 施工总体部署、方法及程序优化，能有效解决施工管理重点、难点问题；                                                      </w:t>
            </w:r>
            <w:r>
              <w:rPr>
                <w:rFonts w:hint="eastAsia" w:ascii="宋体" w:hAnsi="宋体" w:cs="宋体"/>
                <w:kern w:val="0"/>
                <w:sz w:val="18"/>
                <w:szCs w:val="18"/>
              </w:rPr>
              <w:br w:type="textWrapping"/>
            </w:r>
            <w:r>
              <w:rPr>
                <w:rFonts w:hint="eastAsia" w:ascii="宋体" w:hAnsi="宋体" w:cs="宋体"/>
                <w:kern w:val="0"/>
                <w:sz w:val="18"/>
                <w:szCs w:val="18"/>
              </w:rPr>
              <w:t xml:space="preserve">合格 3分：具有基本相应的履行合同的技术实力， 施工总体部署、方法及程序合理；                                    </w:t>
            </w:r>
            <w:r>
              <w:rPr>
                <w:rFonts w:hint="eastAsia" w:ascii="宋体" w:hAnsi="宋体" w:cs="宋体"/>
                <w:kern w:val="0"/>
                <w:sz w:val="18"/>
                <w:szCs w:val="18"/>
              </w:rPr>
              <w:br w:type="textWrapping"/>
            </w:r>
            <w:r>
              <w:rPr>
                <w:rFonts w:hint="eastAsia" w:ascii="宋体" w:hAnsi="宋体" w:cs="宋体"/>
                <w:kern w:val="0"/>
                <w:sz w:val="18"/>
                <w:szCs w:val="18"/>
              </w:rPr>
              <w:t>不合格 0 分：不具有相应的履行合同的技术实力。</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705"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6</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机械、材料</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5</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良好5 分：投标文件拟定的机械、材料按项目需求及时进出施工现场；</w:t>
            </w:r>
            <w:r>
              <w:rPr>
                <w:rFonts w:hint="eastAsia" w:ascii="宋体" w:hAnsi="宋体" w:cs="宋体"/>
                <w:kern w:val="0"/>
                <w:sz w:val="18"/>
                <w:szCs w:val="18"/>
              </w:rPr>
              <w:br w:type="textWrapping"/>
            </w:r>
            <w:r>
              <w:rPr>
                <w:rFonts w:hint="eastAsia" w:ascii="宋体" w:hAnsi="宋体" w:cs="宋体"/>
                <w:kern w:val="0"/>
                <w:sz w:val="18"/>
                <w:szCs w:val="18"/>
              </w:rPr>
              <w:t xml:space="preserve">合格 3分：投标文件拟定的机械、材料基本按项目需求进出施工现场；                 不合格 0 分：投标文件拟定的机械、材料没有按项目需求进出施工现场。 </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960"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7</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应急处理能力</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3</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xml:space="preserve">良好3 分：施工中有良好的应急预案，能高质高效处理例行、随时、紧急发生的事件；                                                                                                             </w:t>
            </w:r>
            <w:r>
              <w:rPr>
                <w:rFonts w:hint="eastAsia" w:ascii="宋体" w:hAnsi="宋体" w:cs="宋体"/>
                <w:kern w:val="0"/>
                <w:sz w:val="18"/>
                <w:szCs w:val="18"/>
              </w:rPr>
              <w:br w:type="textWrapping"/>
            </w:r>
            <w:r>
              <w:rPr>
                <w:rFonts w:hint="eastAsia" w:ascii="宋体" w:hAnsi="宋体" w:cs="宋体"/>
                <w:kern w:val="0"/>
                <w:sz w:val="18"/>
                <w:szCs w:val="18"/>
              </w:rPr>
              <w:t xml:space="preserve">合格 2分： 施工中有应急预案，能及时处理例行、随时、紧急发生的事件；         </w:t>
            </w:r>
            <w:r>
              <w:rPr>
                <w:rFonts w:hint="eastAsia" w:ascii="宋体" w:hAnsi="宋体" w:cs="宋体"/>
                <w:kern w:val="0"/>
                <w:sz w:val="18"/>
                <w:szCs w:val="18"/>
              </w:rPr>
              <w:br w:type="textWrapping"/>
            </w:r>
            <w:r>
              <w:rPr>
                <w:rFonts w:hint="eastAsia" w:ascii="宋体" w:hAnsi="宋体" w:cs="宋体"/>
                <w:kern w:val="0"/>
                <w:sz w:val="18"/>
                <w:szCs w:val="18"/>
              </w:rPr>
              <w:t xml:space="preserve">不合格 0 分：施工中无应急预案及演练措施。   </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510"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黑体" w:hAnsi="宋体" w:eastAsia="黑体" w:cs="宋体"/>
                <w:kern w:val="0"/>
                <w:sz w:val="24"/>
              </w:rPr>
            </w:pPr>
            <w:r>
              <w:rPr>
                <w:rFonts w:hint="eastAsia" w:ascii="黑体" w:hAnsi="宋体" w:eastAsia="黑体" w:cs="宋体"/>
                <w:kern w:val="0"/>
                <w:sz w:val="24"/>
              </w:rPr>
              <w:t xml:space="preserve"> 三</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工程实施过程管理</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黑体" w:hAnsi="宋体" w:eastAsia="黑体" w:cs="宋体"/>
                <w:kern w:val="0"/>
                <w:sz w:val="24"/>
              </w:rPr>
            </w:pPr>
            <w:r>
              <w:rPr>
                <w:rFonts w:hint="eastAsia" w:ascii="黑体" w:hAnsi="宋体" w:eastAsia="黑体" w:cs="宋体"/>
                <w:kern w:val="0"/>
                <w:sz w:val="24"/>
              </w:rPr>
              <w:t>45</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　</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　</w:t>
            </w:r>
          </w:p>
        </w:tc>
      </w:tr>
      <w:tr>
        <w:tblPrEx>
          <w:tblCellMar>
            <w:top w:w="0" w:type="dxa"/>
            <w:left w:w="108" w:type="dxa"/>
            <w:bottom w:w="0" w:type="dxa"/>
            <w:right w:w="108" w:type="dxa"/>
          </w:tblCellMar>
        </w:tblPrEx>
        <w:trPr>
          <w:trHeight w:val="885"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8</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施工质量</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20</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xml:space="preserve">良好20 分：组织的任何一项施工验收，能一次性验收合格；                                                                                                                      </w:t>
            </w:r>
            <w:r>
              <w:rPr>
                <w:rFonts w:hint="eastAsia" w:ascii="宋体" w:hAnsi="宋体" w:cs="宋体"/>
                <w:kern w:val="0"/>
                <w:sz w:val="18"/>
                <w:szCs w:val="18"/>
              </w:rPr>
              <w:br w:type="textWrapping"/>
            </w:r>
            <w:r>
              <w:rPr>
                <w:rFonts w:hint="eastAsia" w:ascii="宋体" w:hAnsi="宋体" w:cs="宋体"/>
                <w:kern w:val="0"/>
                <w:sz w:val="18"/>
                <w:szCs w:val="18"/>
              </w:rPr>
              <w:t xml:space="preserve">合格14 分：组织的任何一项施工验收，基本能在整改一次后验收合格；                                                                     </w:t>
            </w:r>
            <w:r>
              <w:rPr>
                <w:rFonts w:hint="eastAsia" w:ascii="宋体" w:hAnsi="宋体" w:cs="宋体"/>
                <w:kern w:val="0"/>
                <w:sz w:val="18"/>
                <w:szCs w:val="18"/>
              </w:rPr>
              <w:br w:type="textWrapping"/>
            </w:r>
            <w:r>
              <w:rPr>
                <w:rFonts w:hint="eastAsia" w:ascii="宋体" w:hAnsi="宋体" w:cs="宋体"/>
                <w:kern w:val="0"/>
                <w:sz w:val="18"/>
                <w:szCs w:val="18"/>
              </w:rPr>
              <w:t>不合格 0 分：组织的任何一项施工验收，多次整改后验收仍难以满足使用要求； 。</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　</w:t>
            </w:r>
          </w:p>
        </w:tc>
      </w:tr>
      <w:tr>
        <w:tblPrEx>
          <w:tblCellMar>
            <w:top w:w="0" w:type="dxa"/>
            <w:left w:w="108" w:type="dxa"/>
            <w:bottom w:w="0" w:type="dxa"/>
            <w:right w:w="108" w:type="dxa"/>
          </w:tblCellMar>
        </w:tblPrEx>
        <w:trPr>
          <w:trHeight w:val="900" w:hRule="atLeast"/>
          <w:jc w:val="center"/>
        </w:trPr>
        <w:tc>
          <w:tcPr>
            <w:tcW w:w="456" w:type="dxa"/>
            <w:tcBorders>
              <w:top w:val="single" w:color="auto" w:sz="4" w:space="0"/>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9</w:t>
            </w:r>
          </w:p>
        </w:tc>
        <w:tc>
          <w:tcPr>
            <w:tcW w:w="1901" w:type="dxa"/>
            <w:tcBorders>
              <w:top w:val="single" w:color="auto" w:sz="4" w:space="0"/>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文明施工</w:t>
            </w:r>
          </w:p>
        </w:tc>
        <w:tc>
          <w:tcPr>
            <w:tcW w:w="576" w:type="dxa"/>
            <w:tcBorders>
              <w:top w:val="single" w:color="auto" w:sz="4" w:space="0"/>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4</w:t>
            </w:r>
          </w:p>
        </w:tc>
        <w:tc>
          <w:tcPr>
            <w:tcW w:w="5130" w:type="dxa"/>
            <w:tcBorders>
              <w:top w:val="single" w:color="auto" w:sz="4" w:space="0"/>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xml:space="preserve">良好 4 分：项目能够严格地做到文明施工且无有效投诉情况发生；                                                       </w:t>
            </w:r>
            <w:r>
              <w:rPr>
                <w:rFonts w:hint="eastAsia" w:ascii="宋体" w:hAnsi="宋体" w:cs="宋体"/>
                <w:kern w:val="0"/>
                <w:sz w:val="18"/>
                <w:szCs w:val="18"/>
              </w:rPr>
              <w:br w:type="textWrapping"/>
            </w:r>
            <w:r>
              <w:rPr>
                <w:rFonts w:hint="eastAsia" w:ascii="宋体" w:hAnsi="宋体" w:cs="宋体"/>
                <w:kern w:val="0"/>
                <w:sz w:val="18"/>
                <w:szCs w:val="18"/>
              </w:rPr>
              <w:t xml:space="preserve">合格 2 分：项目能够做到文明施工且能及时解决少量发生的投诉情况；                                                                    </w:t>
            </w:r>
            <w:r>
              <w:rPr>
                <w:rFonts w:hint="eastAsia" w:ascii="宋体" w:hAnsi="宋体" w:cs="宋体"/>
                <w:kern w:val="0"/>
                <w:sz w:val="18"/>
                <w:szCs w:val="18"/>
              </w:rPr>
              <w:br w:type="textWrapping"/>
            </w:r>
            <w:r>
              <w:rPr>
                <w:rFonts w:hint="eastAsia" w:ascii="宋体" w:hAnsi="宋体" w:cs="宋体"/>
                <w:kern w:val="0"/>
                <w:sz w:val="18"/>
                <w:szCs w:val="18"/>
              </w:rPr>
              <w:t>不合格 0 分：项目不能够做到文明施工、有效投诉情况经常发生。</w:t>
            </w:r>
          </w:p>
        </w:tc>
        <w:tc>
          <w:tcPr>
            <w:tcW w:w="673" w:type="dxa"/>
            <w:tcBorders>
              <w:top w:val="single" w:color="auto" w:sz="4" w:space="0"/>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p>
        </w:tc>
        <w:tc>
          <w:tcPr>
            <w:tcW w:w="625" w:type="dxa"/>
            <w:tcBorders>
              <w:top w:val="single" w:color="auto" w:sz="4" w:space="0"/>
              <w:left w:val="nil"/>
              <w:bottom w:val="single" w:color="auto" w:sz="4" w:space="0"/>
              <w:right w:val="single" w:color="auto" w:sz="8"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900"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10</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安全施工</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10</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良好 10 分：施工安全措施完善且未发生一般安全事故；</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合格6 分：施工安全措施基本完善且未发生较大安全事故；</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不合格 0 分：施工安全措施不完善或发生重大安全事故。</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br w:type="textWrapping"/>
            </w:r>
            <w:r>
              <w:rPr>
                <w:rFonts w:hint="eastAsia" w:ascii="宋体" w:hAnsi="宋体" w:cs="宋体"/>
                <w:kern w:val="0"/>
                <w:sz w:val="18"/>
                <w:szCs w:val="18"/>
              </w:rPr>
              <w:br w:type="textWrapping"/>
            </w: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900"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11</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环境污染控制</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5</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xml:space="preserve">良好 5 分：有防止施工现场水、噪音、空气、废物污染措施并能有效执行，施工现场环境良好；                                                      </w:t>
            </w:r>
            <w:r>
              <w:rPr>
                <w:rFonts w:hint="eastAsia" w:ascii="宋体" w:hAnsi="宋体" w:cs="宋体"/>
                <w:kern w:val="0"/>
                <w:sz w:val="18"/>
                <w:szCs w:val="18"/>
              </w:rPr>
              <w:br w:type="textWrapping"/>
            </w:r>
            <w:r>
              <w:rPr>
                <w:rFonts w:hint="eastAsia" w:ascii="宋体" w:hAnsi="宋体" w:cs="宋体"/>
                <w:kern w:val="0"/>
                <w:sz w:val="18"/>
                <w:szCs w:val="18"/>
              </w:rPr>
              <w:t xml:space="preserve">合格3 分：有防止施工现场水、噪音、空气、废物污染措施并执行，施工现场环境合格；                                                                                                                            </w:t>
            </w:r>
            <w:r>
              <w:rPr>
                <w:rFonts w:hint="eastAsia" w:ascii="宋体" w:hAnsi="宋体" w:cs="宋体"/>
                <w:kern w:val="0"/>
                <w:sz w:val="18"/>
                <w:szCs w:val="18"/>
              </w:rPr>
              <w:br w:type="textWrapping"/>
            </w:r>
            <w:r>
              <w:rPr>
                <w:rFonts w:hint="eastAsia" w:ascii="宋体" w:hAnsi="宋体" w:cs="宋体"/>
                <w:kern w:val="0"/>
                <w:sz w:val="18"/>
                <w:szCs w:val="18"/>
              </w:rPr>
              <w:t>不合格 0 分：施工现场环境脏、乱、差。</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1020"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12</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造价管理</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3</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xml:space="preserve">良好3 分：能够按合同要求办理工程变更（含签证）、工程结算等手续；                                                       合格 2分：基本能够按合同要求办理工程变更（含签证）、工程结算等手续；                                                                 </w:t>
            </w:r>
            <w:r>
              <w:rPr>
                <w:rFonts w:hint="eastAsia" w:ascii="宋体" w:hAnsi="宋体" w:cs="宋体"/>
                <w:kern w:val="0"/>
                <w:sz w:val="18"/>
                <w:szCs w:val="18"/>
              </w:rPr>
              <w:br w:type="textWrapping"/>
            </w:r>
            <w:r>
              <w:rPr>
                <w:rFonts w:hint="eastAsia" w:ascii="宋体" w:hAnsi="宋体" w:cs="宋体"/>
                <w:kern w:val="0"/>
                <w:sz w:val="18"/>
                <w:szCs w:val="18"/>
              </w:rPr>
              <w:t xml:space="preserve">不合格 0 分：不能够按合同要求办理工程变更（含签证）、工程结算等手续； </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1020"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13</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造价准确性</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3</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良好3 分：计量、变更和预结算准确、实事求是且准确率在95%以上（不含95%）；</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xml:space="preserve">合格 2 分：计量、变更和预结算基本准确、实事求是且准确率在90%-95%之间（不含90%）；                                                                                                                                                                                                </w:t>
            </w:r>
            <w:r>
              <w:rPr>
                <w:rFonts w:hint="eastAsia" w:ascii="宋体" w:hAnsi="宋体" w:cs="宋体"/>
                <w:kern w:val="0"/>
                <w:sz w:val="18"/>
                <w:szCs w:val="18"/>
              </w:rPr>
              <w:br w:type="textWrapping"/>
            </w:r>
            <w:r>
              <w:rPr>
                <w:rFonts w:hint="eastAsia" w:ascii="宋体" w:hAnsi="宋体" w:cs="宋体"/>
                <w:kern w:val="0"/>
                <w:sz w:val="18"/>
                <w:szCs w:val="18"/>
              </w:rPr>
              <w:t>不合格 0 分：计量、变更和预结算准确率在90%以下。</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35"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黑体" w:hAnsi="宋体" w:eastAsia="黑体" w:cs="宋体"/>
                <w:kern w:val="0"/>
                <w:sz w:val="24"/>
              </w:rPr>
            </w:pPr>
            <w:r>
              <w:rPr>
                <w:rFonts w:hint="eastAsia" w:ascii="黑体" w:hAnsi="宋体" w:eastAsia="黑体" w:cs="宋体"/>
                <w:kern w:val="0"/>
                <w:sz w:val="24"/>
              </w:rPr>
              <w:t>四</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工期控制</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黑体" w:hAnsi="宋体" w:eastAsia="黑体" w:cs="宋体"/>
                <w:kern w:val="0"/>
                <w:sz w:val="24"/>
              </w:rPr>
            </w:pPr>
            <w:r>
              <w:rPr>
                <w:rFonts w:hint="eastAsia" w:ascii="黑体" w:hAnsi="宋体" w:eastAsia="黑体" w:cs="宋体"/>
                <w:kern w:val="0"/>
                <w:sz w:val="24"/>
              </w:rPr>
              <w:t>10</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　</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　</w:t>
            </w:r>
          </w:p>
        </w:tc>
      </w:tr>
      <w:tr>
        <w:tblPrEx>
          <w:tblCellMar>
            <w:top w:w="0" w:type="dxa"/>
            <w:left w:w="108" w:type="dxa"/>
            <w:bottom w:w="0" w:type="dxa"/>
            <w:right w:w="108" w:type="dxa"/>
          </w:tblCellMar>
        </w:tblPrEx>
        <w:trPr>
          <w:trHeight w:val="693"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14</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工期控制</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10</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良好 10 分：能够认真主动控制项目的各阶段工期使其未超过施工合同工期；</w:t>
            </w:r>
            <w:r>
              <w:rPr>
                <w:rFonts w:hint="eastAsia" w:ascii="宋体" w:hAnsi="宋体" w:cs="宋体"/>
                <w:kern w:val="0"/>
                <w:sz w:val="18"/>
                <w:szCs w:val="18"/>
              </w:rPr>
              <w:br w:type="textWrapping"/>
            </w:r>
            <w:r>
              <w:rPr>
                <w:rFonts w:hint="eastAsia" w:ascii="宋体" w:hAnsi="宋体" w:cs="宋体"/>
                <w:kern w:val="0"/>
                <w:sz w:val="18"/>
                <w:szCs w:val="18"/>
              </w:rPr>
              <w:t xml:space="preserve">合格7 分：能够控制项目的各阶段工期使其未超过施工合同工期；                        </w:t>
            </w:r>
            <w:r>
              <w:rPr>
                <w:rFonts w:hint="eastAsia" w:ascii="宋体" w:hAnsi="宋体" w:cs="宋体"/>
                <w:kern w:val="0"/>
                <w:sz w:val="18"/>
                <w:szCs w:val="18"/>
              </w:rPr>
              <w:br w:type="textWrapping"/>
            </w:r>
            <w:r>
              <w:rPr>
                <w:rFonts w:hint="eastAsia" w:ascii="宋体" w:hAnsi="宋体" w:cs="宋体"/>
                <w:kern w:val="0"/>
                <w:sz w:val="18"/>
                <w:szCs w:val="18"/>
              </w:rPr>
              <w:t>不合格 0 分：不能够控制项目的各阶段工期或因施工单位的责任超过合同工期。</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45"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黑体" w:hAnsi="宋体" w:eastAsia="黑体" w:cs="宋体"/>
                <w:kern w:val="0"/>
                <w:sz w:val="24"/>
              </w:rPr>
            </w:pPr>
            <w:r>
              <w:rPr>
                <w:rFonts w:hint="eastAsia" w:ascii="黑体" w:hAnsi="宋体" w:eastAsia="黑体" w:cs="宋体"/>
                <w:kern w:val="0"/>
                <w:sz w:val="24"/>
              </w:rPr>
              <w:t>五</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协调配合与服务</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黑体" w:hAnsi="宋体" w:eastAsia="黑体" w:cs="宋体"/>
                <w:kern w:val="0"/>
                <w:sz w:val="24"/>
              </w:rPr>
            </w:pPr>
            <w:r>
              <w:rPr>
                <w:rFonts w:hint="eastAsia" w:ascii="黑体" w:hAnsi="宋体" w:eastAsia="黑体" w:cs="宋体"/>
                <w:kern w:val="0"/>
                <w:sz w:val="24"/>
              </w:rPr>
              <w:t>13</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　</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　</w:t>
            </w:r>
          </w:p>
        </w:tc>
      </w:tr>
      <w:tr>
        <w:tblPrEx>
          <w:tblCellMar>
            <w:top w:w="0" w:type="dxa"/>
            <w:left w:w="108" w:type="dxa"/>
            <w:bottom w:w="0" w:type="dxa"/>
            <w:right w:w="108" w:type="dxa"/>
          </w:tblCellMar>
        </w:tblPrEx>
        <w:trPr>
          <w:trHeight w:val="540"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15</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履约准备</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4</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xml:space="preserve">良好 4分：能够及时地按照招标文件的要求办好履约保函并签订合同；                                                       </w:t>
            </w:r>
            <w:r>
              <w:rPr>
                <w:rFonts w:hint="eastAsia" w:ascii="宋体" w:hAnsi="宋体" w:cs="宋体"/>
                <w:kern w:val="0"/>
                <w:sz w:val="18"/>
                <w:szCs w:val="18"/>
              </w:rPr>
              <w:br w:type="textWrapping"/>
            </w:r>
            <w:r>
              <w:rPr>
                <w:rFonts w:hint="eastAsia" w:ascii="宋体" w:hAnsi="宋体" w:cs="宋体"/>
                <w:kern w:val="0"/>
                <w:sz w:val="18"/>
                <w:szCs w:val="18"/>
              </w:rPr>
              <w:t xml:space="preserve">不合格 0 分：不能够及时地按照招标文件的要求办好履约保函并签订合同。                                                </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780"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16</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竣工移交</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3</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良好 3 分：能够认真主动地按合同要求办理工程竣工移交手续；</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合格 2 分：能够按合同要求办理工程竣工移交手续；</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不合格 0 分：不能够按合同要求办理工程竣工移交手续。</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br w:type="textWrapping"/>
            </w:r>
            <w:r>
              <w:rPr>
                <w:rFonts w:hint="eastAsia" w:ascii="宋体" w:hAnsi="宋体" w:cs="宋体"/>
                <w:kern w:val="0"/>
                <w:sz w:val="18"/>
                <w:szCs w:val="18"/>
              </w:rPr>
              <w:br w:type="textWrapping"/>
            </w: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1035"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17</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配合情况</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3</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xml:space="preserve">良好 3分：能够认真主动地配合建设单位、监理单位及其它相关部门的工作；                                                       </w:t>
            </w:r>
            <w:r>
              <w:rPr>
                <w:rFonts w:hint="eastAsia" w:ascii="宋体" w:hAnsi="宋体" w:cs="宋体"/>
                <w:kern w:val="0"/>
                <w:sz w:val="18"/>
                <w:szCs w:val="18"/>
              </w:rPr>
              <w:br w:type="textWrapping"/>
            </w:r>
            <w:r>
              <w:rPr>
                <w:rFonts w:hint="eastAsia" w:ascii="宋体" w:hAnsi="宋体" w:cs="宋体"/>
                <w:kern w:val="0"/>
                <w:sz w:val="18"/>
                <w:szCs w:val="18"/>
              </w:rPr>
              <w:t xml:space="preserve">合格 2 分：基本能够认真主动地配合建设单位、监理单位及其它相关部门的工作；                                                                     </w:t>
            </w:r>
            <w:r>
              <w:rPr>
                <w:rFonts w:hint="eastAsia" w:ascii="宋体" w:hAnsi="宋体" w:cs="宋体"/>
                <w:kern w:val="0"/>
                <w:sz w:val="18"/>
                <w:szCs w:val="18"/>
              </w:rPr>
              <w:br w:type="textWrapping"/>
            </w:r>
            <w:r>
              <w:rPr>
                <w:rFonts w:hint="eastAsia" w:ascii="宋体" w:hAnsi="宋体" w:cs="宋体"/>
                <w:kern w:val="0"/>
                <w:sz w:val="18"/>
                <w:szCs w:val="18"/>
              </w:rPr>
              <w:t>不合格 0 分：不能够认真主动地配合建设单位、监理单位及其它相关部门的工作。</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870"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18</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总包对分包的管理</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r>
              <w:rPr>
                <w:rFonts w:hint="eastAsia" w:ascii="宋体" w:hAnsi="宋体" w:cs="宋体"/>
                <w:kern w:val="0"/>
                <w:sz w:val="18"/>
                <w:szCs w:val="18"/>
              </w:rPr>
              <w:t>3</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良好 3分：总包对分包进行全面有效的管理；</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合格 2分：总包对分包进行基本全面有效的管理；</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不合格 0 分：总包对分包没有进行全面有效的管理。</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br w:type="textWrapping"/>
            </w: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870"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黑体" w:hAnsi="宋体" w:eastAsia="黑体" w:cs="宋体"/>
                <w:kern w:val="0"/>
                <w:sz w:val="24"/>
              </w:rPr>
            </w:pPr>
            <w:r>
              <w:rPr>
                <w:rFonts w:hint="eastAsia" w:ascii="黑体" w:hAnsi="宋体" w:eastAsia="黑体" w:cs="宋体"/>
                <w:kern w:val="0"/>
                <w:sz w:val="24"/>
              </w:rPr>
              <w:t>六</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扣分项</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1、因施工单位原因，造成投资超合同、超概算，扣20分。</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2、收取安全文明措施费用而不投入，扣10分；</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3、受到区建设部门、质安监处罚的，一次扣10分；</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4、轻视安全事故防范，受到区建设部门批评的，一次扣5分；</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5、无故拖延支付保证金、劳务工资、材料款，一次扣5分；</w:t>
            </w:r>
          </w:p>
          <w:p>
            <w:pPr>
              <w:widowControl/>
              <w:tabs>
                <w:tab w:val="left" w:pos="1620"/>
              </w:tabs>
              <w:snapToGrid w:val="0"/>
              <w:spacing w:line="240" w:lineRule="atLeast"/>
              <w:ind w:left="270" w:hanging="270" w:hangingChars="150"/>
              <w:jc w:val="left"/>
              <w:rPr>
                <w:rFonts w:ascii="宋体" w:hAnsi="宋体" w:cs="宋体"/>
                <w:kern w:val="0"/>
                <w:sz w:val="18"/>
                <w:szCs w:val="18"/>
              </w:rPr>
            </w:pPr>
            <w:r>
              <w:rPr>
                <w:rFonts w:hint="eastAsia" w:ascii="宋体" w:hAnsi="宋体" w:cs="宋体"/>
                <w:kern w:val="0"/>
                <w:sz w:val="18"/>
                <w:szCs w:val="18"/>
              </w:rPr>
              <w:t>6. 未按要求落实施工组织管理，受到社会团体或个人有效投诉的，一次扣5分</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宋体" w:hAnsi="宋体" w:cs="宋体"/>
                <w:kern w:val="0"/>
                <w:sz w:val="18"/>
                <w:szCs w:val="18"/>
              </w:rPr>
            </w:pPr>
          </w:p>
        </w:tc>
      </w:tr>
      <w:tr>
        <w:tblPrEx>
          <w:tblCellMar>
            <w:top w:w="0" w:type="dxa"/>
            <w:left w:w="108" w:type="dxa"/>
            <w:bottom w:w="0" w:type="dxa"/>
            <w:right w:w="108" w:type="dxa"/>
          </w:tblCellMar>
        </w:tblPrEx>
        <w:trPr>
          <w:trHeight w:val="870"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黑体" w:hAnsi="宋体" w:eastAsia="黑体" w:cs="宋体"/>
                <w:kern w:val="0"/>
                <w:sz w:val="24"/>
              </w:rPr>
            </w:pPr>
            <w:r>
              <w:rPr>
                <w:rFonts w:hint="eastAsia" w:ascii="黑体" w:hAnsi="宋体" w:eastAsia="黑体" w:cs="宋体"/>
                <w:kern w:val="0"/>
                <w:sz w:val="24"/>
              </w:rPr>
              <w:t>七</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加分项</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宋体" w:hAnsi="宋体" w:cs="宋体"/>
                <w:kern w:val="0"/>
                <w:sz w:val="18"/>
                <w:szCs w:val="18"/>
              </w:rPr>
            </w:pP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1、获得大禹奖、鲁班奖、詹天佑奖的，加10分；</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2、获得省级以上优质工程奖的，加7分；</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3、获得市、区政府表扬的，加5分；</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4、获得建设行政主管部门、质安站通报表扬的，一次加3分。</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宋体" w:hAnsi="宋体" w:cs="宋体"/>
                <w:kern w:val="0"/>
                <w:sz w:val="18"/>
                <w:szCs w:val="18"/>
              </w:rPr>
            </w:pPr>
          </w:p>
        </w:tc>
      </w:tr>
      <w:tr>
        <w:tblPrEx>
          <w:tblCellMar>
            <w:top w:w="0" w:type="dxa"/>
            <w:left w:w="108" w:type="dxa"/>
            <w:bottom w:w="0" w:type="dxa"/>
            <w:right w:w="108" w:type="dxa"/>
          </w:tblCellMar>
        </w:tblPrEx>
        <w:trPr>
          <w:trHeight w:val="525" w:hRule="atLeast"/>
          <w:jc w:val="center"/>
        </w:trPr>
        <w:tc>
          <w:tcPr>
            <w:tcW w:w="456" w:type="dxa"/>
            <w:tcBorders>
              <w:top w:val="nil"/>
              <w:left w:val="single" w:color="auto" w:sz="8" w:space="0"/>
              <w:bottom w:val="single" w:color="auto" w:sz="8" w:space="0"/>
              <w:right w:val="single" w:color="auto" w:sz="4" w:space="0"/>
            </w:tcBorders>
            <w:vAlign w:val="center"/>
          </w:tcPr>
          <w:p>
            <w:pPr>
              <w:widowControl/>
              <w:tabs>
                <w:tab w:val="left" w:pos="1620"/>
              </w:tabs>
              <w:snapToGrid w:val="0"/>
              <w:spacing w:line="240" w:lineRule="atLeast"/>
              <w:jc w:val="center"/>
              <w:rPr>
                <w:rFonts w:ascii="黑体" w:hAnsi="宋体" w:eastAsia="黑体" w:cs="宋体"/>
                <w:kern w:val="0"/>
                <w:sz w:val="24"/>
              </w:rPr>
            </w:pPr>
            <w:r>
              <w:rPr>
                <w:rFonts w:hint="eastAsia" w:ascii="黑体" w:hAnsi="宋体" w:eastAsia="黑体" w:cs="宋体"/>
                <w:kern w:val="0"/>
                <w:sz w:val="24"/>
              </w:rPr>
              <w:t>八</w:t>
            </w:r>
          </w:p>
        </w:tc>
        <w:tc>
          <w:tcPr>
            <w:tcW w:w="1901" w:type="dxa"/>
            <w:tcBorders>
              <w:top w:val="nil"/>
              <w:left w:val="nil"/>
              <w:bottom w:val="single" w:color="auto" w:sz="8"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直接判定为“不合格”的情形</w:t>
            </w:r>
          </w:p>
        </w:tc>
        <w:tc>
          <w:tcPr>
            <w:tcW w:w="576" w:type="dxa"/>
            <w:tcBorders>
              <w:top w:val="nil"/>
              <w:left w:val="nil"/>
              <w:bottom w:val="single" w:color="auto" w:sz="8" w:space="0"/>
              <w:right w:val="single" w:color="auto" w:sz="4" w:space="0"/>
            </w:tcBorders>
            <w:vAlign w:val="center"/>
          </w:tcPr>
          <w:p>
            <w:pPr>
              <w:widowControl/>
              <w:tabs>
                <w:tab w:val="left" w:pos="1620"/>
              </w:tabs>
              <w:snapToGrid w:val="0"/>
              <w:spacing w:line="240" w:lineRule="atLeast"/>
              <w:jc w:val="center"/>
              <w:rPr>
                <w:rFonts w:ascii="黑体" w:hAnsi="宋体" w:eastAsia="黑体" w:cs="宋体"/>
                <w:kern w:val="0"/>
                <w:sz w:val="24"/>
              </w:rPr>
            </w:pPr>
          </w:p>
        </w:tc>
        <w:tc>
          <w:tcPr>
            <w:tcW w:w="5130" w:type="dxa"/>
            <w:tcBorders>
              <w:top w:val="nil"/>
              <w:left w:val="nil"/>
              <w:bottom w:val="single" w:color="auto" w:sz="8" w:space="0"/>
              <w:right w:val="single" w:color="auto" w:sz="4" w:space="0"/>
            </w:tcBorders>
            <w:vAlign w:val="center"/>
          </w:tcPr>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1、因自身原因造成工程发生较大或较大以上事故的；</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2、因自身原因造成履约时间严重滞后 （滞后时间超过合同约定履约时间20%）的；</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3、存在转包、挂靠或违法分包工程（业务）行为的；</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4、履约评价主要项（质量、安全、进度）按百分比折算后分数少于60分的；</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5、无正当理由不履行合同的；</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6、因施工单位原因拖欠工人工资或分包商工程款而发生纠纷逾期未整改或引发群体性上访事件的；</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7、违规变更工程项目与工程量的；</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8、伪造工程变更现场与事项的；</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9、采用假劣伪劣产品的；</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10、拒不参加或以各种理由拖延参加发包人通知的抢险救灾及应急工作的；</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11、违反执业规范或职业道德，弄虚作假，或串通损害他人利益造成严重后果或恶劣影响的；</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12、以暴力或其他手段妨碍发包人行使权利义务，或以暴力或其他手段妨碍国家工作人员执行公务，或扰乱社会正常秩序的；</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13、工程竣工验收不合格的；</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14、经纪检监察机关认定行贿受贿造成严重后果或恶劣影响的；</w:t>
            </w:r>
          </w:p>
          <w:p>
            <w:pPr>
              <w:widowControl/>
              <w:tabs>
                <w:tab w:val="left" w:pos="1620"/>
              </w:tabs>
              <w:snapToGrid w:val="0"/>
              <w:spacing w:line="240" w:lineRule="atLeast"/>
              <w:jc w:val="left"/>
              <w:rPr>
                <w:rFonts w:ascii="宋体" w:hAnsi="宋体" w:cs="宋体"/>
                <w:kern w:val="0"/>
                <w:sz w:val="18"/>
                <w:szCs w:val="18"/>
              </w:rPr>
            </w:pPr>
            <w:r>
              <w:rPr>
                <w:rFonts w:hint="eastAsia" w:ascii="宋体" w:hAnsi="宋体" w:cs="宋体"/>
                <w:kern w:val="0"/>
                <w:sz w:val="18"/>
                <w:szCs w:val="18"/>
              </w:rPr>
              <w:t>15、未根据企业自身情况理性报价，以低于成本的报价竞标中标后却放弃工程的。</w:t>
            </w:r>
          </w:p>
        </w:tc>
        <w:tc>
          <w:tcPr>
            <w:tcW w:w="673" w:type="dxa"/>
            <w:tcBorders>
              <w:top w:val="nil"/>
              <w:left w:val="nil"/>
              <w:bottom w:val="single" w:color="auto" w:sz="8"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18"/>
                <w:szCs w:val="18"/>
              </w:rPr>
            </w:pPr>
          </w:p>
        </w:tc>
        <w:tc>
          <w:tcPr>
            <w:tcW w:w="625" w:type="dxa"/>
            <w:tcBorders>
              <w:top w:val="nil"/>
              <w:left w:val="nil"/>
              <w:bottom w:val="single" w:color="auto" w:sz="8" w:space="0"/>
              <w:right w:val="single" w:color="auto" w:sz="8" w:space="0"/>
            </w:tcBorders>
            <w:vAlign w:val="center"/>
          </w:tcPr>
          <w:p>
            <w:pPr>
              <w:widowControl/>
              <w:tabs>
                <w:tab w:val="left" w:pos="1620"/>
              </w:tabs>
              <w:snapToGrid w:val="0"/>
              <w:spacing w:line="240" w:lineRule="atLeast"/>
              <w:jc w:val="left"/>
              <w:rPr>
                <w:rFonts w:ascii="黑体" w:hAnsi="宋体" w:eastAsia="黑体" w:cs="宋体"/>
                <w:kern w:val="0"/>
                <w:sz w:val="24"/>
              </w:rPr>
            </w:pPr>
          </w:p>
        </w:tc>
      </w:tr>
      <w:tr>
        <w:tblPrEx>
          <w:tblCellMar>
            <w:top w:w="0" w:type="dxa"/>
            <w:left w:w="108" w:type="dxa"/>
            <w:bottom w:w="0" w:type="dxa"/>
            <w:right w:w="108" w:type="dxa"/>
          </w:tblCellMar>
        </w:tblPrEx>
        <w:trPr>
          <w:trHeight w:val="60" w:hRule="atLeast"/>
          <w:jc w:val="center"/>
        </w:trPr>
        <w:tc>
          <w:tcPr>
            <w:tcW w:w="456" w:type="dxa"/>
            <w:tcBorders>
              <w:top w:val="nil"/>
              <w:left w:val="single" w:color="auto" w:sz="8" w:space="0"/>
              <w:bottom w:val="single" w:color="auto" w:sz="4" w:space="0"/>
              <w:right w:val="single" w:color="auto" w:sz="4" w:space="0"/>
            </w:tcBorders>
            <w:vAlign w:val="center"/>
          </w:tcPr>
          <w:p>
            <w:pPr>
              <w:widowControl/>
              <w:tabs>
                <w:tab w:val="left" w:pos="1620"/>
              </w:tabs>
              <w:snapToGrid w:val="0"/>
              <w:spacing w:line="240" w:lineRule="atLeast"/>
              <w:jc w:val="center"/>
              <w:rPr>
                <w:rFonts w:ascii="黑体" w:hAnsi="宋体" w:eastAsia="黑体" w:cs="宋体"/>
                <w:kern w:val="0"/>
                <w:sz w:val="24"/>
              </w:rPr>
            </w:pPr>
            <w:r>
              <w:rPr>
                <w:rFonts w:hint="eastAsia" w:ascii="黑体" w:hAnsi="宋体" w:eastAsia="黑体" w:cs="宋体"/>
                <w:kern w:val="0"/>
                <w:sz w:val="24"/>
              </w:rPr>
              <w:t>　</w:t>
            </w:r>
          </w:p>
        </w:tc>
        <w:tc>
          <w:tcPr>
            <w:tcW w:w="1901"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合  计</w:t>
            </w:r>
          </w:p>
        </w:tc>
        <w:tc>
          <w:tcPr>
            <w:tcW w:w="576"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center"/>
              <w:rPr>
                <w:rFonts w:ascii="黑体" w:hAnsi="宋体" w:eastAsia="黑体" w:cs="宋体"/>
                <w:kern w:val="0"/>
                <w:sz w:val="24"/>
              </w:rPr>
            </w:pPr>
            <w:r>
              <w:rPr>
                <w:rFonts w:hint="eastAsia" w:ascii="黑体" w:hAnsi="宋体" w:eastAsia="黑体" w:cs="宋体"/>
                <w:kern w:val="0"/>
                <w:sz w:val="24"/>
              </w:rPr>
              <w:t>100</w:t>
            </w:r>
          </w:p>
        </w:tc>
        <w:tc>
          <w:tcPr>
            <w:tcW w:w="5130"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　</w:t>
            </w:r>
          </w:p>
        </w:tc>
        <w:tc>
          <w:tcPr>
            <w:tcW w:w="673" w:type="dxa"/>
            <w:tcBorders>
              <w:top w:val="nil"/>
              <w:left w:val="nil"/>
              <w:bottom w:val="single" w:color="auto" w:sz="4" w:space="0"/>
              <w:right w:val="single" w:color="auto" w:sz="4" w:space="0"/>
            </w:tcBorders>
            <w:vAlign w:val="center"/>
          </w:tcPr>
          <w:p>
            <w:pPr>
              <w:widowControl/>
              <w:tabs>
                <w:tab w:val="left" w:pos="1620"/>
              </w:tabs>
              <w:snapToGrid w:val="0"/>
              <w:spacing w:line="240" w:lineRule="atLeast"/>
              <w:jc w:val="left"/>
              <w:rPr>
                <w:rFonts w:ascii="黑体" w:hAnsi="宋体" w:eastAsia="黑体" w:cs="宋体"/>
                <w:kern w:val="0"/>
                <w:sz w:val="24"/>
              </w:rPr>
            </w:pPr>
          </w:p>
        </w:tc>
        <w:tc>
          <w:tcPr>
            <w:tcW w:w="625" w:type="dxa"/>
            <w:tcBorders>
              <w:top w:val="nil"/>
              <w:left w:val="nil"/>
              <w:bottom w:val="single" w:color="auto" w:sz="4" w:space="0"/>
              <w:right w:val="single" w:color="auto" w:sz="8" w:space="0"/>
            </w:tcBorders>
            <w:vAlign w:val="center"/>
          </w:tcPr>
          <w:p>
            <w:pPr>
              <w:widowControl/>
              <w:tabs>
                <w:tab w:val="left" w:pos="1620"/>
              </w:tabs>
              <w:snapToGrid w:val="0"/>
              <w:spacing w:line="240" w:lineRule="atLeast"/>
              <w:jc w:val="left"/>
              <w:rPr>
                <w:rFonts w:ascii="黑体" w:hAnsi="宋体" w:eastAsia="黑体" w:cs="宋体"/>
                <w:kern w:val="0"/>
                <w:sz w:val="24"/>
              </w:rPr>
            </w:pPr>
            <w:r>
              <w:rPr>
                <w:rFonts w:hint="eastAsia" w:ascii="黑体" w:hAnsi="宋体" w:eastAsia="黑体" w:cs="宋体"/>
                <w:kern w:val="0"/>
                <w:sz w:val="24"/>
              </w:rPr>
              <w:t>　</w:t>
            </w:r>
          </w:p>
        </w:tc>
      </w:tr>
      <w:tr>
        <w:tblPrEx>
          <w:tblCellMar>
            <w:top w:w="0" w:type="dxa"/>
            <w:left w:w="108" w:type="dxa"/>
            <w:bottom w:w="0" w:type="dxa"/>
            <w:right w:w="108" w:type="dxa"/>
          </w:tblCellMar>
        </w:tblPrEx>
        <w:trPr>
          <w:trHeight w:val="525" w:hRule="atLeast"/>
          <w:jc w:val="center"/>
        </w:trPr>
        <w:tc>
          <w:tcPr>
            <w:tcW w:w="9361" w:type="dxa"/>
            <w:gridSpan w:val="6"/>
            <w:tcBorders>
              <w:top w:val="single" w:color="auto" w:sz="4" w:space="0"/>
              <w:left w:val="single" w:color="auto" w:sz="8" w:space="0"/>
              <w:bottom w:val="single" w:color="auto" w:sz="8" w:space="0"/>
              <w:right w:val="single" w:color="auto" w:sz="8" w:space="0"/>
            </w:tcBorders>
            <w:vAlign w:val="center"/>
          </w:tcPr>
          <w:p>
            <w:pPr>
              <w:widowControl/>
              <w:spacing w:line="240" w:lineRule="atLeast"/>
              <w:rPr>
                <w:rFonts w:ascii="宋体" w:hAnsi="宋体"/>
                <w:sz w:val="18"/>
                <w:szCs w:val="18"/>
              </w:rPr>
            </w:pPr>
            <w:r>
              <w:rPr>
                <w:rFonts w:hint="eastAsia" w:ascii="宋体" w:hAnsi="宋体" w:cs="宋体"/>
                <w:b/>
                <w:kern w:val="0"/>
                <w:sz w:val="18"/>
                <w:szCs w:val="18"/>
              </w:rPr>
              <w:t>注：</w:t>
            </w:r>
            <w:r>
              <w:rPr>
                <w:rFonts w:hint="eastAsia" w:ascii="宋体" w:hAnsi="宋体" w:cs="宋体"/>
                <w:kern w:val="0"/>
                <w:sz w:val="18"/>
                <w:szCs w:val="18"/>
              </w:rPr>
              <w:t>1、</w:t>
            </w:r>
            <w:r>
              <w:rPr>
                <w:rFonts w:hint="eastAsia" w:ascii="宋体" w:hAnsi="宋体"/>
                <w:sz w:val="18"/>
                <w:szCs w:val="18"/>
              </w:rPr>
              <w:t>工程建设单位可结合其工程特点和具体要求，增加和量化具体评分指标，制定评分表，并按百分制将分项分值以百分比折算后进行调整。</w:t>
            </w:r>
          </w:p>
          <w:p>
            <w:pPr>
              <w:widowControl/>
              <w:spacing w:line="240" w:lineRule="atLeast"/>
              <w:ind w:firstLine="360" w:firstLineChars="200"/>
              <w:rPr>
                <w:rFonts w:ascii="宋体" w:hAnsi="宋体" w:cs="宋体"/>
                <w:kern w:val="0"/>
                <w:sz w:val="18"/>
                <w:szCs w:val="18"/>
              </w:rPr>
            </w:pPr>
            <w:r>
              <w:rPr>
                <w:rFonts w:hint="eastAsia" w:ascii="宋体" w:hAnsi="宋体" w:cs="宋体"/>
                <w:kern w:val="0"/>
                <w:sz w:val="18"/>
                <w:szCs w:val="18"/>
              </w:rPr>
              <w:t>2、</w:t>
            </w:r>
            <w:r>
              <w:rPr>
                <w:rFonts w:hint="eastAsia" w:ascii="宋体" w:hAnsi="宋体"/>
                <w:sz w:val="18"/>
                <w:szCs w:val="18"/>
              </w:rPr>
              <w:t>规定的评分指标中，招标文件</w:t>
            </w:r>
            <w:r>
              <w:rPr>
                <w:rFonts w:hint="eastAsia" w:ascii="宋体" w:hAnsi="宋体" w:cs="宋体"/>
                <w:kern w:val="0"/>
                <w:sz w:val="18"/>
                <w:szCs w:val="18"/>
              </w:rPr>
              <w:t>或合同</w:t>
            </w:r>
            <w:r>
              <w:rPr>
                <w:rFonts w:hint="eastAsia" w:ascii="宋体" w:hAnsi="宋体"/>
                <w:sz w:val="18"/>
                <w:szCs w:val="18"/>
              </w:rPr>
              <w:t>无委托实施的内容，不计入评分，其分值按百分比折算后计入其他指标中或对总得分按百分比进行折算。</w:t>
            </w:r>
          </w:p>
        </w:tc>
      </w:tr>
    </w:tbl>
    <w:p>
      <w:pPr>
        <w:widowControl/>
        <w:tabs>
          <w:tab w:val="left" w:pos="1620"/>
        </w:tabs>
        <w:rPr>
          <w:rFonts w:ascii="仿宋_GB2312" w:hAnsi="宋体" w:eastAsia="仿宋_GB2312" w:cs="宋体"/>
          <w:bCs/>
          <w:kern w:val="0"/>
          <w:sz w:val="32"/>
          <w:szCs w:val="32"/>
        </w:rPr>
      </w:pPr>
    </w:p>
    <w:p/>
    <w:p>
      <w:pPr>
        <w:widowControl/>
        <w:jc w:val="left"/>
        <w:rPr>
          <w:rFonts w:ascii="仿宋" w:hAnsi="仿宋" w:eastAsia="仿宋"/>
          <w:sz w:val="32"/>
          <w:szCs w:val="32"/>
        </w:rPr>
      </w:pPr>
      <w:r>
        <w:rPr>
          <w:rFonts w:ascii="仿宋" w:hAnsi="仿宋" w:eastAsia="仿宋"/>
          <w:sz w:val="32"/>
          <w:szCs w:val="32"/>
        </w:rPr>
        <w:br w:type="page"/>
      </w:r>
    </w:p>
    <w:tbl>
      <w:tblPr>
        <w:tblStyle w:val="9"/>
        <w:tblpPr w:leftFromText="180" w:rightFromText="180" w:vertAnchor="text" w:horzAnchor="margin" w:tblpXSpec="center" w:tblpY="799"/>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8"/>
        <w:gridCol w:w="3175"/>
        <w:gridCol w:w="992"/>
        <w:gridCol w:w="38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1328" w:type="dxa"/>
            <w:vAlign w:val="center"/>
          </w:tcPr>
          <w:p>
            <w:pPr>
              <w:jc w:val="center"/>
              <w:rPr>
                <w:rFonts w:ascii="宋体" w:hAnsi="宋体"/>
                <w:b/>
                <w:sz w:val="18"/>
                <w:szCs w:val="18"/>
              </w:rPr>
            </w:pPr>
            <w:r>
              <w:rPr>
                <w:rFonts w:hint="eastAsia" w:ascii="宋体" w:hAnsi="宋体"/>
                <w:sz w:val="18"/>
                <w:szCs w:val="18"/>
              </w:rPr>
              <w:t>工程名称</w:t>
            </w:r>
          </w:p>
        </w:tc>
        <w:tc>
          <w:tcPr>
            <w:tcW w:w="3175" w:type="dxa"/>
            <w:vAlign w:val="center"/>
          </w:tcPr>
          <w:p>
            <w:pPr>
              <w:rPr>
                <w:rFonts w:ascii="宋体" w:hAnsi="宋体"/>
                <w:b/>
                <w:sz w:val="18"/>
                <w:szCs w:val="18"/>
              </w:rPr>
            </w:pPr>
          </w:p>
        </w:tc>
        <w:tc>
          <w:tcPr>
            <w:tcW w:w="992" w:type="dxa"/>
            <w:tcBorders>
              <w:top w:val="nil"/>
            </w:tcBorders>
            <w:vAlign w:val="center"/>
          </w:tcPr>
          <w:p>
            <w:pPr>
              <w:jc w:val="center"/>
              <w:rPr>
                <w:rFonts w:ascii="宋体" w:hAnsi="宋体"/>
                <w:b/>
                <w:sz w:val="18"/>
                <w:szCs w:val="18"/>
              </w:rPr>
            </w:pPr>
            <w:r>
              <w:rPr>
                <w:rFonts w:hint="eastAsia" w:ascii="宋体" w:hAnsi="宋体"/>
                <w:sz w:val="18"/>
                <w:szCs w:val="18"/>
              </w:rPr>
              <w:t>承 包 商</w:t>
            </w:r>
          </w:p>
        </w:tc>
        <w:tc>
          <w:tcPr>
            <w:tcW w:w="3827" w:type="dxa"/>
            <w:tcBorders>
              <w:top w:val="nil"/>
            </w:tcBorders>
            <w:vAlign w:val="center"/>
          </w:tcPr>
          <w:p>
            <w:pPr>
              <w:rPr>
                <w:rFonts w:ascii="宋体" w:hAnsi="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328" w:type="dxa"/>
            <w:vAlign w:val="center"/>
          </w:tcPr>
          <w:p>
            <w:pPr>
              <w:jc w:val="center"/>
              <w:rPr>
                <w:rFonts w:ascii="宋体" w:hAnsi="宋体"/>
                <w:b/>
                <w:sz w:val="18"/>
                <w:szCs w:val="18"/>
              </w:rPr>
            </w:pPr>
            <w:r>
              <w:rPr>
                <w:rFonts w:hint="eastAsia" w:ascii="宋体" w:hAnsi="宋体"/>
                <w:sz w:val="18"/>
                <w:szCs w:val="18"/>
              </w:rPr>
              <w:t>总 得 分</w:t>
            </w:r>
          </w:p>
        </w:tc>
        <w:tc>
          <w:tcPr>
            <w:tcW w:w="3175" w:type="dxa"/>
            <w:vAlign w:val="center"/>
          </w:tcPr>
          <w:p>
            <w:pPr>
              <w:rPr>
                <w:rFonts w:ascii="宋体" w:hAnsi="宋体"/>
                <w:b/>
                <w:sz w:val="18"/>
                <w:szCs w:val="18"/>
              </w:rPr>
            </w:pPr>
          </w:p>
        </w:tc>
        <w:tc>
          <w:tcPr>
            <w:tcW w:w="992" w:type="dxa"/>
            <w:vAlign w:val="center"/>
          </w:tcPr>
          <w:p>
            <w:pPr>
              <w:jc w:val="center"/>
              <w:rPr>
                <w:rFonts w:ascii="宋体" w:hAnsi="宋体"/>
                <w:b/>
                <w:sz w:val="18"/>
                <w:szCs w:val="18"/>
              </w:rPr>
            </w:pPr>
            <w:r>
              <w:rPr>
                <w:rFonts w:hint="eastAsia" w:ascii="宋体" w:hAnsi="宋体"/>
                <w:sz w:val="18"/>
                <w:szCs w:val="18"/>
              </w:rPr>
              <w:t>评价等级</w:t>
            </w:r>
          </w:p>
        </w:tc>
        <w:tc>
          <w:tcPr>
            <w:tcW w:w="3827" w:type="dxa"/>
            <w:vAlign w:val="center"/>
          </w:tcPr>
          <w:p>
            <w:pPr>
              <w:jc w:val="center"/>
              <w:rPr>
                <w:rFonts w:ascii="宋体" w:hAnsi="宋体"/>
                <w:sz w:val="18"/>
                <w:szCs w:val="18"/>
              </w:rPr>
            </w:pPr>
            <w:r>
              <w:rPr>
                <w:rFonts w:hint="eastAsia" w:ascii="宋体" w:hAnsi="宋体"/>
                <w:sz w:val="18"/>
                <w:szCs w:val="18"/>
              </w:rPr>
              <w:t>□优  □良 □中  □合格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328" w:type="dxa"/>
            <w:vAlign w:val="center"/>
          </w:tcPr>
          <w:p>
            <w:pPr>
              <w:jc w:val="center"/>
              <w:rPr>
                <w:rFonts w:ascii="宋体" w:hAnsi="宋体"/>
                <w:b/>
                <w:sz w:val="18"/>
                <w:szCs w:val="18"/>
              </w:rPr>
            </w:pPr>
            <w:r>
              <w:rPr>
                <w:rFonts w:hint="eastAsia"/>
                <w:sz w:val="18"/>
                <w:szCs w:val="18"/>
              </w:rPr>
              <w:t>建设单位</w:t>
            </w:r>
          </w:p>
        </w:tc>
        <w:tc>
          <w:tcPr>
            <w:tcW w:w="3175" w:type="dxa"/>
            <w:vAlign w:val="center"/>
          </w:tcPr>
          <w:p>
            <w:pPr>
              <w:rPr>
                <w:rFonts w:ascii="宋体" w:hAnsi="宋体"/>
                <w:b/>
                <w:sz w:val="18"/>
                <w:szCs w:val="18"/>
              </w:rPr>
            </w:pPr>
          </w:p>
        </w:tc>
        <w:tc>
          <w:tcPr>
            <w:tcW w:w="992" w:type="dxa"/>
            <w:vAlign w:val="center"/>
          </w:tcPr>
          <w:p>
            <w:pPr>
              <w:jc w:val="center"/>
              <w:rPr>
                <w:rFonts w:ascii="宋体" w:hAnsi="宋体"/>
                <w:b/>
                <w:sz w:val="18"/>
                <w:szCs w:val="18"/>
              </w:rPr>
            </w:pPr>
            <w:r>
              <w:rPr>
                <w:rFonts w:hint="eastAsia" w:ascii="宋体" w:hAnsi="宋体"/>
                <w:sz w:val="18"/>
                <w:szCs w:val="18"/>
              </w:rPr>
              <w:t>评价时间</w:t>
            </w:r>
          </w:p>
        </w:tc>
        <w:tc>
          <w:tcPr>
            <w:tcW w:w="3827" w:type="dxa"/>
            <w:vAlign w:val="center"/>
          </w:tcPr>
          <w:p>
            <w:pPr>
              <w:jc w:val="right"/>
              <w:rPr>
                <w:rFonts w:ascii="宋体" w:hAnsi="宋体"/>
                <w:b/>
                <w:sz w:val="18"/>
                <w:szCs w:val="18"/>
              </w:rPr>
            </w:pPr>
            <w:r>
              <w:rPr>
                <w:rFonts w:hint="eastAsia" w:ascii="宋体" w:hAnsi="宋体"/>
                <w:sz w:val="18"/>
                <w:szCs w:val="18"/>
              </w:rPr>
              <w:t>年    月    日</w:t>
            </w:r>
          </w:p>
        </w:tc>
      </w:tr>
    </w:tbl>
    <w:p>
      <w:pPr>
        <w:widowControl/>
        <w:tabs>
          <w:tab w:val="left" w:pos="1620"/>
        </w:tabs>
        <w:jc w:val="center"/>
        <w:rPr>
          <w:rFonts w:ascii="黑体" w:hAnsi="宋体" w:eastAsia="黑体" w:cs="宋体"/>
          <w:bCs/>
          <w:kern w:val="0"/>
          <w:sz w:val="32"/>
          <w:szCs w:val="32"/>
        </w:rPr>
      </w:pPr>
      <w:r>
        <w:rPr>
          <w:rFonts w:hint="eastAsia" w:ascii="黑体" w:hAnsi="宋体" w:eastAsia="黑体" w:cs="宋体"/>
          <w:bCs/>
          <w:kern w:val="0"/>
          <w:sz w:val="32"/>
          <w:szCs w:val="32"/>
        </w:rPr>
        <w:t>罗湖区建设工程市场主体履约评价表(监理)</w:t>
      </w:r>
    </w:p>
    <w:p/>
    <w:tbl>
      <w:tblPr>
        <w:tblStyle w:val="9"/>
        <w:tblW w:w="0" w:type="auto"/>
        <w:jc w:val="center"/>
        <w:tblLayout w:type="fixed"/>
        <w:tblCellMar>
          <w:top w:w="0" w:type="dxa"/>
          <w:left w:w="108" w:type="dxa"/>
          <w:bottom w:w="0" w:type="dxa"/>
          <w:right w:w="108" w:type="dxa"/>
        </w:tblCellMar>
      </w:tblPr>
      <w:tblGrid>
        <w:gridCol w:w="437"/>
        <w:gridCol w:w="1180"/>
        <w:gridCol w:w="709"/>
        <w:gridCol w:w="5616"/>
        <w:gridCol w:w="706"/>
        <w:gridCol w:w="740"/>
      </w:tblGrid>
      <w:tr>
        <w:tblPrEx>
          <w:tblCellMar>
            <w:top w:w="0" w:type="dxa"/>
            <w:left w:w="108" w:type="dxa"/>
            <w:bottom w:w="0" w:type="dxa"/>
            <w:right w:w="108" w:type="dxa"/>
          </w:tblCellMar>
        </w:tblPrEx>
        <w:trPr>
          <w:trHeight w:val="510" w:hRule="atLeast"/>
          <w:jc w:val="center"/>
        </w:trPr>
        <w:tc>
          <w:tcPr>
            <w:tcW w:w="437" w:type="dxa"/>
            <w:tcBorders>
              <w:top w:val="single" w:color="auto" w:sz="8" w:space="0"/>
              <w:left w:val="single" w:color="auto" w:sz="8" w:space="0"/>
              <w:bottom w:val="nil"/>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序号</w:t>
            </w:r>
          </w:p>
        </w:tc>
        <w:tc>
          <w:tcPr>
            <w:tcW w:w="1180" w:type="dxa"/>
            <w:tcBorders>
              <w:top w:val="single" w:color="auto" w:sz="8" w:space="0"/>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 xml:space="preserve">分 项 </w:t>
            </w:r>
          </w:p>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内 容</w:t>
            </w:r>
          </w:p>
        </w:tc>
        <w:tc>
          <w:tcPr>
            <w:tcW w:w="709" w:type="dxa"/>
            <w:tcBorders>
              <w:top w:val="single" w:color="auto" w:sz="8" w:space="0"/>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满分分值</w:t>
            </w:r>
          </w:p>
        </w:tc>
        <w:tc>
          <w:tcPr>
            <w:tcW w:w="5616" w:type="dxa"/>
            <w:tcBorders>
              <w:top w:val="single" w:color="auto" w:sz="8" w:space="0"/>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评     价     标     准</w:t>
            </w:r>
          </w:p>
        </w:tc>
        <w:tc>
          <w:tcPr>
            <w:tcW w:w="706" w:type="dxa"/>
            <w:tcBorders>
              <w:top w:val="single" w:color="auto" w:sz="8" w:space="0"/>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应得分</w:t>
            </w:r>
          </w:p>
        </w:tc>
        <w:tc>
          <w:tcPr>
            <w:tcW w:w="740" w:type="dxa"/>
            <w:tcBorders>
              <w:top w:val="single" w:color="auto" w:sz="4" w:space="0"/>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实得分</w:t>
            </w:r>
          </w:p>
        </w:tc>
      </w:tr>
      <w:tr>
        <w:tblPrEx>
          <w:tblCellMar>
            <w:top w:w="0" w:type="dxa"/>
            <w:left w:w="108" w:type="dxa"/>
            <w:bottom w:w="0" w:type="dxa"/>
            <w:right w:w="108" w:type="dxa"/>
          </w:tblCellMar>
        </w:tblPrEx>
        <w:trPr>
          <w:trHeight w:val="630" w:hRule="atLeast"/>
          <w:jc w:val="center"/>
        </w:trPr>
        <w:tc>
          <w:tcPr>
            <w:tcW w:w="437" w:type="dxa"/>
            <w:tcBorders>
              <w:top w:val="single" w:color="auto" w:sz="4" w:space="0"/>
              <w:left w:val="single" w:color="auto" w:sz="8" w:space="0"/>
              <w:bottom w:val="single" w:color="auto" w:sz="4" w:space="0"/>
              <w:right w:val="single" w:color="auto" w:sz="4" w:space="0"/>
            </w:tcBorders>
            <w:vAlign w:val="center"/>
          </w:tcPr>
          <w:p>
            <w:pPr>
              <w:widowControl/>
              <w:tabs>
                <w:tab w:val="left" w:pos="1620"/>
              </w:tabs>
              <w:snapToGrid w:val="0"/>
              <w:jc w:val="center"/>
              <w:rPr>
                <w:rFonts w:ascii="黑体" w:hAnsi="宋体" w:eastAsia="黑体" w:cs="宋体"/>
                <w:b/>
                <w:bCs/>
                <w:kern w:val="0"/>
                <w:sz w:val="22"/>
              </w:rPr>
            </w:pPr>
            <w:r>
              <w:rPr>
                <w:rFonts w:hint="eastAsia" w:ascii="黑体" w:hAnsi="宋体" w:eastAsia="黑体" w:cs="宋体"/>
                <w:b/>
                <w:bCs/>
                <w:kern w:val="0"/>
                <w:sz w:val="22"/>
              </w:rPr>
              <w:t>一</w:t>
            </w:r>
          </w:p>
        </w:tc>
        <w:tc>
          <w:tcPr>
            <w:tcW w:w="1180" w:type="dxa"/>
            <w:tcBorders>
              <w:top w:val="nil"/>
              <w:left w:val="nil"/>
              <w:bottom w:val="single" w:color="auto" w:sz="4" w:space="0"/>
              <w:right w:val="single" w:color="auto" w:sz="4" w:space="0"/>
            </w:tcBorders>
            <w:vAlign w:val="center"/>
          </w:tcPr>
          <w:p>
            <w:pPr>
              <w:widowControl/>
              <w:tabs>
                <w:tab w:val="left" w:pos="1620"/>
              </w:tabs>
              <w:snapToGrid w:val="0"/>
              <w:jc w:val="center"/>
              <w:rPr>
                <w:rFonts w:ascii="黑体" w:hAnsi="宋体" w:eastAsia="黑体" w:cs="宋体"/>
                <w:b/>
                <w:bCs/>
                <w:kern w:val="0"/>
                <w:sz w:val="22"/>
              </w:rPr>
            </w:pPr>
            <w:r>
              <w:rPr>
                <w:rFonts w:hint="eastAsia" w:ascii="黑体" w:hAnsi="宋体" w:eastAsia="黑体" w:cs="宋体"/>
                <w:b/>
                <w:bCs/>
                <w:kern w:val="0"/>
                <w:sz w:val="22"/>
              </w:rPr>
              <w:t>人员配备</w:t>
            </w:r>
          </w:p>
        </w:tc>
        <w:tc>
          <w:tcPr>
            <w:tcW w:w="709" w:type="dxa"/>
            <w:tcBorders>
              <w:top w:val="nil"/>
              <w:left w:val="nil"/>
              <w:bottom w:val="single" w:color="auto" w:sz="4" w:space="0"/>
              <w:right w:val="single" w:color="auto" w:sz="4" w:space="0"/>
            </w:tcBorders>
            <w:vAlign w:val="center"/>
          </w:tcPr>
          <w:p>
            <w:pPr>
              <w:widowControl/>
              <w:tabs>
                <w:tab w:val="left" w:pos="1620"/>
              </w:tabs>
              <w:snapToGrid w:val="0"/>
              <w:jc w:val="center"/>
              <w:rPr>
                <w:rFonts w:ascii="黑体" w:hAnsi="宋体" w:eastAsia="黑体" w:cs="宋体"/>
                <w:bCs/>
                <w:kern w:val="0"/>
                <w:sz w:val="22"/>
              </w:rPr>
            </w:pPr>
            <w:r>
              <w:rPr>
                <w:rFonts w:hint="eastAsia" w:ascii="黑体" w:hAnsi="宋体" w:eastAsia="黑体" w:cs="宋体"/>
                <w:bCs/>
                <w:kern w:val="0"/>
                <w:sz w:val="22"/>
              </w:rPr>
              <w:t>24</w:t>
            </w:r>
          </w:p>
        </w:tc>
        <w:tc>
          <w:tcPr>
            <w:tcW w:w="5616" w:type="dxa"/>
            <w:tcBorders>
              <w:top w:val="nil"/>
              <w:left w:val="nil"/>
              <w:bottom w:val="single" w:color="auto" w:sz="4" w:space="0"/>
              <w:right w:val="single" w:color="auto" w:sz="4" w:space="0"/>
            </w:tcBorders>
            <w:vAlign w:val="center"/>
          </w:tcPr>
          <w:p>
            <w:pPr>
              <w:widowControl/>
              <w:tabs>
                <w:tab w:val="left" w:pos="1620"/>
              </w:tabs>
              <w:snapToGrid w:val="0"/>
              <w:jc w:val="left"/>
              <w:rPr>
                <w:rFonts w:ascii="黑体" w:hAnsi="宋体" w:eastAsia="黑体" w:cs="宋体"/>
                <w:bCs/>
                <w:kern w:val="0"/>
                <w:sz w:val="24"/>
              </w:rPr>
            </w:pPr>
            <w:r>
              <w:rPr>
                <w:rFonts w:hint="eastAsia" w:ascii="黑体" w:hAnsi="宋体" w:eastAsia="黑体" w:cs="宋体"/>
                <w:bCs/>
                <w:kern w:val="0"/>
                <w:sz w:val="24"/>
              </w:rPr>
              <w:t>　</w:t>
            </w:r>
          </w:p>
        </w:tc>
        <w:tc>
          <w:tcPr>
            <w:tcW w:w="706" w:type="dxa"/>
            <w:tcBorders>
              <w:top w:val="nil"/>
              <w:left w:val="nil"/>
              <w:bottom w:val="single" w:color="auto" w:sz="4" w:space="0"/>
              <w:right w:val="single" w:color="auto" w:sz="4" w:space="0"/>
            </w:tcBorders>
            <w:vAlign w:val="center"/>
          </w:tcPr>
          <w:p>
            <w:pPr>
              <w:widowControl/>
              <w:tabs>
                <w:tab w:val="left" w:pos="1620"/>
              </w:tabs>
              <w:snapToGrid w:val="0"/>
              <w:jc w:val="left"/>
              <w:rPr>
                <w:rFonts w:ascii="黑体" w:hAnsi="宋体" w:eastAsia="黑体" w:cs="宋体"/>
                <w:bCs/>
                <w:kern w:val="0"/>
                <w:sz w:val="24"/>
              </w:rPr>
            </w:pPr>
          </w:p>
        </w:tc>
        <w:tc>
          <w:tcPr>
            <w:tcW w:w="740" w:type="dxa"/>
            <w:tcBorders>
              <w:top w:val="nil"/>
              <w:left w:val="nil"/>
              <w:bottom w:val="single" w:color="auto" w:sz="4" w:space="0"/>
              <w:right w:val="single" w:color="auto" w:sz="4" w:space="0"/>
            </w:tcBorders>
            <w:vAlign w:val="center"/>
          </w:tcPr>
          <w:p>
            <w:pPr>
              <w:widowControl/>
              <w:tabs>
                <w:tab w:val="left" w:pos="1620"/>
              </w:tabs>
              <w:snapToGrid w:val="0"/>
              <w:jc w:val="left"/>
              <w:rPr>
                <w:rFonts w:ascii="黑体" w:hAnsi="宋体" w:eastAsia="黑体" w:cs="宋体"/>
                <w:bCs/>
                <w:kern w:val="0"/>
                <w:sz w:val="24"/>
              </w:rPr>
            </w:pPr>
            <w:r>
              <w:rPr>
                <w:rFonts w:hint="eastAsia" w:ascii="黑体" w:hAnsi="宋体" w:eastAsia="黑体" w:cs="宋体"/>
                <w:bCs/>
                <w:kern w:val="0"/>
                <w:sz w:val="24"/>
              </w:rPr>
              <w:t>　</w:t>
            </w:r>
          </w:p>
        </w:tc>
      </w:tr>
      <w:tr>
        <w:tblPrEx>
          <w:tblCellMar>
            <w:top w:w="0" w:type="dxa"/>
            <w:left w:w="108" w:type="dxa"/>
            <w:bottom w:w="0" w:type="dxa"/>
            <w:right w:w="108" w:type="dxa"/>
          </w:tblCellMar>
        </w:tblPrEx>
        <w:trPr>
          <w:trHeight w:val="1260" w:hRule="atLeast"/>
          <w:jc w:val="center"/>
        </w:trPr>
        <w:tc>
          <w:tcPr>
            <w:tcW w:w="437" w:type="dxa"/>
            <w:tcBorders>
              <w:top w:val="nil"/>
              <w:left w:val="single" w:color="auto" w:sz="8" w:space="0"/>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1</w:t>
            </w:r>
          </w:p>
        </w:tc>
        <w:tc>
          <w:tcPr>
            <w:tcW w:w="1180"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人员数量要求</w:t>
            </w:r>
          </w:p>
        </w:tc>
        <w:tc>
          <w:tcPr>
            <w:tcW w:w="709"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4</w:t>
            </w:r>
          </w:p>
        </w:tc>
        <w:tc>
          <w:tcPr>
            <w:tcW w:w="561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良好 4 分：配备监理人员的数量满足合同及监理工作的实际要求并能及时到位，人员调整得到业主的认可；                                                                                                      合格 2 分：配备监理人员的数量基本满足合同及监理工作的实际要求并能到位，人员调整得到业主的认可；                                                                        不合格 0 分：配备监理人员的数量不满足合同及监理工作的实际要求。</w:t>
            </w:r>
          </w:p>
        </w:tc>
        <w:tc>
          <w:tcPr>
            <w:tcW w:w="70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945" w:hRule="atLeast"/>
          <w:jc w:val="center"/>
        </w:trPr>
        <w:tc>
          <w:tcPr>
            <w:tcW w:w="437" w:type="dxa"/>
            <w:tcBorders>
              <w:top w:val="nil"/>
              <w:left w:val="single" w:color="auto" w:sz="8" w:space="0"/>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2</w:t>
            </w:r>
          </w:p>
        </w:tc>
        <w:tc>
          <w:tcPr>
            <w:tcW w:w="1180"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专业配置要求</w:t>
            </w:r>
          </w:p>
        </w:tc>
        <w:tc>
          <w:tcPr>
            <w:tcW w:w="709"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10</w:t>
            </w:r>
          </w:p>
        </w:tc>
        <w:tc>
          <w:tcPr>
            <w:tcW w:w="561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良好 10 分：配备的监理人员的专业满足监理合同要求且各专业人员保持稳定；</w:t>
            </w:r>
            <w:r>
              <w:rPr>
                <w:rFonts w:hint="eastAsia" w:ascii="宋体" w:hAnsi="宋体" w:cs="宋体"/>
                <w:kern w:val="0"/>
                <w:sz w:val="18"/>
                <w:szCs w:val="18"/>
              </w:rPr>
              <w:br w:type="textWrapping"/>
            </w:r>
            <w:r>
              <w:rPr>
                <w:rFonts w:hint="eastAsia" w:ascii="宋体" w:hAnsi="宋体" w:cs="宋体"/>
                <w:kern w:val="0"/>
                <w:sz w:val="18"/>
                <w:szCs w:val="18"/>
              </w:rPr>
              <w:t>合格 6 分：配备的监理人员的专业基本满足监理合同要求且各专业人员保持相对稳定；                                                                                                                                                                                                                                      不合格 0 分：配备的监理人员专业不满足监理合同要求且各专业人员调换频繁；</w:t>
            </w:r>
          </w:p>
        </w:tc>
        <w:tc>
          <w:tcPr>
            <w:tcW w:w="70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1125" w:hRule="atLeast"/>
          <w:jc w:val="center"/>
        </w:trPr>
        <w:tc>
          <w:tcPr>
            <w:tcW w:w="437" w:type="dxa"/>
            <w:tcBorders>
              <w:top w:val="nil"/>
              <w:left w:val="single" w:color="auto" w:sz="8" w:space="0"/>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3</w:t>
            </w:r>
          </w:p>
        </w:tc>
        <w:tc>
          <w:tcPr>
            <w:tcW w:w="1180"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项目总监要求</w:t>
            </w:r>
          </w:p>
        </w:tc>
        <w:tc>
          <w:tcPr>
            <w:tcW w:w="709"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10</w:t>
            </w:r>
          </w:p>
        </w:tc>
        <w:tc>
          <w:tcPr>
            <w:tcW w:w="561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良好 10 分：项目总监常驻现场且该总监具有高度责任心、良好的组织协调能力和专业的业务水平；</w:t>
            </w:r>
            <w:r>
              <w:rPr>
                <w:rFonts w:hint="eastAsia" w:ascii="宋体" w:hAnsi="宋体" w:cs="宋体"/>
                <w:kern w:val="0"/>
                <w:sz w:val="18"/>
                <w:szCs w:val="18"/>
              </w:rPr>
              <w:br w:type="textWrapping"/>
            </w:r>
            <w:r>
              <w:rPr>
                <w:rFonts w:hint="eastAsia" w:ascii="宋体" w:hAnsi="宋体" w:cs="宋体"/>
                <w:kern w:val="0"/>
                <w:sz w:val="18"/>
                <w:szCs w:val="18"/>
              </w:rPr>
              <w:t xml:space="preserve">合格 6 分：项目总监基本常驻现场且该总监具有责任心、具有一定组织协调能力和专业的业务水平；                                                              </w:t>
            </w:r>
            <w:r>
              <w:rPr>
                <w:rFonts w:hint="eastAsia" w:ascii="宋体" w:hAnsi="宋体" w:cs="宋体"/>
                <w:kern w:val="0"/>
                <w:sz w:val="18"/>
                <w:szCs w:val="18"/>
              </w:rPr>
              <w:br w:type="textWrapping"/>
            </w:r>
            <w:r>
              <w:rPr>
                <w:rFonts w:hint="eastAsia" w:ascii="宋体" w:hAnsi="宋体" w:cs="宋体"/>
                <w:kern w:val="0"/>
                <w:sz w:val="18"/>
                <w:szCs w:val="18"/>
              </w:rPr>
              <w:t>不合格 0 分：项目总监未常驻现场或该总监无责任心、组织协调能力和专业的业务水平差；</w:t>
            </w:r>
          </w:p>
        </w:tc>
        <w:tc>
          <w:tcPr>
            <w:tcW w:w="70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33" w:hRule="atLeast"/>
          <w:jc w:val="center"/>
        </w:trPr>
        <w:tc>
          <w:tcPr>
            <w:tcW w:w="437" w:type="dxa"/>
            <w:tcBorders>
              <w:top w:val="nil"/>
              <w:left w:val="single" w:color="auto" w:sz="8" w:space="0"/>
              <w:bottom w:val="single" w:color="auto" w:sz="4" w:space="0"/>
              <w:right w:val="single" w:color="auto" w:sz="4" w:space="0"/>
            </w:tcBorders>
            <w:vAlign w:val="center"/>
          </w:tcPr>
          <w:p>
            <w:pPr>
              <w:widowControl/>
              <w:tabs>
                <w:tab w:val="left" w:pos="1620"/>
              </w:tabs>
              <w:snapToGrid w:val="0"/>
              <w:jc w:val="center"/>
              <w:rPr>
                <w:rFonts w:ascii="黑体" w:hAnsi="宋体" w:eastAsia="黑体" w:cs="宋体"/>
                <w:b/>
                <w:bCs/>
                <w:kern w:val="0"/>
                <w:sz w:val="22"/>
              </w:rPr>
            </w:pPr>
            <w:r>
              <w:rPr>
                <w:rFonts w:hint="eastAsia" w:ascii="黑体" w:hAnsi="宋体" w:eastAsia="黑体" w:cs="宋体"/>
                <w:b/>
                <w:bCs/>
                <w:kern w:val="0"/>
                <w:sz w:val="22"/>
              </w:rPr>
              <w:t>二</w:t>
            </w:r>
          </w:p>
        </w:tc>
        <w:tc>
          <w:tcPr>
            <w:tcW w:w="1180" w:type="dxa"/>
            <w:tcBorders>
              <w:top w:val="nil"/>
              <w:left w:val="nil"/>
              <w:bottom w:val="single" w:color="auto" w:sz="4" w:space="0"/>
              <w:right w:val="single" w:color="auto" w:sz="4" w:space="0"/>
            </w:tcBorders>
            <w:vAlign w:val="center"/>
          </w:tcPr>
          <w:p>
            <w:pPr>
              <w:widowControl/>
              <w:tabs>
                <w:tab w:val="left" w:pos="1620"/>
              </w:tabs>
              <w:snapToGrid w:val="0"/>
              <w:jc w:val="center"/>
              <w:rPr>
                <w:rFonts w:ascii="黑体" w:hAnsi="宋体" w:eastAsia="黑体" w:cs="宋体"/>
                <w:b/>
                <w:bCs/>
                <w:kern w:val="0"/>
                <w:sz w:val="22"/>
              </w:rPr>
            </w:pPr>
            <w:r>
              <w:rPr>
                <w:rFonts w:hint="eastAsia" w:ascii="黑体" w:hAnsi="宋体" w:eastAsia="黑体" w:cs="宋体"/>
                <w:b/>
                <w:bCs/>
                <w:kern w:val="0"/>
                <w:sz w:val="22"/>
              </w:rPr>
              <w:t>履约质量</w:t>
            </w:r>
          </w:p>
        </w:tc>
        <w:tc>
          <w:tcPr>
            <w:tcW w:w="709" w:type="dxa"/>
            <w:tcBorders>
              <w:top w:val="nil"/>
              <w:left w:val="nil"/>
              <w:bottom w:val="single" w:color="auto" w:sz="4" w:space="0"/>
              <w:right w:val="single" w:color="auto" w:sz="4" w:space="0"/>
            </w:tcBorders>
            <w:vAlign w:val="center"/>
          </w:tcPr>
          <w:p>
            <w:pPr>
              <w:widowControl/>
              <w:tabs>
                <w:tab w:val="left" w:pos="1620"/>
              </w:tabs>
              <w:snapToGrid w:val="0"/>
              <w:jc w:val="center"/>
              <w:rPr>
                <w:rFonts w:ascii="黑体" w:hAnsi="宋体" w:eastAsia="黑体" w:cs="宋体"/>
                <w:bCs/>
                <w:kern w:val="0"/>
                <w:sz w:val="22"/>
              </w:rPr>
            </w:pPr>
            <w:r>
              <w:rPr>
                <w:rFonts w:hint="eastAsia" w:ascii="黑体" w:hAnsi="宋体" w:eastAsia="黑体" w:cs="宋体"/>
                <w:bCs/>
                <w:kern w:val="0"/>
                <w:sz w:val="22"/>
              </w:rPr>
              <w:t>48</w:t>
            </w:r>
          </w:p>
        </w:tc>
        <w:tc>
          <w:tcPr>
            <w:tcW w:w="5616" w:type="dxa"/>
            <w:tcBorders>
              <w:top w:val="nil"/>
              <w:left w:val="nil"/>
              <w:bottom w:val="single" w:color="auto" w:sz="4" w:space="0"/>
              <w:right w:val="single" w:color="auto" w:sz="4" w:space="0"/>
            </w:tcBorders>
            <w:vAlign w:val="center"/>
          </w:tcPr>
          <w:p>
            <w:pPr>
              <w:widowControl/>
              <w:tabs>
                <w:tab w:val="left" w:pos="1620"/>
              </w:tabs>
              <w:snapToGrid w:val="0"/>
              <w:jc w:val="left"/>
              <w:rPr>
                <w:rFonts w:ascii="黑体" w:hAnsi="宋体" w:eastAsia="黑体" w:cs="宋体"/>
                <w:bCs/>
                <w:kern w:val="0"/>
                <w:sz w:val="24"/>
              </w:rPr>
            </w:pPr>
            <w:r>
              <w:rPr>
                <w:rFonts w:hint="eastAsia" w:ascii="黑体" w:hAnsi="宋体" w:eastAsia="黑体" w:cs="宋体"/>
                <w:bCs/>
                <w:kern w:val="0"/>
                <w:sz w:val="24"/>
              </w:rPr>
              <w:t>　</w:t>
            </w:r>
          </w:p>
        </w:tc>
        <w:tc>
          <w:tcPr>
            <w:tcW w:w="706" w:type="dxa"/>
            <w:tcBorders>
              <w:top w:val="nil"/>
              <w:left w:val="nil"/>
              <w:bottom w:val="single" w:color="auto" w:sz="4" w:space="0"/>
              <w:right w:val="single" w:color="auto" w:sz="4" w:space="0"/>
            </w:tcBorders>
            <w:vAlign w:val="center"/>
          </w:tcPr>
          <w:p>
            <w:pPr>
              <w:widowControl/>
              <w:tabs>
                <w:tab w:val="left" w:pos="1620"/>
              </w:tabs>
              <w:snapToGrid w:val="0"/>
              <w:jc w:val="left"/>
              <w:rPr>
                <w:rFonts w:ascii="黑体" w:hAnsi="宋体" w:eastAsia="黑体" w:cs="宋体"/>
                <w:bCs/>
                <w:kern w:val="0"/>
                <w:sz w:val="24"/>
              </w:rPr>
            </w:pPr>
          </w:p>
        </w:tc>
        <w:tc>
          <w:tcPr>
            <w:tcW w:w="740" w:type="dxa"/>
            <w:tcBorders>
              <w:top w:val="nil"/>
              <w:left w:val="nil"/>
              <w:bottom w:val="single" w:color="auto" w:sz="4" w:space="0"/>
              <w:right w:val="single" w:color="auto" w:sz="4" w:space="0"/>
            </w:tcBorders>
            <w:vAlign w:val="center"/>
          </w:tcPr>
          <w:p>
            <w:pPr>
              <w:widowControl/>
              <w:tabs>
                <w:tab w:val="left" w:pos="1620"/>
              </w:tabs>
              <w:snapToGrid w:val="0"/>
              <w:jc w:val="left"/>
              <w:rPr>
                <w:rFonts w:ascii="黑体" w:hAnsi="宋体" w:eastAsia="黑体" w:cs="宋体"/>
                <w:bCs/>
                <w:kern w:val="0"/>
                <w:sz w:val="24"/>
              </w:rPr>
            </w:pPr>
            <w:r>
              <w:rPr>
                <w:rFonts w:hint="eastAsia" w:ascii="黑体" w:hAnsi="宋体" w:eastAsia="黑体" w:cs="宋体"/>
                <w:bCs/>
                <w:kern w:val="0"/>
                <w:sz w:val="24"/>
              </w:rPr>
              <w:t>　</w:t>
            </w:r>
          </w:p>
        </w:tc>
      </w:tr>
      <w:tr>
        <w:tblPrEx>
          <w:tblCellMar>
            <w:top w:w="0" w:type="dxa"/>
            <w:left w:w="108" w:type="dxa"/>
            <w:bottom w:w="0" w:type="dxa"/>
            <w:right w:w="108" w:type="dxa"/>
          </w:tblCellMar>
        </w:tblPrEx>
        <w:trPr>
          <w:trHeight w:val="780" w:hRule="atLeast"/>
          <w:jc w:val="center"/>
        </w:trPr>
        <w:tc>
          <w:tcPr>
            <w:tcW w:w="437" w:type="dxa"/>
            <w:tcBorders>
              <w:top w:val="nil"/>
              <w:left w:val="single" w:color="auto" w:sz="8" w:space="0"/>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4</w:t>
            </w:r>
          </w:p>
        </w:tc>
        <w:tc>
          <w:tcPr>
            <w:tcW w:w="1180"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前期及设计阶段</w:t>
            </w:r>
          </w:p>
        </w:tc>
        <w:tc>
          <w:tcPr>
            <w:tcW w:w="709"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6</w:t>
            </w:r>
          </w:p>
        </w:tc>
        <w:tc>
          <w:tcPr>
            <w:tcW w:w="561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xml:space="preserve">良好6分：能够认真主动地完成监理合同约定的前期阶段各项监理工作； </w:t>
            </w:r>
          </w:p>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xml:space="preserve">合格3分：能够完成监理合同约定的前期阶段各项监理工作；                           不合格0分：不能够完成监理合同约定的前期阶段各项监理工作；                                   </w:t>
            </w:r>
          </w:p>
        </w:tc>
        <w:tc>
          <w:tcPr>
            <w:tcW w:w="70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75" w:hRule="atLeast"/>
          <w:jc w:val="center"/>
        </w:trPr>
        <w:tc>
          <w:tcPr>
            <w:tcW w:w="437" w:type="dxa"/>
            <w:tcBorders>
              <w:top w:val="nil"/>
              <w:left w:val="single" w:color="auto" w:sz="8" w:space="0"/>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5</w:t>
            </w:r>
          </w:p>
        </w:tc>
        <w:tc>
          <w:tcPr>
            <w:tcW w:w="1180"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施工准备阶段监理</w:t>
            </w:r>
          </w:p>
        </w:tc>
        <w:tc>
          <w:tcPr>
            <w:tcW w:w="709"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6</w:t>
            </w:r>
          </w:p>
        </w:tc>
        <w:tc>
          <w:tcPr>
            <w:tcW w:w="561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良好6分：能够认真主动地完成监理合同约定的施工准备阶段各项监理工作；</w:t>
            </w:r>
          </w:p>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xml:space="preserve">合格3分：能够完成监理合同约定的施工准备阶段各项监理工作；                           不合格0分：不能够完成监理合同约定的施工准备阶段各项监理工作；  </w:t>
            </w:r>
          </w:p>
        </w:tc>
        <w:tc>
          <w:tcPr>
            <w:tcW w:w="70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68" w:hRule="atLeast"/>
          <w:jc w:val="center"/>
        </w:trPr>
        <w:tc>
          <w:tcPr>
            <w:tcW w:w="437" w:type="dxa"/>
            <w:tcBorders>
              <w:top w:val="nil"/>
              <w:left w:val="single" w:color="auto" w:sz="8" w:space="0"/>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6</w:t>
            </w:r>
          </w:p>
        </w:tc>
        <w:tc>
          <w:tcPr>
            <w:tcW w:w="1180"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工程质量控制</w:t>
            </w:r>
          </w:p>
        </w:tc>
        <w:tc>
          <w:tcPr>
            <w:tcW w:w="709"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6</w:t>
            </w:r>
          </w:p>
        </w:tc>
        <w:tc>
          <w:tcPr>
            <w:tcW w:w="561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xml:space="preserve">良好 6 分：监理质量符合监理合同的要求， 监理工程师能够严格地依照有关法律、法规、技术标准以及设计文件、建设工程承包合同和监理合同，对工程施工质量实施有效监理并对施工质量尽到监理责任；                                                       </w:t>
            </w:r>
            <w:r>
              <w:rPr>
                <w:rFonts w:hint="eastAsia" w:ascii="宋体" w:hAnsi="宋体" w:cs="宋体"/>
                <w:kern w:val="0"/>
                <w:sz w:val="18"/>
                <w:szCs w:val="18"/>
              </w:rPr>
              <w:br w:type="textWrapping"/>
            </w:r>
            <w:r>
              <w:rPr>
                <w:rFonts w:hint="eastAsia" w:ascii="宋体" w:hAnsi="宋体" w:cs="宋体"/>
                <w:kern w:val="0"/>
                <w:sz w:val="18"/>
                <w:szCs w:val="18"/>
              </w:rPr>
              <w:t xml:space="preserve">合格 3 分：监理质量基本符合监理合同的要求， 监理工程师基本能够依照有关法律、法规、技术标准以及设计文件、建设工程承包合同和监理合同，对工程施工质量实施有效监理并对施工质量尽到监理责任；                                                                                                                           </w:t>
            </w:r>
            <w:r>
              <w:rPr>
                <w:rFonts w:hint="eastAsia" w:ascii="宋体" w:hAnsi="宋体" w:cs="宋体"/>
                <w:kern w:val="0"/>
                <w:sz w:val="18"/>
                <w:szCs w:val="18"/>
              </w:rPr>
              <w:br w:type="textWrapping"/>
            </w:r>
            <w:r>
              <w:rPr>
                <w:rFonts w:hint="eastAsia" w:ascii="宋体" w:hAnsi="宋体" w:cs="宋体"/>
                <w:kern w:val="0"/>
                <w:sz w:val="18"/>
                <w:szCs w:val="18"/>
              </w:rPr>
              <w:t xml:space="preserve">不合格 0 分：监理质量不符合监理合同的要求， 监理工程师不能够依照有关法律、法规、技术标准以及设计文件、建设工程承包合同和监理合同，对工程施工质量实施有效监理并对施工质量尽到监理责任； </w:t>
            </w:r>
          </w:p>
        </w:tc>
        <w:tc>
          <w:tcPr>
            <w:tcW w:w="70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95" w:hRule="atLeast"/>
          <w:jc w:val="center"/>
        </w:trPr>
        <w:tc>
          <w:tcPr>
            <w:tcW w:w="437" w:type="dxa"/>
            <w:tcBorders>
              <w:top w:val="single" w:color="auto" w:sz="4" w:space="0"/>
              <w:left w:val="single" w:color="auto" w:sz="8" w:space="0"/>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7</w:t>
            </w:r>
          </w:p>
        </w:tc>
        <w:tc>
          <w:tcPr>
            <w:tcW w:w="1180" w:type="dxa"/>
            <w:tcBorders>
              <w:top w:val="single" w:color="auto" w:sz="4" w:space="0"/>
              <w:left w:val="nil"/>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安全生产监督管理</w:t>
            </w:r>
          </w:p>
        </w:tc>
        <w:tc>
          <w:tcPr>
            <w:tcW w:w="709" w:type="dxa"/>
            <w:tcBorders>
              <w:top w:val="single" w:color="auto" w:sz="4" w:space="0"/>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6</w:t>
            </w:r>
          </w:p>
        </w:tc>
        <w:tc>
          <w:tcPr>
            <w:tcW w:w="5616" w:type="dxa"/>
            <w:tcBorders>
              <w:top w:val="single" w:color="auto" w:sz="4" w:space="0"/>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xml:space="preserve">良好 6 分：监理安全符合监理合同的要求， 监理工程师能够严格地依照有关法律、法规对工程安全实施监理并承担监理责任；对中型项目和危险性较大分部分项工程，编制安全监理方法和控制要点，能监督施工企业按照施工组织设计中的安全技术措施和安全专项施工方案组织施工，及时制止违规施工作业。                                                     </w:t>
            </w:r>
            <w:r>
              <w:rPr>
                <w:rFonts w:hint="eastAsia" w:ascii="宋体" w:hAnsi="宋体" w:cs="宋体"/>
                <w:kern w:val="0"/>
                <w:sz w:val="18"/>
                <w:szCs w:val="18"/>
              </w:rPr>
              <w:br w:type="textWrapping"/>
            </w:r>
            <w:r>
              <w:rPr>
                <w:rFonts w:hint="eastAsia" w:ascii="宋体" w:hAnsi="宋体" w:cs="宋体"/>
                <w:kern w:val="0"/>
                <w:sz w:val="18"/>
                <w:szCs w:val="18"/>
              </w:rPr>
              <w:t xml:space="preserve">合格 3 分：监理安全基本符合监理合同的要求，监理工程师基本能够依照有关法律、法规对工程安全实施监理并承担监理责任；对中型项目和危险性较大分部分项工程，编制安全监理方法和控制要点，基本能监督施工企业按照施工组织设计中的安全技术措施和安全专项施工方案组织施工，制止违规施工作业。                                                                                                          </w:t>
            </w:r>
            <w:r>
              <w:rPr>
                <w:rFonts w:hint="eastAsia" w:ascii="宋体" w:hAnsi="宋体" w:cs="宋体"/>
                <w:kern w:val="0"/>
                <w:sz w:val="18"/>
                <w:szCs w:val="18"/>
              </w:rPr>
              <w:br w:type="textWrapping"/>
            </w:r>
            <w:r>
              <w:rPr>
                <w:rFonts w:hint="eastAsia" w:ascii="宋体" w:hAnsi="宋体" w:cs="宋体"/>
                <w:kern w:val="0"/>
                <w:sz w:val="18"/>
                <w:szCs w:val="18"/>
              </w:rPr>
              <w:t xml:space="preserve">不合格 0 分：监理安全不符合监理合同的要求，监理工程师不能够依照有关法律、法规对工程安全实施监理并承担监理责任；对中型项目和危险性较大分部分项工程，未编制安全监理方法和控制要点，未能监督施工企业按照施工组织设计中的安全技术措施和安全专项施工方案组织施工，未及时制止违规施工作业。                           </w:t>
            </w:r>
          </w:p>
        </w:tc>
        <w:tc>
          <w:tcPr>
            <w:tcW w:w="706" w:type="dxa"/>
            <w:tcBorders>
              <w:top w:val="single" w:color="auto" w:sz="4" w:space="0"/>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p>
        </w:tc>
        <w:tc>
          <w:tcPr>
            <w:tcW w:w="740" w:type="dxa"/>
            <w:tcBorders>
              <w:top w:val="single" w:color="auto" w:sz="4" w:space="0"/>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1350" w:hRule="atLeast"/>
          <w:jc w:val="center"/>
        </w:trPr>
        <w:tc>
          <w:tcPr>
            <w:tcW w:w="437" w:type="dxa"/>
            <w:tcBorders>
              <w:top w:val="nil"/>
              <w:left w:val="single" w:color="auto" w:sz="8" w:space="0"/>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8</w:t>
            </w:r>
          </w:p>
        </w:tc>
        <w:tc>
          <w:tcPr>
            <w:tcW w:w="1180"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工程投资控制</w:t>
            </w:r>
          </w:p>
        </w:tc>
        <w:tc>
          <w:tcPr>
            <w:tcW w:w="709"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6</w:t>
            </w:r>
          </w:p>
        </w:tc>
        <w:tc>
          <w:tcPr>
            <w:tcW w:w="561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良好 6 分：能够认真准确地完成监理合同规定的施工过程的工程计量、工程支付的工作内容，计量和支付的误差率小于5%（不含5%）；</w:t>
            </w:r>
            <w:r>
              <w:rPr>
                <w:rFonts w:hint="eastAsia" w:ascii="宋体" w:hAnsi="宋体" w:cs="宋体"/>
                <w:kern w:val="0"/>
                <w:sz w:val="18"/>
                <w:szCs w:val="18"/>
              </w:rPr>
              <w:br w:type="textWrapping"/>
            </w:r>
            <w:r>
              <w:rPr>
                <w:rFonts w:hint="eastAsia" w:ascii="宋体" w:hAnsi="宋体" w:cs="宋体"/>
                <w:kern w:val="0"/>
                <w:sz w:val="18"/>
                <w:szCs w:val="18"/>
              </w:rPr>
              <w:t xml:space="preserve">合格 3分：基本能够完成监理合同规定的施工过程的工程计量、工程支付的工作内容，计量和支付的误差率在5%-10%之间（不含10%）；                        </w:t>
            </w:r>
            <w:r>
              <w:rPr>
                <w:rFonts w:hint="eastAsia" w:ascii="宋体" w:hAnsi="宋体" w:cs="宋体"/>
                <w:kern w:val="0"/>
                <w:sz w:val="18"/>
                <w:szCs w:val="18"/>
              </w:rPr>
              <w:br w:type="textWrapping"/>
            </w:r>
            <w:r>
              <w:rPr>
                <w:rFonts w:hint="eastAsia" w:ascii="宋体" w:hAnsi="宋体" w:cs="宋体"/>
                <w:kern w:val="0"/>
                <w:sz w:val="18"/>
                <w:szCs w:val="18"/>
              </w:rPr>
              <w:t>不合格 0 分：不能够完成监理合同规定的施工过程的工程计量、工程支付的工作内容，计量和支付的误差率在10%以上（含10%）。</w:t>
            </w:r>
          </w:p>
        </w:tc>
        <w:tc>
          <w:tcPr>
            <w:tcW w:w="70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1350" w:hRule="atLeast"/>
          <w:jc w:val="center"/>
        </w:trPr>
        <w:tc>
          <w:tcPr>
            <w:tcW w:w="437" w:type="dxa"/>
            <w:tcBorders>
              <w:top w:val="nil"/>
              <w:left w:val="single" w:color="auto" w:sz="8" w:space="0"/>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9</w:t>
            </w:r>
          </w:p>
        </w:tc>
        <w:tc>
          <w:tcPr>
            <w:tcW w:w="1180"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 xml:space="preserve"> 合同管理</w:t>
            </w:r>
          </w:p>
        </w:tc>
        <w:tc>
          <w:tcPr>
            <w:tcW w:w="709"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6</w:t>
            </w:r>
          </w:p>
        </w:tc>
        <w:tc>
          <w:tcPr>
            <w:tcW w:w="561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良好 6 分：能够及时公正地按照监理合同及监理规范的要求执行工程变更、工程延期、费用索赔、分包转让、争端仲裁和确认承包人违约等有关合同管理的工作内容；</w:t>
            </w:r>
            <w:r>
              <w:rPr>
                <w:rFonts w:hint="eastAsia" w:ascii="宋体" w:hAnsi="宋体" w:cs="宋体"/>
                <w:kern w:val="0"/>
                <w:sz w:val="18"/>
                <w:szCs w:val="18"/>
              </w:rPr>
              <w:br w:type="textWrapping"/>
            </w:r>
            <w:r>
              <w:rPr>
                <w:rFonts w:hint="eastAsia" w:ascii="宋体" w:hAnsi="宋体" w:cs="宋体"/>
                <w:kern w:val="0"/>
                <w:sz w:val="18"/>
                <w:szCs w:val="18"/>
              </w:rPr>
              <w:t xml:space="preserve">合格 3分：基本能够按照监理合同及监理规范的要求执行工程变更、工程延期、费用索赔、分包转让、争端仲裁和确认承包人违约等有关合同管理的工作内容；                        </w:t>
            </w:r>
            <w:r>
              <w:rPr>
                <w:rFonts w:hint="eastAsia" w:ascii="宋体" w:hAnsi="宋体" w:cs="宋体"/>
                <w:kern w:val="0"/>
                <w:sz w:val="18"/>
                <w:szCs w:val="18"/>
              </w:rPr>
              <w:br w:type="textWrapping"/>
            </w:r>
            <w:r>
              <w:rPr>
                <w:rFonts w:hint="eastAsia" w:ascii="宋体" w:hAnsi="宋体" w:cs="宋体"/>
                <w:kern w:val="0"/>
                <w:sz w:val="18"/>
                <w:szCs w:val="18"/>
              </w:rPr>
              <w:t>不合格 0 分：不能够按照监理合同及监理规范的要求执行工程变更、工程延期、费用索赔、分包转让、争端仲裁和确认承包人违约等有关合同管理的工作内容。</w:t>
            </w:r>
          </w:p>
        </w:tc>
        <w:tc>
          <w:tcPr>
            <w:tcW w:w="70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1350" w:hRule="atLeast"/>
          <w:jc w:val="center"/>
        </w:trPr>
        <w:tc>
          <w:tcPr>
            <w:tcW w:w="437" w:type="dxa"/>
            <w:tcBorders>
              <w:top w:val="nil"/>
              <w:left w:val="single" w:color="auto" w:sz="8" w:space="0"/>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10</w:t>
            </w:r>
          </w:p>
        </w:tc>
        <w:tc>
          <w:tcPr>
            <w:tcW w:w="1180"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资料管理</w:t>
            </w:r>
          </w:p>
        </w:tc>
        <w:tc>
          <w:tcPr>
            <w:tcW w:w="709"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6</w:t>
            </w:r>
          </w:p>
        </w:tc>
        <w:tc>
          <w:tcPr>
            <w:tcW w:w="561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良好6分：能够认真及时地按照监理合同要求做好监理记录、监理月报和各种档案资料（包括行政档案、财务支付档案和技术档案）的管理工作；</w:t>
            </w:r>
            <w:r>
              <w:rPr>
                <w:rFonts w:hint="eastAsia" w:ascii="宋体" w:hAnsi="宋体" w:cs="宋体"/>
                <w:kern w:val="0"/>
                <w:sz w:val="18"/>
                <w:szCs w:val="18"/>
              </w:rPr>
              <w:br w:type="textWrapping"/>
            </w:r>
            <w:r>
              <w:rPr>
                <w:rFonts w:hint="eastAsia" w:ascii="宋体" w:hAnsi="宋体" w:cs="宋体"/>
                <w:kern w:val="0"/>
                <w:sz w:val="18"/>
                <w:szCs w:val="18"/>
              </w:rPr>
              <w:t xml:space="preserve">合格 3分：基本能够按照监理合同要求做好监理记录、监理月报和各种档案资料（包括行政档案、财务支付档案和技术档案）的管理工作；                        </w:t>
            </w:r>
            <w:r>
              <w:rPr>
                <w:rFonts w:hint="eastAsia" w:ascii="宋体" w:hAnsi="宋体" w:cs="宋体"/>
                <w:kern w:val="0"/>
                <w:sz w:val="18"/>
                <w:szCs w:val="18"/>
              </w:rPr>
              <w:br w:type="textWrapping"/>
            </w:r>
            <w:r>
              <w:rPr>
                <w:rFonts w:hint="eastAsia" w:ascii="宋体" w:hAnsi="宋体" w:cs="宋体"/>
                <w:kern w:val="0"/>
                <w:sz w:val="18"/>
                <w:szCs w:val="18"/>
              </w:rPr>
              <w:t>不合格 0 分：不能够按照监理合同要求做好监理记录、监理月报和各种档案资料（包括行政档案、财务支付档案和技术档案）的管理工作。</w:t>
            </w:r>
          </w:p>
        </w:tc>
        <w:tc>
          <w:tcPr>
            <w:tcW w:w="70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1350" w:hRule="atLeast"/>
          <w:jc w:val="center"/>
        </w:trPr>
        <w:tc>
          <w:tcPr>
            <w:tcW w:w="437" w:type="dxa"/>
            <w:tcBorders>
              <w:top w:val="nil"/>
              <w:left w:val="single" w:color="auto" w:sz="8" w:space="0"/>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11</w:t>
            </w:r>
          </w:p>
        </w:tc>
        <w:tc>
          <w:tcPr>
            <w:tcW w:w="118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b/>
                <w:kern w:val="0"/>
                <w:sz w:val="18"/>
                <w:szCs w:val="18"/>
              </w:rPr>
            </w:pPr>
            <w:r>
              <w:rPr>
                <w:rFonts w:hint="eastAsia" w:ascii="宋体" w:hAnsi="宋体" w:cs="宋体"/>
                <w:b/>
                <w:kern w:val="0"/>
                <w:sz w:val="18"/>
                <w:szCs w:val="18"/>
              </w:rPr>
              <w:t>工程变更、预结算审核</w:t>
            </w:r>
          </w:p>
        </w:tc>
        <w:tc>
          <w:tcPr>
            <w:tcW w:w="709"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6</w:t>
            </w:r>
          </w:p>
        </w:tc>
        <w:tc>
          <w:tcPr>
            <w:tcW w:w="561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良好 6 分：能够准确详细地按照监理合同要求审核工程变更、预算、结算，且预算、结算结果与审定价误差率小于5%（不含5%）                                                                                                                                                                   合格3 分：基本能够按照监理合同要求审核工程变更、预算、结算，且预算、结算结果与审定价误差率在 5%--10%之间（不含10%）；                                                                                    不合格 0 分：不能够按照监理合同要求审核工程变更、预算、结算，且预算、结算结果与审定价误差率在10%以上（含10%）。</w:t>
            </w:r>
          </w:p>
        </w:tc>
        <w:tc>
          <w:tcPr>
            <w:tcW w:w="70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01" w:hRule="atLeast"/>
          <w:jc w:val="center"/>
        </w:trPr>
        <w:tc>
          <w:tcPr>
            <w:tcW w:w="437" w:type="dxa"/>
            <w:tcBorders>
              <w:top w:val="nil"/>
              <w:left w:val="single" w:color="auto" w:sz="8" w:space="0"/>
              <w:bottom w:val="single" w:color="auto" w:sz="4" w:space="0"/>
              <w:right w:val="single" w:color="auto" w:sz="4" w:space="0"/>
            </w:tcBorders>
            <w:vAlign w:val="center"/>
          </w:tcPr>
          <w:p>
            <w:pPr>
              <w:widowControl/>
              <w:tabs>
                <w:tab w:val="left" w:pos="1620"/>
              </w:tabs>
              <w:snapToGrid w:val="0"/>
              <w:jc w:val="center"/>
              <w:rPr>
                <w:rFonts w:ascii="黑体" w:hAnsi="宋体" w:eastAsia="黑体" w:cs="宋体"/>
                <w:b/>
                <w:bCs/>
                <w:kern w:val="0"/>
                <w:sz w:val="22"/>
              </w:rPr>
            </w:pPr>
            <w:r>
              <w:rPr>
                <w:rFonts w:hint="eastAsia" w:ascii="黑体" w:hAnsi="宋体" w:eastAsia="黑体" w:cs="宋体"/>
                <w:b/>
                <w:bCs/>
                <w:kern w:val="0"/>
                <w:sz w:val="22"/>
              </w:rPr>
              <w:t>三</w:t>
            </w:r>
          </w:p>
        </w:tc>
        <w:tc>
          <w:tcPr>
            <w:tcW w:w="1180" w:type="dxa"/>
            <w:tcBorders>
              <w:top w:val="nil"/>
              <w:left w:val="nil"/>
              <w:bottom w:val="single" w:color="auto" w:sz="4" w:space="0"/>
              <w:right w:val="single" w:color="auto" w:sz="4" w:space="0"/>
            </w:tcBorders>
            <w:vAlign w:val="center"/>
          </w:tcPr>
          <w:p>
            <w:pPr>
              <w:widowControl/>
              <w:tabs>
                <w:tab w:val="left" w:pos="1620"/>
              </w:tabs>
              <w:snapToGrid w:val="0"/>
              <w:jc w:val="center"/>
              <w:rPr>
                <w:rFonts w:ascii="黑体" w:hAnsi="宋体" w:eastAsia="黑体" w:cs="宋体"/>
                <w:b/>
                <w:bCs/>
                <w:kern w:val="0"/>
                <w:sz w:val="22"/>
              </w:rPr>
            </w:pPr>
            <w:r>
              <w:rPr>
                <w:rFonts w:hint="eastAsia" w:ascii="黑体" w:hAnsi="宋体" w:eastAsia="黑体" w:cs="宋体"/>
                <w:b/>
                <w:bCs/>
                <w:kern w:val="0"/>
                <w:sz w:val="22"/>
              </w:rPr>
              <w:t>进度控制</w:t>
            </w:r>
          </w:p>
        </w:tc>
        <w:tc>
          <w:tcPr>
            <w:tcW w:w="709" w:type="dxa"/>
            <w:tcBorders>
              <w:top w:val="nil"/>
              <w:left w:val="nil"/>
              <w:bottom w:val="single" w:color="auto" w:sz="4" w:space="0"/>
              <w:right w:val="single" w:color="auto" w:sz="4" w:space="0"/>
            </w:tcBorders>
            <w:vAlign w:val="center"/>
          </w:tcPr>
          <w:p>
            <w:pPr>
              <w:widowControl/>
              <w:tabs>
                <w:tab w:val="left" w:pos="1620"/>
              </w:tabs>
              <w:snapToGrid w:val="0"/>
              <w:jc w:val="center"/>
              <w:rPr>
                <w:rFonts w:ascii="黑体" w:hAnsi="宋体" w:eastAsia="黑体" w:cs="宋体"/>
                <w:bCs/>
                <w:kern w:val="0"/>
                <w:sz w:val="22"/>
              </w:rPr>
            </w:pPr>
            <w:r>
              <w:rPr>
                <w:rFonts w:hint="eastAsia" w:ascii="黑体" w:hAnsi="宋体" w:eastAsia="黑体" w:cs="宋体"/>
                <w:bCs/>
                <w:kern w:val="0"/>
                <w:sz w:val="22"/>
              </w:rPr>
              <w:t>10</w:t>
            </w:r>
          </w:p>
        </w:tc>
        <w:tc>
          <w:tcPr>
            <w:tcW w:w="5616" w:type="dxa"/>
            <w:tcBorders>
              <w:top w:val="nil"/>
              <w:left w:val="nil"/>
              <w:bottom w:val="single" w:color="auto" w:sz="4" w:space="0"/>
              <w:right w:val="single" w:color="auto" w:sz="4" w:space="0"/>
            </w:tcBorders>
            <w:vAlign w:val="center"/>
          </w:tcPr>
          <w:p>
            <w:pPr>
              <w:widowControl/>
              <w:tabs>
                <w:tab w:val="left" w:pos="1620"/>
              </w:tabs>
              <w:snapToGrid w:val="0"/>
              <w:jc w:val="left"/>
              <w:rPr>
                <w:rFonts w:ascii="黑体" w:hAnsi="宋体" w:eastAsia="黑体" w:cs="宋体"/>
                <w:bCs/>
                <w:kern w:val="0"/>
                <w:sz w:val="24"/>
              </w:rPr>
            </w:pPr>
            <w:r>
              <w:rPr>
                <w:rFonts w:hint="eastAsia" w:ascii="黑体" w:hAnsi="宋体" w:eastAsia="黑体" w:cs="宋体"/>
                <w:bCs/>
                <w:kern w:val="0"/>
                <w:sz w:val="24"/>
              </w:rPr>
              <w:t>　</w:t>
            </w:r>
          </w:p>
        </w:tc>
        <w:tc>
          <w:tcPr>
            <w:tcW w:w="706" w:type="dxa"/>
            <w:tcBorders>
              <w:top w:val="nil"/>
              <w:left w:val="nil"/>
              <w:bottom w:val="single" w:color="auto" w:sz="4" w:space="0"/>
              <w:right w:val="single" w:color="auto" w:sz="4" w:space="0"/>
            </w:tcBorders>
            <w:vAlign w:val="center"/>
          </w:tcPr>
          <w:p>
            <w:pPr>
              <w:widowControl/>
              <w:tabs>
                <w:tab w:val="left" w:pos="1620"/>
              </w:tabs>
              <w:snapToGrid w:val="0"/>
              <w:jc w:val="left"/>
              <w:rPr>
                <w:rFonts w:ascii="黑体" w:hAnsi="宋体" w:eastAsia="黑体" w:cs="宋体"/>
                <w:bCs/>
                <w:kern w:val="0"/>
                <w:sz w:val="24"/>
              </w:rPr>
            </w:pPr>
          </w:p>
        </w:tc>
        <w:tc>
          <w:tcPr>
            <w:tcW w:w="740" w:type="dxa"/>
            <w:tcBorders>
              <w:top w:val="nil"/>
              <w:left w:val="nil"/>
              <w:bottom w:val="single" w:color="auto" w:sz="4" w:space="0"/>
              <w:right w:val="single" w:color="auto" w:sz="4" w:space="0"/>
            </w:tcBorders>
            <w:vAlign w:val="center"/>
          </w:tcPr>
          <w:p>
            <w:pPr>
              <w:widowControl/>
              <w:tabs>
                <w:tab w:val="left" w:pos="1620"/>
              </w:tabs>
              <w:snapToGrid w:val="0"/>
              <w:jc w:val="left"/>
              <w:rPr>
                <w:rFonts w:ascii="黑体" w:hAnsi="宋体" w:eastAsia="黑体" w:cs="宋体"/>
                <w:bCs/>
                <w:kern w:val="0"/>
                <w:sz w:val="24"/>
              </w:rPr>
            </w:pPr>
            <w:r>
              <w:rPr>
                <w:rFonts w:hint="eastAsia" w:ascii="黑体" w:hAnsi="宋体" w:eastAsia="黑体" w:cs="宋体"/>
                <w:bCs/>
                <w:kern w:val="0"/>
                <w:sz w:val="24"/>
              </w:rPr>
              <w:t>　</w:t>
            </w:r>
          </w:p>
        </w:tc>
      </w:tr>
      <w:tr>
        <w:tblPrEx>
          <w:tblCellMar>
            <w:top w:w="0" w:type="dxa"/>
            <w:left w:w="108" w:type="dxa"/>
            <w:bottom w:w="0" w:type="dxa"/>
            <w:right w:w="108" w:type="dxa"/>
          </w:tblCellMar>
        </w:tblPrEx>
        <w:trPr>
          <w:trHeight w:val="675" w:hRule="atLeast"/>
          <w:jc w:val="center"/>
        </w:trPr>
        <w:tc>
          <w:tcPr>
            <w:tcW w:w="437" w:type="dxa"/>
            <w:tcBorders>
              <w:top w:val="nil"/>
              <w:left w:val="single" w:color="auto" w:sz="8" w:space="0"/>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12</w:t>
            </w:r>
          </w:p>
        </w:tc>
        <w:tc>
          <w:tcPr>
            <w:tcW w:w="118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b/>
                <w:kern w:val="0"/>
                <w:sz w:val="18"/>
                <w:szCs w:val="18"/>
              </w:rPr>
            </w:pPr>
            <w:r>
              <w:rPr>
                <w:rFonts w:hint="eastAsia" w:ascii="宋体" w:hAnsi="宋体" w:cs="宋体"/>
                <w:b/>
                <w:kern w:val="0"/>
                <w:sz w:val="18"/>
                <w:szCs w:val="18"/>
              </w:rPr>
              <w:t>进度控制</w:t>
            </w:r>
          </w:p>
        </w:tc>
        <w:tc>
          <w:tcPr>
            <w:tcW w:w="709"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10</w:t>
            </w:r>
          </w:p>
        </w:tc>
        <w:tc>
          <w:tcPr>
            <w:tcW w:w="561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良好 10 分：能够认真主动地控制项目的各阶段工期使其未超过施工合同工期；</w:t>
            </w:r>
            <w:r>
              <w:rPr>
                <w:rFonts w:hint="eastAsia" w:ascii="宋体" w:hAnsi="宋体" w:cs="宋体"/>
                <w:kern w:val="0"/>
                <w:sz w:val="18"/>
                <w:szCs w:val="18"/>
              </w:rPr>
              <w:br w:type="textWrapping"/>
            </w:r>
            <w:r>
              <w:rPr>
                <w:rFonts w:hint="eastAsia" w:ascii="宋体" w:hAnsi="宋体" w:cs="宋体"/>
                <w:kern w:val="0"/>
                <w:sz w:val="18"/>
                <w:szCs w:val="18"/>
              </w:rPr>
              <w:t xml:space="preserve">合格 6 分：基本能够控制项目各阶段工期使其未超过施工合同工期；                        </w:t>
            </w:r>
            <w:r>
              <w:rPr>
                <w:rFonts w:hint="eastAsia" w:ascii="宋体" w:hAnsi="宋体" w:cs="宋体"/>
                <w:kern w:val="0"/>
                <w:sz w:val="18"/>
                <w:szCs w:val="18"/>
              </w:rPr>
              <w:br w:type="textWrapping"/>
            </w:r>
            <w:r>
              <w:rPr>
                <w:rFonts w:hint="eastAsia" w:ascii="宋体" w:hAnsi="宋体" w:cs="宋体"/>
                <w:kern w:val="0"/>
                <w:sz w:val="18"/>
                <w:szCs w:val="18"/>
              </w:rPr>
              <w:t>不合格 0 分：不能够控制项目各阶段工期或因监理工程师的责任造成施工合同工期延后。</w:t>
            </w:r>
          </w:p>
        </w:tc>
        <w:tc>
          <w:tcPr>
            <w:tcW w:w="70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540" w:hRule="atLeast"/>
          <w:jc w:val="center"/>
        </w:trPr>
        <w:tc>
          <w:tcPr>
            <w:tcW w:w="437" w:type="dxa"/>
            <w:tcBorders>
              <w:top w:val="nil"/>
              <w:left w:val="single" w:color="auto" w:sz="8" w:space="0"/>
              <w:bottom w:val="single" w:color="auto" w:sz="4" w:space="0"/>
              <w:right w:val="single" w:color="auto" w:sz="4" w:space="0"/>
            </w:tcBorders>
            <w:vAlign w:val="center"/>
          </w:tcPr>
          <w:p>
            <w:pPr>
              <w:widowControl/>
              <w:tabs>
                <w:tab w:val="left" w:pos="1620"/>
              </w:tabs>
              <w:snapToGrid w:val="0"/>
              <w:jc w:val="center"/>
              <w:rPr>
                <w:rFonts w:ascii="黑体" w:hAnsi="宋体" w:eastAsia="黑体" w:cs="宋体"/>
                <w:b/>
                <w:bCs/>
                <w:kern w:val="0"/>
                <w:sz w:val="22"/>
              </w:rPr>
            </w:pPr>
            <w:r>
              <w:rPr>
                <w:rFonts w:hint="eastAsia" w:ascii="黑体" w:hAnsi="宋体" w:eastAsia="黑体" w:cs="宋体"/>
                <w:b/>
                <w:bCs/>
                <w:kern w:val="0"/>
                <w:sz w:val="22"/>
              </w:rPr>
              <w:t>四</w:t>
            </w:r>
          </w:p>
        </w:tc>
        <w:tc>
          <w:tcPr>
            <w:tcW w:w="1180" w:type="dxa"/>
            <w:tcBorders>
              <w:top w:val="nil"/>
              <w:left w:val="nil"/>
              <w:bottom w:val="single" w:color="auto" w:sz="4" w:space="0"/>
              <w:right w:val="single" w:color="auto" w:sz="4" w:space="0"/>
            </w:tcBorders>
            <w:vAlign w:val="center"/>
          </w:tcPr>
          <w:p>
            <w:pPr>
              <w:widowControl/>
              <w:tabs>
                <w:tab w:val="left" w:pos="1620"/>
              </w:tabs>
              <w:snapToGrid w:val="0"/>
              <w:jc w:val="center"/>
              <w:rPr>
                <w:rFonts w:ascii="黑体" w:hAnsi="宋体" w:eastAsia="黑体" w:cs="宋体"/>
                <w:b/>
                <w:bCs/>
                <w:kern w:val="0"/>
                <w:sz w:val="22"/>
              </w:rPr>
            </w:pPr>
            <w:r>
              <w:rPr>
                <w:rFonts w:hint="eastAsia" w:ascii="黑体" w:hAnsi="宋体" w:eastAsia="黑体" w:cs="宋体"/>
                <w:b/>
                <w:bCs/>
                <w:kern w:val="0"/>
                <w:sz w:val="22"/>
              </w:rPr>
              <w:t>协调配合</w:t>
            </w:r>
          </w:p>
          <w:p>
            <w:pPr>
              <w:widowControl/>
              <w:tabs>
                <w:tab w:val="left" w:pos="1620"/>
              </w:tabs>
              <w:snapToGrid w:val="0"/>
              <w:jc w:val="center"/>
              <w:rPr>
                <w:rFonts w:ascii="黑体" w:hAnsi="宋体" w:eastAsia="黑体" w:cs="宋体"/>
                <w:b/>
                <w:bCs/>
                <w:kern w:val="0"/>
                <w:sz w:val="22"/>
              </w:rPr>
            </w:pPr>
            <w:r>
              <w:rPr>
                <w:rFonts w:hint="eastAsia" w:ascii="黑体" w:hAnsi="宋体" w:eastAsia="黑体" w:cs="宋体"/>
                <w:b/>
                <w:bCs/>
                <w:kern w:val="0"/>
                <w:sz w:val="22"/>
              </w:rPr>
              <w:t>与服务</w:t>
            </w:r>
          </w:p>
        </w:tc>
        <w:tc>
          <w:tcPr>
            <w:tcW w:w="709" w:type="dxa"/>
            <w:tcBorders>
              <w:top w:val="nil"/>
              <w:left w:val="nil"/>
              <w:bottom w:val="single" w:color="auto" w:sz="4" w:space="0"/>
              <w:right w:val="single" w:color="auto" w:sz="4" w:space="0"/>
            </w:tcBorders>
            <w:vAlign w:val="center"/>
          </w:tcPr>
          <w:p>
            <w:pPr>
              <w:widowControl/>
              <w:tabs>
                <w:tab w:val="left" w:pos="1620"/>
              </w:tabs>
              <w:snapToGrid w:val="0"/>
              <w:jc w:val="center"/>
              <w:rPr>
                <w:rFonts w:ascii="黑体" w:hAnsi="宋体" w:eastAsia="黑体" w:cs="宋体"/>
                <w:bCs/>
                <w:kern w:val="0"/>
                <w:sz w:val="22"/>
              </w:rPr>
            </w:pPr>
            <w:r>
              <w:rPr>
                <w:rFonts w:hint="eastAsia" w:ascii="黑体" w:hAnsi="宋体" w:eastAsia="黑体" w:cs="宋体"/>
                <w:bCs/>
                <w:kern w:val="0"/>
                <w:sz w:val="22"/>
              </w:rPr>
              <w:t>18</w:t>
            </w:r>
          </w:p>
        </w:tc>
        <w:tc>
          <w:tcPr>
            <w:tcW w:w="5616" w:type="dxa"/>
            <w:tcBorders>
              <w:top w:val="nil"/>
              <w:left w:val="nil"/>
              <w:bottom w:val="single" w:color="auto" w:sz="4" w:space="0"/>
              <w:right w:val="single" w:color="auto" w:sz="4" w:space="0"/>
            </w:tcBorders>
            <w:vAlign w:val="center"/>
          </w:tcPr>
          <w:p>
            <w:pPr>
              <w:widowControl/>
              <w:tabs>
                <w:tab w:val="left" w:pos="1620"/>
              </w:tabs>
              <w:snapToGrid w:val="0"/>
              <w:jc w:val="left"/>
              <w:rPr>
                <w:rFonts w:ascii="黑体" w:hAnsi="宋体" w:eastAsia="黑体" w:cs="宋体"/>
                <w:bCs/>
                <w:kern w:val="0"/>
                <w:sz w:val="24"/>
              </w:rPr>
            </w:pPr>
            <w:r>
              <w:rPr>
                <w:rFonts w:hint="eastAsia" w:ascii="黑体" w:hAnsi="宋体" w:eastAsia="黑体" w:cs="宋体"/>
                <w:bCs/>
                <w:kern w:val="0"/>
                <w:sz w:val="24"/>
              </w:rPr>
              <w:t>　</w:t>
            </w:r>
          </w:p>
        </w:tc>
        <w:tc>
          <w:tcPr>
            <w:tcW w:w="706" w:type="dxa"/>
            <w:tcBorders>
              <w:top w:val="nil"/>
              <w:left w:val="nil"/>
              <w:bottom w:val="single" w:color="auto" w:sz="4" w:space="0"/>
              <w:right w:val="single" w:color="auto" w:sz="4" w:space="0"/>
            </w:tcBorders>
            <w:vAlign w:val="center"/>
          </w:tcPr>
          <w:p>
            <w:pPr>
              <w:widowControl/>
              <w:tabs>
                <w:tab w:val="left" w:pos="1620"/>
              </w:tabs>
              <w:snapToGrid w:val="0"/>
              <w:jc w:val="left"/>
              <w:rPr>
                <w:rFonts w:ascii="黑体" w:hAnsi="宋体" w:eastAsia="黑体" w:cs="宋体"/>
                <w:bCs/>
                <w:kern w:val="0"/>
                <w:sz w:val="24"/>
              </w:rPr>
            </w:pPr>
          </w:p>
        </w:tc>
        <w:tc>
          <w:tcPr>
            <w:tcW w:w="740" w:type="dxa"/>
            <w:tcBorders>
              <w:top w:val="nil"/>
              <w:left w:val="nil"/>
              <w:bottom w:val="single" w:color="auto" w:sz="4" w:space="0"/>
              <w:right w:val="single" w:color="auto" w:sz="4" w:space="0"/>
            </w:tcBorders>
            <w:vAlign w:val="center"/>
          </w:tcPr>
          <w:p>
            <w:pPr>
              <w:widowControl/>
              <w:tabs>
                <w:tab w:val="left" w:pos="1620"/>
              </w:tabs>
              <w:snapToGrid w:val="0"/>
              <w:jc w:val="left"/>
              <w:rPr>
                <w:rFonts w:ascii="黑体" w:hAnsi="宋体" w:eastAsia="黑体" w:cs="宋体"/>
                <w:bCs/>
                <w:kern w:val="0"/>
                <w:sz w:val="24"/>
              </w:rPr>
            </w:pPr>
            <w:r>
              <w:rPr>
                <w:rFonts w:hint="eastAsia" w:ascii="黑体" w:hAnsi="宋体" w:eastAsia="黑体" w:cs="宋体"/>
                <w:bCs/>
                <w:kern w:val="0"/>
                <w:sz w:val="24"/>
              </w:rPr>
              <w:t>　</w:t>
            </w:r>
          </w:p>
        </w:tc>
      </w:tr>
      <w:tr>
        <w:tblPrEx>
          <w:tblCellMar>
            <w:top w:w="0" w:type="dxa"/>
            <w:left w:w="108" w:type="dxa"/>
            <w:bottom w:w="0" w:type="dxa"/>
            <w:right w:w="108" w:type="dxa"/>
          </w:tblCellMar>
        </w:tblPrEx>
        <w:trPr>
          <w:trHeight w:val="1350" w:hRule="atLeast"/>
          <w:jc w:val="center"/>
        </w:trPr>
        <w:tc>
          <w:tcPr>
            <w:tcW w:w="437" w:type="dxa"/>
            <w:tcBorders>
              <w:top w:val="nil"/>
              <w:left w:val="single" w:color="auto" w:sz="8" w:space="0"/>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13</w:t>
            </w:r>
          </w:p>
        </w:tc>
        <w:tc>
          <w:tcPr>
            <w:tcW w:w="118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b/>
                <w:kern w:val="0"/>
                <w:sz w:val="18"/>
                <w:szCs w:val="18"/>
              </w:rPr>
            </w:pPr>
            <w:r>
              <w:rPr>
                <w:rFonts w:hint="eastAsia" w:ascii="宋体" w:hAnsi="宋体" w:cs="宋体"/>
                <w:b/>
                <w:kern w:val="0"/>
                <w:sz w:val="18"/>
                <w:szCs w:val="18"/>
              </w:rPr>
              <w:t>配合情况</w:t>
            </w:r>
          </w:p>
        </w:tc>
        <w:tc>
          <w:tcPr>
            <w:tcW w:w="709"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8</w:t>
            </w:r>
          </w:p>
        </w:tc>
        <w:tc>
          <w:tcPr>
            <w:tcW w:w="561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xml:space="preserve">良好 8分：能够依法、认真主动地配合建设单位及其它相关部门的工作和依法推动施工单位的工作；                                                                                                                     </w:t>
            </w:r>
            <w:r>
              <w:rPr>
                <w:rFonts w:hint="eastAsia" w:ascii="宋体" w:hAnsi="宋体" w:cs="宋体"/>
                <w:kern w:val="0"/>
                <w:sz w:val="18"/>
                <w:szCs w:val="18"/>
              </w:rPr>
              <w:br w:type="textWrapping"/>
            </w:r>
            <w:r>
              <w:rPr>
                <w:rFonts w:hint="eastAsia" w:ascii="宋体" w:hAnsi="宋体" w:cs="宋体"/>
                <w:kern w:val="0"/>
                <w:sz w:val="18"/>
                <w:szCs w:val="18"/>
              </w:rPr>
              <w:t xml:space="preserve">合格5分：基本能够依法、认真主动地配合建设单位及其它相关部门的工作和依法推动施工单位的工作；                                                                                                                </w:t>
            </w:r>
            <w:r>
              <w:rPr>
                <w:rFonts w:hint="eastAsia" w:ascii="宋体" w:hAnsi="宋体" w:cs="宋体"/>
                <w:kern w:val="0"/>
                <w:sz w:val="18"/>
                <w:szCs w:val="18"/>
              </w:rPr>
              <w:br w:type="textWrapping"/>
            </w:r>
            <w:r>
              <w:rPr>
                <w:rFonts w:hint="eastAsia" w:ascii="宋体" w:hAnsi="宋体" w:cs="宋体"/>
                <w:kern w:val="0"/>
                <w:sz w:val="18"/>
                <w:szCs w:val="18"/>
              </w:rPr>
              <w:t xml:space="preserve">不合格 0 分：不能够依法、认真主动地配合建设单位及其它相关部门的工作和依法推动施工单位的工作；                                           </w:t>
            </w:r>
          </w:p>
        </w:tc>
        <w:tc>
          <w:tcPr>
            <w:tcW w:w="70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75" w:hRule="atLeast"/>
          <w:jc w:val="center"/>
        </w:trPr>
        <w:tc>
          <w:tcPr>
            <w:tcW w:w="437" w:type="dxa"/>
            <w:tcBorders>
              <w:top w:val="nil"/>
              <w:left w:val="single" w:color="auto" w:sz="8" w:space="0"/>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14</w:t>
            </w:r>
          </w:p>
        </w:tc>
        <w:tc>
          <w:tcPr>
            <w:tcW w:w="118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b/>
                <w:kern w:val="0"/>
                <w:sz w:val="18"/>
                <w:szCs w:val="18"/>
              </w:rPr>
            </w:pPr>
            <w:r>
              <w:rPr>
                <w:rFonts w:hint="eastAsia" w:ascii="宋体" w:hAnsi="宋体" w:cs="宋体"/>
                <w:b/>
                <w:kern w:val="0"/>
                <w:sz w:val="18"/>
                <w:szCs w:val="18"/>
              </w:rPr>
              <w:t>检验设备的配置</w:t>
            </w:r>
          </w:p>
        </w:tc>
        <w:tc>
          <w:tcPr>
            <w:tcW w:w="709"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6</w:t>
            </w:r>
          </w:p>
        </w:tc>
        <w:tc>
          <w:tcPr>
            <w:tcW w:w="561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xml:space="preserve">良好 6 分：检验设备的配置按招标文件及监理合同满足现场施工要求；                                                                                                                                                                                            </w:t>
            </w:r>
            <w:r>
              <w:rPr>
                <w:rFonts w:hint="eastAsia" w:ascii="宋体" w:hAnsi="宋体" w:cs="宋体"/>
                <w:kern w:val="0"/>
                <w:sz w:val="18"/>
                <w:szCs w:val="18"/>
              </w:rPr>
              <w:br w:type="textWrapping"/>
            </w:r>
            <w:r>
              <w:rPr>
                <w:rFonts w:hint="eastAsia" w:ascii="宋体" w:hAnsi="宋体" w:cs="宋体"/>
                <w:kern w:val="0"/>
                <w:sz w:val="18"/>
                <w:szCs w:val="18"/>
              </w:rPr>
              <w:t>合格3 分：检验设备的配置按招标文件及监理合同基本满足现场施工要求；                                   不合格 0 分：检验设备的配置按招标文件及监理合同不满足现场施工要求；</w:t>
            </w:r>
          </w:p>
        </w:tc>
        <w:tc>
          <w:tcPr>
            <w:tcW w:w="70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900" w:hRule="atLeast"/>
          <w:jc w:val="center"/>
        </w:trPr>
        <w:tc>
          <w:tcPr>
            <w:tcW w:w="437" w:type="dxa"/>
            <w:tcBorders>
              <w:top w:val="nil"/>
              <w:left w:val="single" w:color="auto" w:sz="8" w:space="0"/>
              <w:bottom w:val="single" w:color="auto" w:sz="4" w:space="0"/>
              <w:right w:val="single" w:color="auto" w:sz="4" w:space="0"/>
            </w:tcBorders>
            <w:vAlign w:val="center"/>
          </w:tcPr>
          <w:p>
            <w:pPr>
              <w:widowControl/>
              <w:tabs>
                <w:tab w:val="left" w:pos="1620"/>
              </w:tabs>
              <w:snapToGrid w:val="0"/>
              <w:jc w:val="center"/>
              <w:rPr>
                <w:rFonts w:ascii="宋体" w:hAnsi="宋体" w:cs="宋体"/>
                <w:b/>
                <w:kern w:val="0"/>
                <w:sz w:val="18"/>
                <w:szCs w:val="18"/>
              </w:rPr>
            </w:pPr>
            <w:r>
              <w:rPr>
                <w:rFonts w:hint="eastAsia" w:ascii="宋体" w:hAnsi="宋体" w:cs="宋体"/>
                <w:b/>
                <w:kern w:val="0"/>
                <w:sz w:val="18"/>
                <w:szCs w:val="18"/>
              </w:rPr>
              <w:t>15</w:t>
            </w:r>
          </w:p>
        </w:tc>
        <w:tc>
          <w:tcPr>
            <w:tcW w:w="118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b/>
                <w:kern w:val="0"/>
                <w:sz w:val="18"/>
                <w:szCs w:val="18"/>
              </w:rPr>
            </w:pPr>
            <w:r>
              <w:rPr>
                <w:rFonts w:hint="eastAsia" w:ascii="宋体" w:hAnsi="宋体" w:cs="宋体"/>
                <w:b/>
                <w:kern w:val="0"/>
                <w:sz w:val="18"/>
                <w:szCs w:val="18"/>
              </w:rPr>
              <w:t>诚信情况</w:t>
            </w:r>
          </w:p>
        </w:tc>
        <w:tc>
          <w:tcPr>
            <w:tcW w:w="709"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4</w:t>
            </w:r>
          </w:p>
        </w:tc>
        <w:tc>
          <w:tcPr>
            <w:tcW w:w="561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xml:space="preserve">良好4 分：在没有得到相应许可的情况下，不对外公开涉及任何机密的资料；无串通施工、咨询等单位弄虚作假的现象；                                                                                     </w:t>
            </w:r>
          </w:p>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合格2分：在没有得到相应许可的情况下，基本做到不对外公开涉及任何机密的资料；无串通施工、咨询等单位弄虚作假的现象；</w:t>
            </w:r>
          </w:p>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不合格 0 分：在没有得到相应许可的情况下，对外公开涉及任何机密的资料；有串通施工、咨询等单位弄虚作假的现象。</w:t>
            </w:r>
          </w:p>
        </w:tc>
        <w:tc>
          <w:tcPr>
            <w:tcW w:w="70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40" w:hRule="atLeast"/>
          <w:jc w:val="center"/>
        </w:trPr>
        <w:tc>
          <w:tcPr>
            <w:tcW w:w="437" w:type="dxa"/>
            <w:tcBorders>
              <w:top w:val="nil"/>
              <w:left w:val="single" w:color="auto" w:sz="8" w:space="0"/>
              <w:bottom w:val="single" w:color="auto" w:sz="8" w:space="0"/>
              <w:right w:val="single" w:color="auto" w:sz="4" w:space="0"/>
            </w:tcBorders>
            <w:vAlign w:val="center"/>
          </w:tcPr>
          <w:p>
            <w:pPr>
              <w:widowControl/>
              <w:tabs>
                <w:tab w:val="left" w:pos="1620"/>
              </w:tabs>
              <w:snapToGrid w:val="0"/>
              <w:jc w:val="center"/>
              <w:rPr>
                <w:rFonts w:ascii="黑体" w:hAnsi="宋体" w:eastAsia="黑体" w:cs="宋体"/>
                <w:b/>
                <w:bCs/>
                <w:kern w:val="0"/>
                <w:sz w:val="22"/>
              </w:rPr>
            </w:pPr>
            <w:r>
              <w:rPr>
                <w:rFonts w:hint="eastAsia" w:ascii="黑体" w:hAnsi="宋体" w:eastAsia="黑体" w:cs="宋体"/>
                <w:b/>
                <w:bCs/>
                <w:kern w:val="0"/>
                <w:sz w:val="22"/>
              </w:rPr>
              <w:t>五</w:t>
            </w:r>
          </w:p>
        </w:tc>
        <w:tc>
          <w:tcPr>
            <w:tcW w:w="1180" w:type="dxa"/>
            <w:tcBorders>
              <w:top w:val="nil"/>
              <w:left w:val="nil"/>
              <w:bottom w:val="single" w:color="auto" w:sz="8" w:space="0"/>
              <w:right w:val="single" w:color="auto" w:sz="4" w:space="0"/>
            </w:tcBorders>
            <w:vAlign w:val="center"/>
          </w:tcPr>
          <w:p>
            <w:pPr>
              <w:widowControl/>
              <w:tabs>
                <w:tab w:val="left" w:pos="1620"/>
              </w:tabs>
              <w:snapToGrid w:val="0"/>
              <w:ind w:left="110" w:hanging="110"/>
              <w:jc w:val="center"/>
              <w:rPr>
                <w:rFonts w:ascii="黑体" w:hAnsi="宋体" w:eastAsia="黑体" w:cs="宋体"/>
                <w:b/>
                <w:bCs/>
                <w:kern w:val="0"/>
                <w:sz w:val="22"/>
              </w:rPr>
            </w:pPr>
            <w:r>
              <w:rPr>
                <w:rFonts w:hint="eastAsia" w:ascii="黑体" w:hAnsi="宋体" w:eastAsia="黑体" w:cs="宋体"/>
                <w:b/>
                <w:bCs/>
                <w:kern w:val="0"/>
                <w:sz w:val="22"/>
              </w:rPr>
              <w:t>直接判定为“不合格”的情形</w:t>
            </w:r>
          </w:p>
        </w:tc>
        <w:tc>
          <w:tcPr>
            <w:tcW w:w="709" w:type="dxa"/>
            <w:tcBorders>
              <w:top w:val="nil"/>
              <w:left w:val="nil"/>
              <w:bottom w:val="single" w:color="auto" w:sz="8" w:space="0"/>
              <w:right w:val="single" w:color="auto" w:sz="4" w:space="0"/>
            </w:tcBorders>
            <w:vAlign w:val="center"/>
          </w:tcPr>
          <w:p>
            <w:pPr>
              <w:widowControl/>
              <w:tabs>
                <w:tab w:val="left" w:pos="1620"/>
              </w:tabs>
              <w:snapToGrid w:val="0"/>
              <w:jc w:val="center"/>
              <w:rPr>
                <w:rFonts w:ascii="黑体" w:hAnsi="宋体" w:eastAsia="黑体" w:cs="宋体"/>
                <w:bCs/>
                <w:kern w:val="0"/>
                <w:sz w:val="22"/>
              </w:rPr>
            </w:pPr>
            <w:r>
              <w:rPr>
                <w:rFonts w:hint="eastAsia" w:ascii="黑体" w:hAnsi="宋体" w:eastAsia="黑体" w:cs="宋体"/>
                <w:bCs/>
                <w:kern w:val="0"/>
                <w:sz w:val="22"/>
              </w:rPr>
              <w:t>/</w:t>
            </w:r>
          </w:p>
        </w:tc>
        <w:tc>
          <w:tcPr>
            <w:tcW w:w="5616" w:type="dxa"/>
            <w:tcBorders>
              <w:top w:val="nil"/>
              <w:left w:val="nil"/>
              <w:bottom w:val="single" w:color="auto" w:sz="8" w:space="0"/>
              <w:right w:val="single" w:color="auto" w:sz="4" w:space="0"/>
            </w:tcBorders>
            <w:vAlign w:val="center"/>
          </w:tcPr>
          <w:p>
            <w:pPr>
              <w:widowControl/>
              <w:tabs>
                <w:tab w:val="left" w:pos="1620"/>
              </w:tabs>
              <w:snapToGrid w:val="0"/>
              <w:rPr>
                <w:rFonts w:ascii="宋体" w:hAnsi="宋体" w:cs="宋体"/>
                <w:bCs/>
                <w:kern w:val="0"/>
                <w:sz w:val="18"/>
                <w:szCs w:val="18"/>
              </w:rPr>
            </w:pPr>
            <w:r>
              <w:rPr>
                <w:rFonts w:hint="eastAsia" w:ascii="宋体" w:hAnsi="宋体" w:cs="宋体"/>
                <w:bCs/>
                <w:kern w:val="0"/>
                <w:sz w:val="18"/>
                <w:szCs w:val="18"/>
              </w:rPr>
              <w:t>1、未发现或发现未按程序处理施工单位在工程质量、计量、签证等方面弄虚作假的情况，且给予办理了相关手续的；</w:t>
            </w:r>
          </w:p>
          <w:p>
            <w:pPr>
              <w:widowControl/>
              <w:tabs>
                <w:tab w:val="left" w:pos="1620"/>
              </w:tabs>
              <w:snapToGrid w:val="0"/>
              <w:rPr>
                <w:rFonts w:ascii="宋体" w:hAnsi="宋体" w:cs="宋体"/>
                <w:bCs/>
                <w:kern w:val="0"/>
                <w:sz w:val="18"/>
                <w:szCs w:val="18"/>
              </w:rPr>
            </w:pPr>
            <w:r>
              <w:rPr>
                <w:rFonts w:hint="eastAsia" w:ascii="宋体" w:hAnsi="宋体" w:cs="宋体"/>
                <w:bCs/>
                <w:kern w:val="0"/>
                <w:sz w:val="18"/>
                <w:szCs w:val="18"/>
              </w:rPr>
              <w:t>2、放行或将不合格建筑材料、构配件和设备按照合格签字；或弄虚作假送检试样的；或明示或暗示施工单位使用不合格的建筑材料、建筑构配件和设备的或不符合招标文件要求的材料、设备，</w:t>
            </w:r>
          </w:p>
          <w:p>
            <w:pPr>
              <w:widowControl/>
              <w:tabs>
                <w:tab w:val="left" w:pos="1620"/>
              </w:tabs>
              <w:snapToGrid w:val="0"/>
              <w:rPr>
                <w:rFonts w:ascii="宋体" w:hAnsi="宋体" w:cs="宋体"/>
                <w:bCs/>
                <w:kern w:val="0"/>
                <w:sz w:val="18"/>
                <w:szCs w:val="18"/>
              </w:rPr>
            </w:pPr>
            <w:r>
              <w:rPr>
                <w:rFonts w:hint="eastAsia" w:ascii="宋体" w:hAnsi="宋体" w:cs="宋体"/>
                <w:bCs/>
                <w:kern w:val="0"/>
                <w:sz w:val="18"/>
                <w:szCs w:val="18"/>
              </w:rPr>
              <w:t>3、工程建设过程中由于监理过失造成工程质量低劣，而在交付使用后发生的重大质量事故，或因工程质量达不到合格标准，而需要加固、返工或报废，直接经济损失10万元以上的重大质量事故；</w:t>
            </w:r>
          </w:p>
          <w:p>
            <w:pPr>
              <w:widowControl/>
              <w:tabs>
                <w:tab w:val="left" w:pos="1620"/>
              </w:tabs>
              <w:snapToGrid w:val="0"/>
              <w:rPr>
                <w:rFonts w:ascii="宋体" w:hAnsi="宋体" w:cs="宋体"/>
                <w:bCs/>
                <w:kern w:val="0"/>
                <w:sz w:val="18"/>
                <w:szCs w:val="18"/>
              </w:rPr>
            </w:pPr>
            <w:r>
              <w:rPr>
                <w:rFonts w:hint="eastAsia" w:ascii="宋体" w:hAnsi="宋体" w:cs="宋体"/>
                <w:bCs/>
                <w:kern w:val="0"/>
                <w:sz w:val="18"/>
                <w:szCs w:val="18"/>
              </w:rPr>
              <w:t>4、施工现场有人员死亡的生产安全事故；</w:t>
            </w:r>
          </w:p>
          <w:p>
            <w:pPr>
              <w:widowControl/>
              <w:tabs>
                <w:tab w:val="left" w:pos="1620"/>
              </w:tabs>
              <w:snapToGrid w:val="0"/>
              <w:rPr>
                <w:rFonts w:ascii="宋体" w:hAnsi="宋体" w:cs="宋体"/>
                <w:bCs/>
                <w:kern w:val="0"/>
                <w:sz w:val="18"/>
                <w:szCs w:val="18"/>
              </w:rPr>
            </w:pPr>
            <w:r>
              <w:rPr>
                <w:rFonts w:hint="eastAsia" w:ascii="宋体" w:hAnsi="宋体" w:cs="宋体"/>
                <w:bCs/>
                <w:kern w:val="0"/>
                <w:sz w:val="18"/>
                <w:szCs w:val="18"/>
              </w:rPr>
              <w:t>5、对不合格的建筑工程按照合格工程验收的；</w:t>
            </w:r>
          </w:p>
          <w:p>
            <w:pPr>
              <w:widowControl/>
              <w:tabs>
                <w:tab w:val="left" w:pos="1620"/>
              </w:tabs>
              <w:snapToGrid w:val="0"/>
              <w:rPr>
                <w:rFonts w:ascii="宋体" w:hAnsi="宋体" w:cs="宋体"/>
                <w:bCs/>
                <w:kern w:val="0"/>
                <w:sz w:val="18"/>
                <w:szCs w:val="18"/>
              </w:rPr>
            </w:pPr>
            <w:r>
              <w:rPr>
                <w:rFonts w:hint="eastAsia" w:ascii="宋体" w:hAnsi="宋体" w:cs="宋体"/>
                <w:bCs/>
                <w:kern w:val="0"/>
                <w:sz w:val="18"/>
                <w:szCs w:val="18"/>
              </w:rPr>
              <w:t>6、现场监理人员服务不到位，书面收到建管中心的书面警告通知单三单及其以上者；</w:t>
            </w:r>
          </w:p>
          <w:p>
            <w:pPr>
              <w:widowControl/>
              <w:tabs>
                <w:tab w:val="left" w:pos="1620"/>
              </w:tabs>
              <w:snapToGrid w:val="0"/>
              <w:rPr>
                <w:rFonts w:ascii="黑体" w:hAnsi="宋体" w:eastAsia="黑体" w:cs="宋体"/>
                <w:bCs/>
                <w:kern w:val="0"/>
                <w:sz w:val="22"/>
              </w:rPr>
            </w:pPr>
            <w:r>
              <w:rPr>
                <w:rFonts w:hint="eastAsia" w:ascii="宋体" w:hAnsi="宋体" w:cs="宋体"/>
                <w:bCs/>
                <w:kern w:val="0"/>
                <w:sz w:val="18"/>
                <w:szCs w:val="18"/>
              </w:rPr>
              <w:t>7、发生收受贿赂或与施工单位串通损害业主利益行为。</w:t>
            </w:r>
          </w:p>
        </w:tc>
        <w:tc>
          <w:tcPr>
            <w:tcW w:w="706" w:type="dxa"/>
            <w:tcBorders>
              <w:top w:val="nil"/>
              <w:left w:val="nil"/>
              <w:bottom w:val="single" w:color="auto" w:sz="8" w:space="0"/>
              <w:right w:val="single" w:color="auto" w:sz="4" w:space="0"/>
            </w:tcBorders>
            <w:vAlign w:val="center"/>
          </w:tcPr>
          <w:p>
            <w:pPr>
              <w:widowControl/>
              <w:tabs>
                <w:tab w:val="left" w:pos="1620"/>
              </w:tabs>
              <w:snapToGrid w:val="0"/>
              <w:jc w:val="center"/>
              <w:rPr>
                <w:rFonts w:ascii="黑体" w:hAnsi="宋体" w:eastAsia="黑体" w:cs="宋体"/>
                <w:bCs/>
                <w:kern w:val="0"/>
                <w:sz w:val="22"/>
              </w:rPr>
            </w:pPr>
          </w:p>
        </w:tc>
        <w:tc>
          <w:tcPr>
            <w:tcW w:w="740" w:type="dxa"/>
            <w:tcBorders>
              <w:top w:val="nil"/>
              <w:left w:val="nil"/>
              <w:bottom w:val="single" w:color="auto" w:sz="4" w:space="0"/>
              <w:right w:val="single" w:color="auto" w:sz="4" w:space="0"/>
            </w:tcBorders>
            <w:vAlign w:val="center"/>
          </w:tcPr>
          <w:p>
            <w:pPr>
              <w:widowControl/>
              <w:tabs>
                <w:tab w:val="left" w:pos="1620"/>
              </w:tabs>
              <w:snapToGrid w:val="0"/>
              <w:jc w:val="center"/>
              <w:rPr>
                <w:rFonts w:ascii="黑体" w:hAnsi="宋体" w:eastAsia="黑体" w:cs="宋体"/>
                <w:bCs/>
                <w:kern w:val="0"/>
                <w:sz w:val="22"/>
              </w:rPr>
            </w:pPr>
          </w:p>
        </w:tc>
      </w:tr>
      <w:tr>
        <w:tblPrEx>
          <w:tblCellMar>
            <w:top w:w="0" w:type="dxa"/>
            <w:left w:w="108" w:type="dxa"/>
            <w:bottom w:w="0" w:type="dxa"/>
            <w:right w:w="108" w:type="dxa"/>
          </w:tblCellMar>
        </w:tblPrEx>
        <w:trPr>
          <w:trHeight w:val="320" w:hRule="atLeast"/>
          <w:jc w:val="center"/>
        </w:trPr>
        <w:tc>
          <w:tcPr>
            <w:tcW w:w="437" w:type="dxa"/>
            <w:tcBorders>
              <w:top w:val="nil"/>
              <w:left w:val="single" w:color="auto" w:sz="8" w:space="0"/>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 xml:space="preserve">  </w:t>
            </w:r>
          </w:p>
        </w:tc>
        <w:tc>
          <w:tcPr>
            <w:tcW w:w="1180" w:type="dxa"/>
            <w:tcBorders>
              <w:top w:val="nil"/>
              <w:left w:val="nil"/>
              <w:bottom w:val="single" w:color="auto" w:sz="4" w:space="0"/>
              <w:right w:val="single" w:color="auto" w:sz="4" w:space="0"/>
            </w:tcBorders>
            <w:vAlign w:val="center"/>
          </w:tcPr>
          <w:p>
            <w:pPr>
              <w:widowControl/>
              <w:tabs>
                <w:tab w:val="left" w:pos="1620"/>
              </w:tabs>
              <w:snapToGrid w:val="0"/>
              <w:ind w:left="90" w:hanging="90" w:hangingChars="50"/>
              <w:jc w:val="left"/>
              <w:rPr>
                <w:rFonts w:ascii="宋体" w:hAnsi="宋体" w:cs="宋体"/>
                <w:kern w:val="0"/>
                <w:sz w:val="18"/>
                <w:szCs w:val="18"/>
              </w:rPr>
            </w:pPr>
            <w:r>
              <w:rPr>
                <w:rFonts w:hint="eastAsia" w:ascii="宋体" w:hAnsi="宋体" w:cs="宋体"/>
                <w:kern w:val="0"/>
                <w:sz w:val="18"/>
                <w:szCs w:val="18"/>
              </w:rPr>
              <w:t xml:space="preserve"> 合  计</w:t>
            </w:r>
          </w:p>
        </w:tc>
        <w:tc>
          <w:tcPr>
            <w:tcW w:w="709" w:type="dxa"/>
            <w:tcBorders>
              <w:top w:val="nil"/>
              <w:left w:val="nil"/>
              <w:bottom w:val="single" w:color="auto" w:sz="4" w:space="0"/>
              <w:right w:val="single" w:color="auto" w:sz="4" w:space="0"/>
            </w:tcBorders>
            <w:vAlign w:val="center"/>
          </w:tcPr>
          <w:p>
            <w:pPr>
              <w:widowControl/>
              <w:tabs>
                <w:tab w:val="left" w:pos="1620"/>
              </w:tabs>
              <w:snapToGrid w:val="0"/>
              <w:jc w:val="center"/>
              <w:rPr>
                <w:rFonts w:ascii="宋体" w:hAnsi="宋体" w:cs="宋体"/>
                <w:kern w:val="0"/>
                <w:sz w:val="18"/>
                <w:szCs w:val="18"/>
              </w:rPr>
            </w:pPr>
            <w:r>
              <w:rPr>
                <w:rFonts w:hint="eastAsia" w:ascii="宋体" w:hAnsi="宋体" w:cs="宋体"/>
                <w:kern w:val="0"/>
                <w:sz w:val="18"/>
                <w:szCs w:val="18"/>
              </w:rPr>
              <w:t>100</w:t>
            </w:r>
          </w:p>
        </w:tc>
        <w:tc>
          <w:tcPr>
            <w:tcW w:w="561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w:t>
            </w:r>
          </w:p>
        </w:tc>
        <w:tc>
          <w:tcPr>
            <w:tcW w:w="706"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p>
        </w:tc>
        <w:tc>
          <w:tcPr>
            <w:tcW w:w="740" w:type="dxa"/>
            <w:tcBorders>
              <w:top w:val="nil"/>
              <w:left w:val="nil"/>
              <w:bottom w:val="single" w:color="auto" w:sz="4" w:space="0"/>
              <w:right w:val="single" w:color="auto" w:sz="4" w:space="0"/>
            </w:tcBorders>
            <w:vAlign w:val="center"/>
          </w:tcPr>
          <w:p>
            <w:pPr>
              <w:widowControl/>
              <w:tabs>
                <w:tab w:val="left" w:pos="1620"/>
              </w:tabs>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774" w:hRule="atLeast"/>
          <w:jc w:val="center"/>
        </w:trPr>
        <w:tc>
          <w:tcPr>
            <w:tcW w:w="9388" w:type="dxa"/>
            <w:gridSpan w:val="6"/>
            <w:tcBorders>
              <w:top w:val="single" w:color="auto" w:sz="4" w:space="0"/>
              <w:left w:val="single" w:color="auto" w:sz="8" w:space="0"/>
              <w:bottom w:val="single" w:color="auto" w:sz="4" w:space="0"/>
              <w:right w:val="single" w:color="auto" w:sz="4" w:space="0"/>
            </w:tcBorders>
            <w:vAlign w:val="center"/>
          </w:tcPr>
          <w:p>
            <w:pPr>
              <w:widowControl/>
              <w:spacing w:line="240" w:lineRule="atLeast"/>
              <w:rPr>
                <w:rFonts w:ascii="宋体" w:hAnsi="宋体"/>
                <w:sz w:val="18"/>
                <w:szCs w:val="18"/>
              </w:rPr>
            </w:pPr>
            <w:r>
              <w:rPr>
                <w:rFonts w:hint="eastAsia" w:ascii="宋体" w:hAnsi="宋体" w:cs="宋体"/>
                <w:b/>
                <w:kern w:val="0"/>
                <w:sz w:val="18"/>
                <w:szCs w:val="18"/>
              </w:rPr>
              <w:t>注：</w:t>
            </w:r>
            <w:r>
              <w:rPr>
                <w:rFonts w:hint="eastAsia" w:ascii="宋体" w:hAnsi="宋体" w:cs="宋体"/>
                <w:kern w:val="0"/>
                <w:sz w:val="18"/>
                <w:szCs w:val="18"/>
              </w:rPr>
              <w:t>1、</w:t>
            </w:r>
            <w:r>
              <w:rPr>
                <w:rFonts w:hint="eastAsia" w:ascii="宋体" w:hAnsi="宋体"/>
                <w:sz w:val="18"/>
                <w:szCs w:val="18"/>
              </w:rPr>
              <w:t>工程建设单位可结合其工程特点和具体要求，增加和量化具体评分指标，制定评分表，并按百分制将分项分值以百分比折算后进行调整。</w:t>
            </w:r>
          </w:p>
          <w:p>
            <w:pPr>
              <w:widowControl/>
              <w:spacing w:line="240" w:lineRule="atLeast"/>
              <w:ind w:firstLine="360" w:firstLineChars="200"/>
              <w:rPr>
                <w:rFonts w:ascii="宋体" w:hAnsi="宋体" w:cs="宋体"/>
                <w:kern w:val="0"/>
                <w:sz w:val="18"/>
                <w:szCs w:val="18"/>
              </w:rPr>
            </w:pPr>
            <w:r>
              <w:rPr>
                <w:rFonts w:hint="eastAsia" w:ascii="宋体" w:hAnsi="宋体" w:cs="宋体"/>
                <w:kern w:val="0"/>
                <w:sz w:val="18"/>
                <w:szCs w:val="18"/>
              </w:rPr>
              <w:t>2、</w:t>
            </w:r>
            <w:r>
              <w:rPr>
                <w:rFonts w:hint="eastAsia" w:ascii="宋体" w:hAnsi="宋体"/>
                <w:sz w:val="18"/>
                <w:szCs w:val="18"/>
              </w:rPr>
              <w:t>规定的评分指标中，招标文件</w:t>
            </w:r>
            <w:r>
              <w:rPr>
                <w:rFonts w:hint="eastAsia" w:ascii="宋体" w:hAnsi="宋体" w:cs="宋体"/>
                <w:kern w:val="0"/>
                <w:sz w:val="18"/>
                <w:szCs w:val="18"/>
              </w:rPr>
              <w:t>或合同</w:t>
            </w:r>
            <w:r>
              <w:rPr>
                <w:rFonts w:hint="eastAsia" w:ascii="宋体" w:hAnsi="宋体"/>
                <w:sz w:val="18"/>
                <w:szCs w:val="18"/>
              </w:rPr>
              <w:t>无委托实施的内容，不计入评分，其分值按百分比折算后计入其他指标中或对总得分按百分比进行折算。</w:t>
            </w:r>
          </w:p>
        </w:tc>
      </w:tr>
    </w:tbl>
    <w:p/>
    <w:p>
      <w:pPr>
        <w:widowControl/>
        <w:jc w:val="left"/>
        <w:rPr>
          <w:rFonts w:ascii="仿宋" w:hAnsi="仿宋" w:eastAsia="仿宋"/>
          <w:sz w:val="32"/>
          <w:szCs w:val="32"/>
        </w:rPr>
        <w:sectPr>
          <w:footerReference r:id="rId3" w:type="default"/>
          <w:pgSz w:w="11906" w:h="16838"/>
          <w:pgMar w:top="1440" w:right="1800" w:bottom="1440" w:left="1800" w:header="851" w:footer="992" w:gutter="0"/>
          <w:cols w:space="425" w:num="1"/>
          <w:docGrid w:type="lines" w:linePitch="312" w:charSpace="0"/>
        </w:sectPr>
      </w:pPr>
    </w:p>
    <w:tbl>
      <w:tblPr>
        <w:tblStyle w:val="9"/>
        <w:tblpPr w:leftFromText="180" w:rightFromText="180" w:vertAnchor="text" w:horzAnchor="margin" w:tblpX="74" w:tblpY="79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3190"/>
        <w:gridCol w:w="3047"/>
        <w:gridCol w:w="6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668" w:type="dxa"/>
            <w:vAlign w:val="center"/>
          </w:tcPr>
          <w:p>
            <w:pPr>
              <w:spacing w:line="276" w:lineRule="auto"/>
              <w:jc w:val="center"/>
              <w:rPr>
                <w:rFonts w:ascii="宋体" w:hAnsi="宋体"/>
                <w:b/>
                <w:szCs w:val="21"/>
              </w:rPr>
            </w:pPr>
            <w:r>
              <w:rPr>
                <w:rFonts w:hint="eastAsia" w:ascii="宋体" w:hAnsi="宋体"/>
                <w:szCs w:val="21"/>
              </w:rPr>
              <w:t>工程名称</w:t>
            </w:r>
          </w:p>
        </w:tc>
        <w:tc>
          <w:tcPr>
            <w:tcW w:w="3190" w:type="dxa"/>
            <w:vAlign w:val="center"/>
          </w:tcPr>
          <w:p>
            <w:pPr>
              <w:spacing w:line="276" w:lineRule="auto"/>
              <w:rPr>
                <w:rFonts w:ascii="宋体" w:hAnsi="宋体"/>
                <w:b/>
                <w:szCs w:val="21"/>
              </w:rPr>
            </w:pPr>
          </w:p>
        </w:tc>
        <w:tc>
          <w:tcPr>
            <w:tcW w:w="3047" w:type="dxa"/>
            <w:tcBorders>
              <w:top w:val="nil"/>
            </w:tcBorders>
            <w:vAlign w:val="center"/>
          </w:tcPr>
          <w:p>
            <w:pPr>
              <w:spacing w:line="276" w:lineRule="auto"/>
              <w:jc w:val="center"/>
              <w:rPr>
                <w:rFonts w:ascii="宋体" w:hAnsi="宋体"/>
                <w:b/>
                <w:szCs w:val="21"/>
              </w:rPr>
            </w:pPr>
            <w:r>
              <w:rPr>
                <w:rFonts w:hint="eastAsia" w:ascii="宋体" w:hAnsi="宋体"/>
                <w:szCs w:val="21"/>
              </w:rPr>
              <w:t>承 包 商</w:t>
            </w:r>
          </w:p>
        </w:tc>
        <w:tc>
          <w:tcPr>
            <w:tcW w:w="6128" w:type="dxa"/>
            <w:tcBorders>
              <w:top w:val="nil"/>
            </w:tcBorders>
            <w:vAlign w:val="center"/>
          </w:tcPr>
          <w:p>
            <w:pPr>
              <w:spacing w:line="276" w:lineRule="auto"/>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68" w:type="dxa"/>
            <w:vAlign w:val="center"/>
          </w:tcPr>
          <w:p>
            <w:pPr>
              <w:spacing w:line="276" w:lineRule="auto"/>
              <w:jc w:val="center"/>
              <w:rPr>
                <w:rFonts w:ascii="宋体" w:hAnsi="宋体"/>
                <w:b/>
                <w:szCs w:val="21"/>
              </w:rPr>
            </w:pPr>
            <w:r>
              <w:rPr>
                <w:rFonts w:hint="eastAsia" w:ascii="宋体" w:hAnsi="宋体"/>
                <w:szCs w:val="21"/>
              </w:rPr>
              <w:t>总 得 分</w:t>
            </w:r>
          </w:p>
        </w:tc>
        <w:tc>
          <w:tcPr>
            <w:tcW w:w="3190" w:type="dxa"/>
            <w:vAlign w:val="center"/>
          </w:tcPr>
          <w:p>
            <w:pPr>
              <w:spacing w:line="276" w:lineRule="auto"/>
              <w:rPr>
                <w:rFonts w:ascii="宋体" w:hAnsi="宋体"/>
                <w:b/>
                <w:szCs w:val="21"/>
              </w:rPr>
            </w:pPr>
          </w:p>
        </w:tc>
        <w:tc>
          <w:tcPr>
            <w:tcW w:w="3047" w:type="dxa"/>
            <w:vAlign w:val="center"/>
          </w:tcPr>
          <w:p>
            <w:pPr>
              <w:spacing w:line="276" w:lineRule="auto"/>
              <w:jc w:val="center"/>
              <w:rPr>
                <w:rFonts w:ascii="宋体" w:hAnsi="宋体"/>
                <w:b/>
                <w:szCs w:val="21"/>
              </w:rPr>
            </w:pPr>
            <w:r>
              <w:rPr>
                <w:rFonts w:hint="eastAsia" w:ascii="宋体" w:hAnsi="宋体"/>
                <w:szCs w:val="21"/>
              </w:rPr>
              <w:t>评价等级</w:t>
            </w:r>
          </w:p>
        </w:tc>
        <w:tc>
          <w:tcPr>
            <w:tcW w:w="6128" w:type="dxa"/>
            <w:vAlign w:val="center"/>
          </w:tcPr>
          <w:p>
            <w:pPr>
              <w:spacing w:line="276" w:lineRule="auto"/>
              <w:ind w:firstLine="210" w:firstLineChars="100"/>
              <w:rPr>
                <w:rFonts w:ascii="宋体" w:hAnsi="宋体"/>
                <w:b/>
                <w:szCs w:val="21"/>
              </w:rPr>
            </w:pPr>
            <w:r>
              <w:rPr>
                <w:rFonts w:hint="eastAsia" w:ascii="宋体" w:hAnsi="宋体"/>
                <w:szCs w:val="21"/>
              </w:rPr>
              <w:t>□优  □良 □中  □合格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68" w:type="dxa"/>
            <w:vAlign w:val="center"/>
          </w:tcPr>
          <w:p>
            <w:pPr>
              <w:spacing w:line="276" w:lineRule="auto"/>
              <w:jc w:val="center"/>
              <w:rPr>
                <w:rFonts w:ascii="宋体" w:hAnsi="宋体"/>
                <w:b/>
                <w:szCs w:val="21"/>
              </w:rPr>
            </w:pPr>
            <w:r>
              <w:rPr>
                <w:rFonts w:hint="eastAsia"/>
                <w:szCs w:val="21"/>
              </w:rPr>
              <w:t>建设单位</w:t>
            </w:r>
          </w:p>
        </w:tc>
        <w:tc>
          <w:tcPr>
            <w:tcW w:w="3190" w:type="dxa"/>
            <w:vAlign w:val="center"/>
          </w:tcPr>
          <w:p>
            <w:pPr>
              <w:spacing w:line="276" w:lineRule="auto"/>
              <w:rPr>
                <w:rFonts w:ascii="宋体" w:hAnsi="宋体"/>
                <w:b/>
                <w:szCs w:val="21"/>
              </w:rPr>
            </w:pPr>
          </w:p>
        </w:tc>
        <w:tc>
          <w:tcPr>
            <w:tcW w:w="3047" w:type="dxa"/>
            <w:vAlign w:val="center"/>
          </w:tcPr>
          <w:p>
            <w:pPr>
              <w:spacing w:line="276" w:lineRule="auto"/>
              <w:jc w:val="center"/>
              <w:rPr>
                <w:rFonts w:ascii="宋体" w:hAnsi="宋体"/>
                <w:b/>
                <w:szCs w:val="21"/>
              </w:rPr>
            </w:pPr>
            <w:r>
              <w:rPr>
                <w:rFonts w:hint="eastAsia" w:ascii="宋体" w:hAnsi="宋体"/>
                <w:szCs w:val="21"/>
              </w:rPr>
              <w:t>评价时间</w:t>
            </w:r>
          </w:p>
        </w:tc>
        <w:tc>
          <w:tcPr>
            <w:tcW w:w="6128" w:type="dxa"/>
            <w:vAlign w:val="center"/>
          </w:tcPr>
          <w:p>
            <w:pPr>
              <w:wordWrap w:val="0"/>
              <w:spacing w:line="276" w:lineRule="auto"/>
              <w:jc w:val="right"/>
              <w:rPr>
                <w:rFonts w:ascii="宋体" w:hAnsi="宋体"/>
                <w:b/>
                <w:szCs w:val="21"/>
              </w:rPr>
            </w:pPr>
            <w:r>
              <w:rPr>
                <w:rFonts w:hint="eastAsia" w:ascii="宋体" w:hAnsi="宋体"/>
                <w:szCs w:val="21"/>
              </w:rPr>
              <w:t xml:space="preserve"> 年    月    日 </w:t>
            </w:r>
          </w:p>
        </w:tc>
      </w:tr>
    </w:tbl>
    <w:p>
      <w:pPr>
        <w:widowControl/>
        <w:tabs>
          <w:tab w:val="left" w:pos="1620"/>
        </w:tabs>
        <w:jc w:val="center"/>
        <w:rPr>
          <w:rFonts w:ascii="黑体" w:hAnsi="宋体" w:eastAsia="黑体" w:cs="宋体"/>
          <w:bCs/>
          <w:kern w:val="0"/>
          <w:sz w:val="32"/>
          <w:szCs w:val="32"/>
        </w:rPr>
      </w:pPr>
      <w:r>
        <w:rPr>
          <w:rFonts w:hint="eastAsia" w:ascii="黑体" w:hAnsi="宋体" w:eastAsia="黑体" w:cs="宋体"/>
          <w:bCs/>
          <w:kern w:val="0"/>
          <w:sz w:val="32"/>
          <w:szCs w:val="32"/>
        </w:rPr>
        <w:t>罗湖区建设工程市场主体履约评价表(勘察)</w:t>
      </w:r>
    </w:p>
    <w:p>
      <w:pPr>
        <w:tabs>
          <w:tab w:val="left" w:pos="3780"/>
        </w:tabs>
        <w:rPr>
          <w:szCs w:val="21"/>
        </w:rPr>
      </w:pPr>
      <w:r>
        <w:tab/>
      </w:r>
    </w:p>
    <w:tbl>
      <w:tblPr>
        <w:tblStyle w:val="9"/>
        <w:tblW w:w="0" w:type="auto"/>
        <w:tblInd w:w="93" w:type="dxa"/>
        <w:tblLayout w:type="fixed"/>
        <w:tblCellMar>
          <w:top w:w="0" w:type="dxa"/>
          <w:left w:w="108" w:type="dxa"/>
          <w:bottom w:w="0" w:type="dxa"/>
          <w:right w:w="108" w:type="dxa"/>
        </w:tblCellMar>
      </w:tblPr>
      <w:tblGrid>
        <w:gridCol w:w="577"/>
        <w:gridCol w:w="1129"/>
        <w:gridCol w:w="8"/>
        <w:gridCol w:w="701"/>
        <w:gridCol w:w="8"/>
        <w:gridCol w:w="4525"/>
        <w:gridCol w:w="7"/>
        <w:gridCol w:w="4669"/>
        <w:gridCol w:w="714"/>
        <w:gridCol w:w="855"/>
        <w:gridCol w:w="856"/>
      </w:tblGrid>
      <w:tr>
        <w:tblPrEx>
          <w:tblCellMar>
            <w:top w:w="0" w:type="dxa"/>
            <w:left w:w="108" w:type="dxa"/>
            <w:bottom w:w="0" w:type="dxa"/>
            <w:right w:w="108" w:type="dxa"/>
          </w:tblCellMar>
        </w:tblPrEx>
        <w:trPr>
          <w:trHeight w:val="392" w:hRule="atLeast"/>
        </w:trPr>
        <w:tc>
          <w:tcPr>
            <w:tcW w:w="57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bCs/>
                <w:kern w:val="0"/>
                <w:sz w:val="18"/>
                <w:szCs w:val="18"/>
              </w:rPr>
            </w:pPr>
            <w:r>
              <w:rPr>
                <w:rFonts w:hint="eastAsia" w:ascii="宋体" w:hAnsi="宋体" w:cs="宋体"/>
                <w:bCs/>
                <w:kern w:val="0"/>
                <w:sz w:val="18"/>
                <w:szCs w:val="18"/>
              </w:rPr>
              <w:t>序</w:t>
            </w:r>
            <w:r>
              <w:rPr>
                <w:rFonts w:hint="eastAsia" w:ascii="宋体" w:hAnsi="宋体" w:cs="宋体"/>
                <w:bCs/>
                <w:kern w:val="0"/>
                <w:sz w:val="18"/>
                <w:szCs w:val="18"/>
              </w:rPr>
              <w:br w:type="textWrapping"/>
            </w:r>
            <w:r>
              <w:rPr>
                <w:rFonts w:hint="eastAsia" w:ascii="宋体" w:hAnsi="宋体" w:cs="宋体"/>
                <w:bCs/>
                <w:kern w:val="0"/>
                <w:sz w:val="18"/>
                <w:szCs w:val="18"/>
              </w:rPr>
              <w:t>号</w:t>
            </w:r>
          </w:p>
        </w:tc>
        <w:tc>
          <w:tcPr>
            <w:tcW w:w="112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bCs/>
                <w:kern w:val="0"/>
                <w:sz w:val="18"/>
                <w:szCs w:val="18"/>
              </w:rPr>
            </w:pPr>
            <w:r>
              <w:rPr>
                <w:rFonts w:hint="eastAsia" w:ascii="宋体" w:hAnsi="宋体" w:cs="宋体"/>
                <w:bCs/>
                <w:kern w:val="0"/>
                <w:sz w:val="18"/>
                <w:szCs w:val="18"/>
              </w:rPr>
              <w:t>内容</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bCs/>
                <w:kern w:val="0"/>
                <w:sz w:val="18"/>
                <w:szCs w:val="18"/>
              </w:rPr>
            </w:pPr>
            <w:r>
              <w:rPr>
                <w:rFonts w:hint="eastAsia" w:ascii="宋体" w:hAnsi="宋体" w:cs="宋体"/>
                <w:bCs/>
                <w:kern w:val="0"/>
                <w:sz w:val="18"/>
                <w:szCs w:val="18"/>
              </w:rPr>
              <w:t>单项</w:t>
            </w:r>
            <w:r>
              <w:rPr>
                <w:rFonts w:hint="eastAsia" w:ascii="宋体" w:hAnsi="宋体" w:cs="宋体"/>
                <w:bCs/>
                <w:kern w:val="0"/>
                <w:sz w:val="18"/>
                <w:szCs w:val="18"/>
              </w:rPr>
              <w:br w:type="textWrapping"/>
            </w:r>
            <w:r>
              <w:rPr>
                <w:rFonts w:hint="eastAsia" w:ascii="宋体" w:hAnsi="宋体" w:cs="宋体"/>
                <w:bCs/>
                <w:kern w:val="0"/>
                <w:sz w:val="18"/>
                <w:szCs w:val="18"/>
              </w:rPr>
              <w:t>分值</w:t>
            </w:r>
          </w:p>
        </w:tc>
        <w:tc>
          <w:tcPr>
            <w:tcW w:w="4533"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bCs/>
                <w:kern w:val="0"/>
                <w:sz w:val="18"/>
                <w:szCs w:val="18"/>
              </w:rPr>
            </w:pPr>
            <w:r>
              <w:rPr>
                <w:rFonts w:hint="eastAsia" w:ascii="宋体" w:hAnsi="宋体" w:cs="宋体"/>
                <w:bCs/>
                <w:kern w:val="0"/>
                <w:sz w:val="18"/>
                <w:szCs w:val="18"/>
              </w:rPr>
              <w:t>评价要求</w:t>
            </w:r>
          </w:p>
        </w:tc>
        <w:tc>
          <w:tcPr>
            <w:tcW w:w="4676"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bCs/>
                <w:kern w:val="0"/>
                <w:sz w:val="18"/>
                <w:szCs w:val="18"/>
              </w:rPr>
            </w:pPr>
            <w:r>
              <w:rPr>
                <w:rFonts w:hint="eastAsia" w:ascii="宋体" w:hAnsi="宋体" w:cs="宋体"/>
                <w:bCs/>
                <w:kern w:val="0"/>
                <w:sz w:val="18"/>
                <w:szCs w:val="18"/>
              </w:rPr>
              <w:t>评分标准</w:t>
            </w:r>
          </w:p>
        </w:tc>
        <w:tc>
          <w:tcPr>
            <w:tcW w:w="714"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bCs/>
                <w:kern w:val="0"/>
                <w:sz w:val="18"/>
                <w:szCs w:val="18"/>
              </w:rPr>
            </w:pPr>
            <w:r>
              <w:rPr>
                <w:rFonts w:hint="eastAsia" w:ascii="宋体" w:hAnsi="宋体" w:cs="宋体"/>
                <w:bCs/>
                <w:kern w:val="0"/>
                <w:sz w:val="18"/>
                <w:szCs w:val="18"/>
              </w:rPr>
              <w:t>分值</w:t>
            </w:r>
          </w:p>
        </w:tc>
        <w:tc>
          <w:tcPr>
            <w:tcW w:w="855"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bCs/>
                <w:kern w:val="0"/>
                <w:sz w:val="18"/>
                <w:szCs w:val="18"/>
              </w:rPr>
            </w:pPr>
            <w:r>
              <w:rPr>
                <w:rFonts w:hint="eastAsia" w:ascii="宋体" w:hAnsi="宋体" w:cs="宋体"/>
                <w:bCs/>
                <w:kern w:val="0"/>
                <w:sz w:val="18"/>
                <w:szCs w:val="18"/>
              </w:rPr>
              <w:t>应得分</w:t>
            </w:r>
          </w:p>
        </w:tc>
        <w:tc>
          <w:tcPr>
            <w:tcW w:w="856" w:type="dxa"/>
            <w:tcBorders>
              <w:top w:val="single" w:color="auto" w:sz="4" w:space="0"/>
              <w:left w:val="nil"/>
              <w:bottom w:val="single" w:color="auto" w:sz="4" w:space="0"/>
              <w:right w:val="single" w:color="auto" w:sz="4" w:space="0"/>
            </w:tcBorders>
            <w:vAlign w:val="center"/>
          </w:tcPr>
          <w:p>
            <w:pPr>
              <w:snapToGrid w:val="0"/>
              <w:jc w:val="center"/>
              <w:rPr>
                <w:rFonts w:ascii="宋体" w:hAnsi="宋体" w:cs="宋体"/>
                <w:bCs/>
                <w:kern w:val="0"/>
                <w:sz w:val="18"/>
                <w:szCs w:val="18"/>
              </w:rPr>
            </w:pPr>
            <w:r>
              <w:rPr>
                <w:rFonts w:hint="eastAsia" w:ascii="宋体" w:hAnsi="宋体" w:cs="宋体"/>
                <w:bCs/>
                <w:kern w:val="0"/>
                <w:sz w:val="18"/>
                <w:szCs w:val="18"/>
              </w:rPr>
              <w:t>实得分</w:t>
            </w:r>
          </w:p>
        </w:tc>
      </w:tr>
      <w:tr>
        <w:tblPrEx>
          <w:tblCellMar>
            <w:top w:w="0" w:type="dxa"/>
            <w:left w:w="108" w:type="dxa"/>
            <w:bottom w:w="0" w:type="dxa"/>
            <w:right w:w="108" w:type="dxa"/>
          </w:tblCellMar>
        </w:tblPrEx>
        <w:trPr>
          <w:trHeight w:val="187" w:hRule="atLeast"/>
        </w:trPr>
        <w:tc>
          <w:tcPr>
            <w:tcW w:w="577" w:type="dxa"/>
            <w:vMerge w:val="restart"/>
            <w:tcBorders>
              <w:top w:val="nil"/>
              <w:left w:val="single" w:color="auto" w:sz="4" w:space="0"/>
              <w:right w:val="single" w:color="auto" w:sz="4" w:space="0"/>
            </w:tcBorders>
            <w:vAlign w:val="center"/>
          </w:tcPr>
          <w:p>
            <w:pPr>
              <w:snapToGrid w:val="0"/>
              <w:jc w:val="center"/>
              <w:rPr>
                <w:rFonts w:ascii="宋体" w:hAnsi="宋体" w:cs="宋体"/>
                <w:b/>
                <w:kern w:val="0"/>
                <w:sz w:val="18"/>
                <w:szCs w:val="18"/>
              </w:rPr>
            </w:pPr>
            <w:r>
              <w:rPr>
                <w:rFonts w:hint="eastAsia" w:ascii="宋体" w:hAnsi="宋体" w:cs="宋体"/>
                <w:b/>
                <w:kern w:val="0"/>
                <w:sz w:val="18"/>
                <w:szCs w:val="18"/>
              </w:rPr>
              <w:t>一</w:t>
            </w:r>
          </w:p>
        </w:tc>
        <w:tc>
          <w:tcPr>
            <w:tcW w:w="1137" w:type="dxa"/>
            <w:gridSpan w:val="2"/>
            <w:vMerge w:val="restart"/>
            <w:tcBorders>
              <w:top w:val="nil"/>
              <w:left w:val="single" w:color="auto" w:sz="4" w:space="0"/>
              <w:bottom w:val="single" w:color="auto" w:sz="4" w:space="0"/>
              <w:right w:val="single" w:color="auto" w:sz="4" w:space="0"/>
            </w:tcBorders>
            <w:vAlign w:val="center"/>
          </w:tcPr>
          <w:p>
            <w:pPr>
              <w:snapToGrid w:val="0"/>
              <w:jc w:val="center"/>
              <w:rPr>
                <w:rFonts w:ascii="宋体" w:hAnsi="宋体" w:cs="宋体"/>
                <w:b/>
                <w:kern w:val="0"/>
                <w:sz w:val="18"/>
                <w:szCs w:val="18"/>
              </w:rPr>
            </w:pPr>
            <w:r>
              <w:rPr>
                <w:rFonts w:hint="eastAsia" w:ascii="宋体" w:hAnsi="宋体" w:cs="宋体"/>
                <w:b/>
                <w:kern w:val="0"/>
                <w:sz w:val="18"/>
                <w:szCs w:val="18"/>
              </w:rPr>
              <w:t>现场负责人要求</w:t>
            </w:r>
          </w:p>
        </w:tc>
        <w:tc>
          <w:tcPr>
            <w:tcW w:w="709" w:type="dxa"/>
            <w:gridSpan w:val="2"/>
            <w:vMerge w:val="restart"/>
            <w:tcBorders>
              <w:top w:val="nil"/>
              <w:left w:val="single" w:color="auto" w:sz="4" w:space="0"/>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8</w:t>
            </w: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人员配备符合招标文件要求</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人员配备不符合招标文件要求，扣1分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374" w:hRule="atLeast"/>
        </w:trPr>
        <w:tc>
          <w:tcPr>
            <w:tcW w:w="577" w:type="dxa"/>
            <w:vMerge w:val="continue"/>
            <w:tcBorders>
              <w:left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人员稳定无更换，在本单位连续工作5年以上且都担任项目负责人（提供社保证明）</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擅自更换本项目工作人员,或在该单位没有连续工作达5年的工作人员任项目负责人,扣1分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183" w:hRule="atLeast"/>
        </w:trPr>
        <w:tc>
          <w:tcPr>
            <w:tcW w:w="577" w:type="dxa"/>
            <w:vMerge w:val="continue"/>
            <w:tcBorders>
              <w:left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及时发现问题和处理问题</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经业主发现后才知道有问题,或知道有问题也不及时处理,每发生一次扣0.5分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03" w:hRule="atLeast"/>
        </w:trPr>
        <w:tc>
          <w:tcPr>
            <w:tcW w:w="577" w:type="dxa"/>
            <w:vMerge w:val="continue"/>
            <w:tcBorders>
              <w:left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具有较强的专业协调能力</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专业协调能力不强,专业协调中出现许多漏洞,每发生一次扣0.5分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11" w:hRule="atLeast"/>
        </w:trPr>
        <w:tc>
          <w:tcPr>
            <w:tcW w:w="577" w:type="dxa"/>
            <w:vMerge w:val="continue"/>
            <w:tcBorders>
              <w:left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能准确的表达意见</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意见表达不准确,每发生一次扣0.5分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56" w:hRule="atLeast"/>
        </w:trPr>
        <w:tc>
          <w:tcPr>
            <w:tcW w:w="577" w:type="dxa"/>
            <w:vMerge w:val="continue"/>
            <w:tcBorders>
              <w:left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能与建设单位、设计单位、监理、施工等相关单位充分沟通</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与相关参建单位沟通不充分,造成工作开展不利,每发生一次扣0.5分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80" w:hRule="atLeast"/>
        </w:trPr>
        <w:tc>
          <w:tcPr>
            <w:tcW w:w="577" w:type="dxa"/>
            <w:vMerge w:val="continue"/>
            <w:tcBorders>
              <w:left w:val="single" w:color="auto" w:sz="4" w:space="0"/>
              <w:bottom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项目配备的勘察人员的专业满足合同要求且各专业人员稳定</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与约定比,每一项不满足合同要求,或各专业人员擅自变动,扣1分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577" w:type="dxa"/>
            <w:vMerge w:val="restart"/>
            <w:tcBorders>
              <w:top w:val="single" w:color="auto" w:sz="4" w:space="0"/>
              <w:left w:val="single" w:color="auto" w:sz="4" w:space="0"/>
              <w:right w:val="single" w:color="auto" w:sz="4" w:space="0"/>
            </w:tcBorders>
            <w:vAlign w:val="center"/>
          </w:tcPr>
          <w:p>
            <w:pPr>
              <w:snapToGrid w:val="0"/>
              <w:jc w:val="center"/>
              <w:rPr>
                <w:rFonts w:ascii="宋体" w:hAnsi="宋体" w:cs="宋体"/>
                <w:b/>
                <w:kern w:val="0"/>
                <w:sz w:val="18"/>
                <w:szCs w:val="18"/>
              </w:rPr>
            </w:pPr>
            <w:r>
              <w:rPr>
                <w:rFonts w:hint="eastAsia" w:ascii="宋体" w:hAnsi="宋体" w:cs="宋体"/>
                <w:b/>
                <w:kern w:val="0"/>
                <w:sz w:val="18"/>
                <w:szCs w:val="18"/>
              </w:rPr>
              <w:t>二</w:t>
            </w:r>
          </w:p>
        </w:tc>
        <w:tc>
          <w:tcPr>
            <w:tcW w:w="1137"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b/>
                <w:kern w:val="0"/>
                <w:sz w:val="18"/>
                <w:szCs w:val="18"/>
              </w:rPr>
            </w:pPr>
            <w:r>
              <w:rPr>
                <w:rFonts w:hint="eastAsia" w:ascii="宋体" w:hAnsi="宋体" w:cs="宋体"/>
                <w:b/>
                <w:kern w:val="0"/>
                <w:sz w:val="18"/>
                <w:szCs w:val="18"/>
              </w:rPr>
              <w:t>资料的收集、整理</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4532" w:type="dxa"/>
            <w:gridSpan w:val="2"/>
            <w:tcBorders>
              <w:top w:val="single" w:color="auto" w:sz="4" w:space="0"/>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现场踏勘，预见性提出建设性意见</w:t>
            </w:r>
          </w:p>
        </w:tc>
        <w:tc>
          <w:tcPr>
            <w:tcW w:w="4669" w:type="dxa"/>
            <w:tcBorders>
              <w:top w:val="single" w:color="auto" w:sz="4" w:space="0"/>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现场踏勘中,没有提出预见性意见,可后来又出了相关问题的,每发生一次扣1分</w:t>
            </w:r>
          </w:p>
        </w:tc>
        <w:tc>
          <w:tcPr>
            <w:tcW w:w="714" w:type="dxa"/>
            <w:tcBorders>
              <w:top w:val="single" w:color="auto" w:sz="4" w:space="0"/>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855" w:type="dxa"/>
            <w:tcBorders>
              <w:top w:val="single" w:color="auto" w:sz="4" w:space="0"/>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single" w:color="auto" w:sz="4" w:space="0"/>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93" w:hRule="atLeast"/>
        </w:trPr>
        <w:tc>
          <w:tcPr>
            <w:tcW w:w="577" w:type="dxa"/>
            <w:vMerge w:val="continue"/>
            <w:tcBorders>
              <w:left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勘察探测能充分反映现场实际状况</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勘察探测报告与现场实际不符合,每发生一次扣1分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139" w:hRule="atLeast"/>
        </w:trPr>
        <w:tc>
          <w:tcPr>
            <w:tcW w:w="577" w:type="dxa"/>
            <w:vMerge w:val="continue"/>
            <w:tcBorders>
              <w:left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积极主动与设计单位沟通</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与设计单位的沟通不到位,每发生一次扣1分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285" w:hRule="atLeast"/>
        </w:trPr>
        <w:tc>
          <w:tcPr>
            <w:tcW w:w="577" w:type="dxa"/>
            <w:vMerge w:val="continue"/>
            <w:tcBorders>
              <w:left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积极主动与沿线单位走访，收集相关资料</w:t>
            </w:r>
          </w:p>
        </w:tc>
        <w:tc>
          <w:tcPr>
            <w:tcW w:w="4669" w:type="dxa"/>
            <w:tcBorders>
              <w:top w:val="nil"/>
              <w:left w:val="nil"/>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对沿线单位不了解,或没有收集与工程相关的资料,扣3分</w:t>
            </w:r>
          </w:p>
        </w:tc>
        <w:tc>
          <w:tcPr>
            <w:tcW w:w="714" w:type="dxa"/>
            <w:tcBorders>
              <w:top w:val="nil"/>
              <w:left w:val="nil"/>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855" w:type="dxa"/>
            <w:tcBorders>
              <w:top w:val="nil"/>
              <w:left w:val="nil"/>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480" w:hRule="atLeast"/>
        </w:trPr>
        <w:tc>
          <w:tcPr>
            <w:tcW w:w="577" w:type="dxa"/>
            <w:vMerge w:val="continue"/>
            <w:tcBorders>
              <w:left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资料归档整齐、无误</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资料没有按统一标准有序归档,或没按要求收集相关资料,每发生一次扣1分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833" w:hRule="atLeast"/>
        </w:trPr>
        <w:tc>
          <w:tcPr>
            <w:tcW w:w="577" w:type="dxa"/>
            <w:vMerge w:val="continue"/>
            <w:tcBorders>
              <w:left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restart"/>
            <w:tcBorders>
              <w:top w:val="nil"/>
              <w:left w:val="single" w:color="auto" w:sz="4" w:space="0"/>
              <w:bottom w:val="single" w:color="auto" w:sz="4" w:space="0"/>
              <w:right w:val="single" w:color="auto" w:sz="4" w:space="0"/>
            </w:tcBorders>
            <w:vAlign w:val="center"/>
          </w:tcPr>
          <w:p>
            <w:pPr>
              <w:snapToGrid w:val="0"/>
              <w:jc w:val="center"/>
              <w:rPr>
                <w:rFonts w:ascii="宋体" w:hAnsi="宋体" w:cs="宋体"/>
                <w:b/>
                <w:kern w:val="0"/>
                <w:sz w:val="18"/>
                <w:szCs w:val="18"/>
              </w:rPr>
            </w:pPr>
            <w:r>
              <w:rPr>
                <w:rFonts w:hint="eastAsia" w:ascii="宋体" w:hAnsi="宋体" w:cs="宋体"/>
                <w:b/>
                <w:kern w:val="0"/>
                <w:sz w:val="18"/>
                <w:szCs w:val="18"/>
              </w:rPr>
              <w:t>报告内容与质量</w:t>
            </w:r>
          </w:p>
        </w:tc>
        <w:tc>
          <w:tcPr>
            <w:tcW w:w="709" w:type="dxa"/>
            <w:gridSpan w:val="2"/>
            <w:vMerge w:val="restart"/>
            <w:tcBorders>
              <w:top w:val="nil"/>
              <w:left w:val="single" w:color="auto" w:sz="4" w:space="0"/>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25</w:t>
            </w: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项目图纸齐全、参数完整且能正确反映场地岩土情况，为设计所采纳、结论建议明确、合理</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1、图纸不全；</w:t>
            </w:r>
            <w:r>
              <w:rPr>
                <w:rFonts w:hint="eastAsia" w:ascii="宋体" w:hAnsi="宋体" w:cs="宋体"/>
                <w:kern w:val="0"/>
                <w:sz w:val="18"/>
                <w:szCs w:val="18"/>
              </w:rPr>
              <w:br w:type="textWrapping"/>
            </w:r>
            <w:r>
              <w:rPr>
                <w:rFonts w:hint="eastAsia" w:ascii="宋体" w:hAnsi="宋体" w:cs="宋体"/>
                <w:kern w:val="0"/>
                <w:sz w:val="18"/>
                <w:szCs w:val="18"/>
              </w:rPr>
              <w:t>2、参数不完整且不能反映场地岩土情况；</w:t>
            </w:r>
            <w:r>
              <w:rPr>
                <w:rFonts w:hint="eastAsia" w:ascii="宋体" w:hAnsi="宋体" w:cs="宋体"/>
                <w:kern w:val="0"/>
                <w:sz w:val="18"/>
                <w:szCs w:val="18"/>
              </w:rPr>
              <w:br w:type="textWrapping"/>
            </w:r>
            <w:r>
              <w:rPr>
                <w:rFonts w:hint="eastAsia" w:ascii="宋体" w:hAnsi="宋体" w:cs="宋体"/>
                <w:kern w:val="0"/>
                <w:sz w:val="18"/>
                <w:szCs w:val="18"/>
              </w:rPr>
              <w:t>3、为设计所采纳、结论建议不明确或不合理。</w:t>
            </w:r>
            <w:r>
              <w:rPr>
                <w:rFonts w:hint="eastAsia" w:ascii="宋体" w:hAnsi="宋体" w:cs="宋体"/>
                <w:kern w:val="0"/>
                <w:sz w:val="18"/>
                <w:szCs w:val="18"/>
              </w:rPr>
              <w:br w:type="textWrapping"/>
            </w:r>
            <w:r>
              <w:rPr>
                <w:rFonts w:hint="eastAsia" w:ascii="宋体" w:hAnsi="宋体" w:cs="宋体"/>
                <w:kern w:val="0"/>
                <w:sz w:val="18"/>
                <w:szCs w:val="18"/>
              </w:rPr>
              <w:t>以上每项每发生一次扣5分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760" w:hRule="atLeast"/>
        </w:trPr>
        <w:tc>
          <w:tcPr>
            <w:tcW w:w="577" w:type="dxa"/>
            <w:vMerge w:val="continue"/>
            <w:tcBorders>
              <w:left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勘察文件满足合同规定的深度要求，能够满足设计需要，达到勘察任务书和规范标准，可以进行设计或施工的招标的深度要求</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1、不能满足深度要求；</w:t>
            </w:r>
            <w:r>
              <w:rPr>
                <w:rFonts w:hint="eastAsia" w:ascii="宋体" w:hAnsi="宋体" w:cs="宋体"/>
                <w:kern w:val="0"/>
                <w:sz w:val="18"/>
                <w:szCs w:val="18"/>
              </w:rPr>
              <w:br w:type="textWrapping"/>
            </w:r>
            <w:r>
              <w:rPr>
                <w:rFonts w:hint="eastAsia" w:ascii="宋体" w:hAnsi="宋体" w:cs="宋体"/>
                <w:kern w:val="0"/>
                <w:sz w:val="18"/>
                <w:szCs w:val="18"/>
              </w:rPr>
              <w:t>2、不能满足设计需要；</w:t>
            </w:r>
            <w:r>
              <w:rPr>
                <w:rFonts w:hint="eastAsia" w:ascii="宋体" w:hAnsi="宋体" w:cs="宋体"/>
                <w:kern w:val="0"/>
                <w:sz w:val="18"/>
                <w:szCs w:val="18"/>
              </w:rPr>
              <w:br w:type="textWrapping"/>
            </w:r>
            <w:r>
              <w:rPr>
                <w:rFonts w:hint="eastAsia" w:ascii="宋体" w:hAnsi="宋体" w:cs="宋体"/>
                <w:kern w:val="0"/>
                <w:sz w:val="18"/>
                <w:szCs w:val="18"/>
              </w:rPr>
              <w:t>3、没达到勘察任务书和规范标准；</w:t>
            </w:r>
            <w:r>
              <w:rPr>
                <w:rFonts w:hint="eastAsia" w:ascii="宋体" w:hAnsi="宋体" w:cs="宋体"/>
                <w:kern w:val="0"/>
                <w:sz w:val="18"/>
                <w:szCs w:val="18"/>
              </w:rPr>
              <w:br w:type="textWrapping"/>
            </w:r>
            <w:r>
              <w:rPr>
                <w:rFonts w:hint="eastAsia" w:ascii="宋体" w:hAnsi="宋体" w:cs="宋体"/>
                <w:kern w:val="0"/>
                <w:sz w:val="18"/>
                <w:szCs w:val="18"/>
              </w:rPr>
              <w:t>4、不能进行设计或施工的招标文件要求。</w:t>
            </w:r>
            <w:r>
              <w:rPr>
                <w:rFonts w:hint="eastAsia" w:ascii="宋体" w:hAnsi="宋体" w:cs="宋体"/>
                <w:kern w:val="0"/>
                <w:sz w:val="18"/>
                <w:szCs w:val="18"/>
              </w:rPr>
              <w:br w:type="textWrapping"/>
            </w:r>
            <w:r>
              <w:rPr>
                <w:rFonts w:hint="eastAsia" w:ascii="宋体" w:hAnsi="宋体" w:cs="宋体"/>
                <w:kern w:val="0"/>
                <w:sz w:val="18"/>
                <w:szCs w:val="18"/>
              </w:rPr>
              <w:t>以上每项每发生一次扣5分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153" w:hRule="atLeast"/>
        </w:trPr>
        <w:tc>
          <w:tcPr>
            <w:tcW w:w="577" w:type="dxa"/>
            <w:vMerge w:val="continue"/>
            <w:tcBorders>
              <w:left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管线探测资料齐全、准确</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资料不齐全，或不准确，每发生一次扣5分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185" w:hRule="atLeast"/>
        </w:trPr>
        <w:tc>
          <w:tcPr>
            <w:tcW w:w="577" w:type="dxa"/>
            <w:vMerge w:val="continue"/>
            <w:tcBorders>
              <w:left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勘察报告、勘察方案及勘察日志相符合</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报告、方案和日志每一点不相符，每发生一次扣5分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231" w:hRule="atLeast"/>
        </w:trPr>
        <w:tc>
          <w:tcPr>
            <w:tcW w:w="577" w:type="dxa"/>
            <w:vMerge w:val="continue"/>
            <w:tcBorders>
              <w:left w:val="single" w:color="auto" w:sz="4" w:space="0"/>
              <w:bottom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设计单位对勘察报告的评价</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评价不合格，每发生一次扣5分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121" w:hRule="atLeast"/>
        </w:trPr>
        <w:tc>
          <w:tcPr>
            <w:tcW w:w="577" w:type="dxa"/>
            <w:vMerge w:val="restart"/>
            <w:tcBorders>
              <w:top w:val="nil"/>
              <w:left w:val="single" w:color="auto" w:sz="4" w:space="0"/>
              <w:right w:val="single" w:color="auto" w:sz="4" w:space="0"/>
            </w:tcBorders>
            <w:vAlign w:val="center"/>
          </w:tcPr>
          <w:p>
            <w:pPr>
              <w:snapToGrid w:val="0"/>
              <w:jc w:val="center"/>
              <w:rPr>
                <w:rFonts w:ascii="宋体" w:hAnsi="宋体" w:cs="宋体"/>
                <w:b/>
                <w:kern w:val="0"/>
                <w:sz w:val="18"/>
                <w:szCs w:val="18"/>
              </w:rPr>
            </w:pPr>
            <w:r>
              <w:rPr>
                <w:rFonts w:hint="eastAsia" w:ascii="宋体" w:hAnsi="宋体" w:cs="宋体"/>
                <w:b/>
                <w:kern w:val="0"/>
                <w:sz w:val="18"/>
                <w:szCs w:val="18"/>
              </w:rPr>
              <w:t>三</w:t>
            </w:r>
          </w:p>
        </w:tc>
        <w:tc>
          <w:tcPr>
            <w:tcW w:w="1137" w:type="dxa"/>
            <w:gridSpan w:val="2"/>
            <w:vMerge w:val="restart"/>
            <w:tcBorders>
              <w:top w:val="nil"/>
              <w:left w:val="single" w:color="auto" w:sz="4" w:space="0"/>
              <w:bottom w:val="single" w:color="auto" w:sz="4" w:space="0"/>
              <w:right w:val="single" w:color="auto" w:sz="4" w:space="0"/>
            </w:tcBorders>
            <w:vAlign w:val="center"/>
          </w:tcPr>
          <w:p>
            <w:pPr>
              <w:snapToGrid w:val="0"/>
              <w:jc w:val="center"/>
              <w:rPr>
                <w:rFonts w:ascii="宋体" w:hAnsi="宋体" w:cs="宋体"/>
                <w:b/>
                <w:kern w:val="0"/>
                <w:sz w:val="18"/>
                <w:szCs w:val="18"/>
              </w:rPr>
            </w:pPr>
            <w:r>
              <w:rPr>
                <w:rFonts w:hint="eastAsia" w:ascii="宋体" w:hAnsi="宋体" w:cs="宋体"/>
                <w:b/>
                <w:kern w:val="0"/>
                <w:sz w:val="18"/>
                <w:szCs w:val="18"/>
              </w:rPr>
              <w:t>勘察进度</w:t>
            </w:r>
          </w:p>
        </w:tc>
        <w:tc>
          <w:tcPr>
            <w:tcW w:w="709" w:type="dxa"/>
            <w:gridSpan w:val="2"/>
            <w:vMerge w:val="restart"/>
            <w:tcBorders>
              <w:top w:val="nil"/>
              <w:left w:val="single" w:color="auto" w:sz="4" w:space="0"/>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10</w:t>
            </w: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能够及时地按照合同要求完成勘察任务书布置的工作</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不能及时完成布置的工作,每发生一次扣5分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0" w:hRule="atLeast"/>
        </w:trPr>
        <w:tc>
          <w:tcPr>
            <w:tcW w:w="577" w:type="dxa"/>
            <w:vMerge w:val="continue"/>
            <w:tcBorders>
              <w:left w:val="single" w:color="auto" w:sz="4" w:space="0"/>
              <w:bottom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补充勘察能满足建设单位要求</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补充勘察不能满足要求,每发生一次扣5分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79" w:hRule="atLeast"/>
        </w:trPr>
        <w:tc>
          <w:tcPr>
            <w:tcW w:w="577" w:type="dxa"/>
            <w:vMerge w:val="restart"/>
            <w:tcBorders>
              <w:top w:val="single" w:color="auto" w:sz="4" w:space="0"/>
              <w:left w:val="single" w:color="auto" w:sz="4" w:space="0"/>
              <w:right w:val="single" w:color="auto" w:sz="4" w:space="0"/>
            </w:tcBorders>
            <w:vAlign w:val="center"/>
          </w:tcPr>
          <w:p>
            <w:pPr>
              <w:snapToGrid w:val="0"/>
              <w:jc w:val="center"/>
              <w:rPr>
                <w:rFonts w:ascii="宋体" w:hAnsi="宋体" w:cs="宋体"/>
                <w:b/>
                <w:kern w:val="0"/>
                <w:sz w:val="18"/>
                <w:szCs w:val="18"/>
              </w:rPr>
            </w:pPr>
            <w:r>
              <w:rPr>
                <w:rFonts w:hint="eastAsia" w:ascii="宋体" w:hAnsi="宋体" w:cs="宋体"/>
                <w:b/>
                <w:kern w:val="0"/>
                <w:sz w:val="18"/>
                <w:szCs w:val="18"/>
              </w:rPr>
              <w:t>四</w:t>
            </w:r>
          </w:p>
        </w:tc>
        <w:tc>
          <w:tcPr>
            <w:tcW w:w="1137"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b/>
                <w:kern w:val="0"/>
                <w:sz w:val="18"/>
                <w:szCs w:val="18"/>
              </w:rPr>
            </w:pPr>
            <w:r>
              <w:rPr>
                <w:rFonts w:hint="eastAsia" w:ascii="宋体" w:hAnsi="宋体" w:cs="宋体"/>
                <w:b/>
                <w:kern w:val="0"/>
                <w:sz w:val="18"/>
                <w:szCs w:val="18"/>
              </w:rPr>
              <w:t>工程计量</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4532" w:type="dxa"/>
            <w:gridSpan w:val="2"/>
            <w:tcBorders>
              <w:top w:val="single" w:color="auto" w:sz="4" w:space="0"/>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满足设计要求，进行合理钻探和测绘，提出经济合理建议</w:t>
            </w:r>
          </w:p>
        </w:tc>
        <w:tc>
          <w:tcPr>
            <w:tcW w:w="4669" w:type="dxa"/>
            <w:tcBorders>
              <w:top w:val="single" w:color="auto" w:sz="4" w:space="0"/>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1、不满足设计要求；</w:t>
            </w:r>
            <w:r>
              <w:rPr>
                <w:rFonts w:hint="eastAsia" w:ascii="宋体" w:hAnsi="宋体" w:cs="宋体"/>
                <w:kern w:val="0"/>
                <w:sz w:val="18"/>
                <w:szCs w:val="18"/>
              </w:rPr>
              <w:br w:type="textWrapping"/>
            </w:r>
            <w:r>
              <w:rPr>
                <w:rFonts w:hint="eastAsia" w:ascii="宋体" w:hAnsi="宋体" w:cs="宋体"/>
                <w:kern w:val="0"/>
                <w:sz w:val="18"/>
                <w:szCs w:val="18"/>
              </w:rPr>
              <w:t>2、或没进行合理钻探和测绘；</w:t>
            </w:r>
            <w:r>
              <w:rPr>
                <w:rFonts w:hint="eastAsia" w:ascii="宋体" w:hAnsi="宋体" w:cs="宋体"/>
                <w:kern w:val="0"/>
                <w:sz w:val="18"/>
                <w:szCs w:val="18"/>
              </w:rPr>
              <w:br w:type="textWrapping"/>
            </w:r>
            <w:r>
              <w:rPr>
                <w:rFonts w:hint="eastAsia" w:ascii="宋体" w:hAnsi="宋体" w:cs="宋体"/>
                <w:kern w:val="0"/>
                <w:sz w:val="18"/>
                <w:szCs w:val="18"/>
              </w:rPr>
              <w:t>3、或没提出经济合理建议。</w:t>
            </w:r>
            <w:r>
              <w:rPr>
                <w:rFonts w:hint="eastAsia" w:ascii="宋体" w:hAnsi="宋体" w:cs="宋体"/>
                <w:kern w:val="0"/>
                <w:sz w:val="18"/>
                <w:szCs w:val="18"/>
              </w:rPr>
              <w:br w:type="textWrapping"/>
            </w:r>
            <w:r>
              <w:rPr>
                <w:rFonts w:hint="eastAsia" w:ascii="宋体" w:hAnsi="宋体" w:cs="宋体"/>
                <w:kern w:val="0"/>
                <w:sz w:val="18"/>
                <w:szCs w:val="18"/>
              </w:rPr>
              <w:t>以上各项每发生一次扣2分</w:t>
            </w:r>
          </w:p>
        </w:tc>
        <w:tc>
          <w:tcPr>
            <w:tcW w:w="714" w:type="dxa"/>
            <w:tcBorders>
              <w:top w:val="single" w:color="auto" w:sz="4" w:space="0"/>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55" w:type="dxa"/>
            <w:tcBorders>
              <w:top w:val="single" w:color="auto" w:sz="4" w:space="0"/>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single" w:color="auto" w:sz="4" w:space="0"/>
              <w:left w:val="nil"/>
              <w:bottom w:val="single" w:color="auto" w:sz="4" w:space="0"/>
              <w:right w:val="single" w:color="auto" w:sz="4" w:space="0"/>
            </w:tcBorders>
            <w:vAlign w:val="center"/>
          </w:tcPr>
          <w:p>
            <w:pPr>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113" w:hRule="atLeast"/>
        </w:trPr>
        <w:tc>
          <w:tcPr>
            <w:tcW w:w="577" w:type="dxa"/>
            <w:vMerge w:val="continue"/>
            <w:tcBorders>
              <w:left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无错、漏、缺</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错、漏、缺每项每发生一次，每发生一次扣5分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287" w:hRule="atLeast"/>
        </w:trPr>
        <w:tc>
          <w:tcPr>
            <w:tcW w:w="577" w:type="dxa"/>
            <w:vMerge w:val="continue"/>
            <w:tcBorders>
              <w:left w:val="single" w:color="auto" w:sz="4" w:space="0"/>
              <w:bottom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不夸大工程量</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所报工程量超过审计局结果的5%及以上，每发生一次扣2分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392" w:hRule="atLeast"/>
        </w:trPr>
        <w:tc>
          <w:tcPr>
            <w:tcW w:w="577" w:type="dxa"/>
            <w:vMerge w:val="restart"/>
            <w:tcBorders>
              <w:top w:val="nil"/>
              <w:left w:val="single" w:color="auto" w:sz="4" w:space="0"/>
              <w:right w:val="single" w:color="auto" w:sz="4" w:space="0"/>
            </w:tcBorders>
            <w:vAlign w:val="center"/>
          </w:tcPr>
          <w:p>
            <w:pPr>
              <w:snapToGrid w:val="0"/>
              <w:jc w:val="center"/>
              <w:rPr>
                <w:rFonts w:ascii="宋体" w:hAnsi="宋体" w:cs="宋体"/>
                <w:b/>
                <w:kern w:val="0"/>
                <w:sz w:val="18"/>
                <w:szCs w:val="18"/>
              </w:rPr>
            </w:pPr>
            <w:r>
              <w:rPr>
                <w:rFonts w:hint="eastAsia" w:ascii="宋体" w:hAnsi="宋体" w:cs="宋体"/>
                <w:b/>
                <w:kern w:val="0"/>
                <w:sz w:val="18"/>
                <w:szCs w:val="18"/>
              </w:rPr>
              <w:t>五</w:t>
            </w:r>
          </w:p>
        </w:tc>
        <w:tc>
          <w:tcPr>
            <w:tcW w:w="1137" w:type="dxa"/>
            <w:gridSpan w:val="2"/>
            <w:vMerge w:val="restart"/>
            <w:tcBorders>
              <w:top w:val="nil"/>
              <w:left w:val="single" w:color="auto" w:sz="4" w:space="0"/>
              <w:bottom w:val="single" w:color="auto" w:sz="4" w:space="0"/>
              <w:right w:val="single" w:color="auto" w:sz="4" w:space="0"/>
            </w:tcBorders>
            <w:vAlign w:val="center"/>
          </w:tcPr>
          <w:p>
            <w:pPr>
              <w:snapToGrid w:val="0"/>
              <w:jc w:val="center"/>
              <w:rPr>
                <w:rFonts w:ascii="宋体" w:hAnsi="宋体" w:cs="宋体"/>
                <w:b/>
                <w:kern w:val="0"/>
                <w:sz w:val="18"/>
                <w:szCs w:val="18"/>
              </w:rPr>
            </w:pPr>
            <w:r>
              <w:rPr>
                <w:rFonts w:hint="eastAsia" w:ascii="宋体" w:hAnsi="宋体" w:cs="宋体"/>
                <w:b/>
                <w:kern w:val="0"/>
                <w:sz w:val="18"/>
                <w:szCs w:val="18"/>
              </w:rPr>
              <w:t>服务、配合</w:t>
            </w:r>
          </w:p>
        </w:tc>
        <w:tc>
          <w:tcPr>
            <w:tcW w:w="709" w:type="dxa"/>
            <w:gridSpan w:val="2"/>
            <w:vMerge w:val="restart"/>
            <w:tcBorders>
              <w:top w:val="nil"/>
              <w:left w:val="single" w:color="auto" w:sz="4" w:space="0"/>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20</w:t>
            </w: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方案阶段、初设阶段、施工图阶段：</w:t>
            </w:r>
            <w:r>
              <w:rPr>
                <w:rFonts w:hint="eastAsia" w:ascii="宋体" w:hAnsi="宋体" w:cs="宋体"/>
                <w:kern w:val="0"/>
                <w:sz w:val="18"/>
                <w:szCs w:val="18"/>
              </w:rPr>
              <w:br w:type="textWrapping"/>
            </w:r>
            <w:r>
              <w:rPr>
                <w:rFonts w:hint="eastAsia" w:ascii="宋体" w:hAnsi="宋体" w:cs="宋体"/>
                <w:kern w:val="0"/>
                <w:sz w:val="18"/>
                <w:szCs w:val="18"/>
              </w:rPr>
              <w:t>配合甲方、设计单位工作</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和甲方、设计单位的工作不配合，每发生一次扣2分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909" w:hRule="atLeast"/>
        </w:trPr>
        <w:tc>
          <w:tcPr>
            <w:tcW w:w="577" w:type="dxa"/>
            <w:vMerge w:val="continue"/>
            <w:tcBorders>
              <w:left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工程实施阶段：</w:t>
            </w:r>
            <w:r>
              <w:rPr>
                <w:rFonts w:hint="eastAsia" w:ascii="宋体" w:hAnsi="宋体" w:cs="宋体"/>
                <w:kern w:val="0"/>
                <w:sz w:val="18"/>
                <w:szCs w:val="18"/>
              </w:rPr>
              <w:br w:type="textWrapping"/>
            </w:r>
            <w:r>
              <w:rPr>
                <w:rFonts w:hint="eastAsia" w:ascii="宋体" w:hAnsi="宋体" w:cs="宋体"/>
                <w:kern w:val="0"/>
                <w:sz w:val="18"/>
                <w:szCs w:val="18"/>
              </w:rPr>
              <w:t>服从甲方安排，按时参加有关工程会议，协助甲方解决各种事务性问题</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1、不服从甲方安排；</w:t>
            </w:r>
            <w:r>
              <w:rPr>
                <w:rFonts w:hint="eastAsia" w:ascii="宋体" w:hAnsi="宋体" w:cs="宋体"/>
                <w:kern w:val="0"/>
                <w:sz w:val="18"/>
                <w:szCs w:val="18"/>
              </w:rPr>
              <w:br w:type="textWrapping"/>
            </w:r>
            <w:r>
              <w:rPr>
                <w:rFonts w:hint="eastAsia" w:ascii="宋体" w:hAnsi="宋体" w:cs="宋体"/>
                <w:kern w:val="0"/>
                <w:sz w:val="18"/>
                <w:szCs w:val="18"/>
              </w:rPr>
              <w:t>2、或不按时参加有关工程会议；</w:t>
            </w:r>
            <w:r>
              <w:rPr>
                <w:rFonts w:hint="eastAsia" w:ascii="宋体" w:hAnsi="宋体" w:cs="宋体"/>
                <w:kern w:val="0"/>
                <w:sz w:val="18"/>
                <w:szCs w:val="18"/>
              </w:rPr>
              <w:br w:type="textWrapping"/>
            </w:r>
            <w:r>
              <w:rPr>
                <w:rFonts w:hint="eastAsia" w:ascii="宋体" w:hAnsi="宋体" w:cs="宋体"/>
                <w:kern w:val="0"/>
                <w:sz w:val="18"/>
                <w:szCs w:val="18"/>
              </w:rPr>
              <w:t>3、或不积极主动的协助甲方解决各种事务性问题。以上各项每发生一次扣2分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243" w:hRule="atLeast"/>
        </w:trPr>
        <w:tc>
          <w:tcPr>
            <w:tcW w:w="577" w:type="dxa"/>
            <w:vMerge w:val="continue"/>
            <w:tcBorders>
              <w:left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工程实施阶段:</w:t>
            </w:r>
            <w:r>
              <w:rPr>
                <w:rFonts w:hint="eastAsia" w:ascii="宋体" w:hAnsi="宋体" w:cs="宋体"/>
                <w:kern w:val="0"/>
                <w:sz w:val="18"/>
                <w:szCs w:val="18"/>
              </w:rPr>
              <w:br w:type="textWrapping"/>
            </w:r>
            <w:r>
              <w:rPr>
                <w:rFonts w:hint="eastAsia" w:ascii="宋体" w:hAnsi="宋体" w:cs="宋体"/>
                <w:kern w:val="0"/>
                <w:sz w:val="18"/>
                <w:szCs w:val="18"/>
              </w:rPr>
              <w:t>主动指导现场施工、协调施工中相关问题</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现场施工的指导不主动，或不参与协调施工中相关问题，每发生一次扣1分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193" w:hRule="atLeast"/>
        </w:trPr>
        <w:tc>
          <w:tcPr>
            <w:tcW w:w="577" w:type="dxa"/>
            <w:vMerge w:val="continue"/>
            <w:tcBorders>
              <w:left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工程实施阶段：</w:t>
            </w:r>
            <w:r>
              <w:rPr>
                <w:rFonts w:hint="eastAsia" w:ascii="宋体" w:hAnsi="宋体" w:cs="宋体"/>
                <w:kern w:val="0"/>
                <w:sz w:val="18"/>
                <w:szCs w:val="18"/>
              </w:rPr>
              <w:br w:type="textWrapping"/>
            </w:r>
            <w:r>
              <w:rPr>
                <w:rFonts w:hint="eastAsia" w:ascii="宋体" w:hAnsi="宋体" w:cs="宋体"/>
                <w:kern w:val="0"/>
                <w:sz w:val="18"/>
                <w:szCs w:val="18"/>
              </w:rPr>
              <w:t>及时配合、处理工程变更等合同规定的其它工作</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配合、处理工程变更等合同规定的其它工作不及时，每发生一次扣2分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413" w:hRule="atLeast"/>
        </w:trPr>
        <w:tc>
          <w:tcPr>
            <w:tcW w:w="577" w:type="dxa"/>
            <w:vMerge w:val="continue"/>
            <w:tcBorders>
              <w:left w:val="single" w:color="auto" w:sz="4" w:space="0"/>
              <w:bottom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工程竣工验收阶段：</w:t>
            </w:r>
            <w:r>
              <w:rPr>
                <w:rFonts w:hint="eastAsia" w:ascii="宋体" w:hAnsi="宋体" w:cs="宋体"/>
                <w:kern w:val="0"/>
                <w:sz w:val="18"/>
                <w:szCs w:val="18"/>
              </w:rPr>
              <w:br w:type="textWrapping"/>
            </w:r>
            <w:r>
              <w:rPr>
                <w:rFonts w:hint="eastAsia" w:ascii="宋体" w:hAnsi="宋体" w:cs="宋体"/>
                <w:kern w:val="0"/>
                <w:sz w:val="18"/>
                <w:szCs w:val="18"/>
              </w:rPr>
              <w:t>提供业主满意的后期服务，积极配合各项目参与方的工作</w:t>
            </w:r>
          </w:p>
        </w:tc>
        <w:tc>
          <w:tcPr>
            <w:tcW w:w="4669"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对后期服务的提供不满意，或配合各项目参与方的工作不积极，每发生一次扣2分</w:t>
            </w: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　</w:t>
            </w:r>
          </w:p>
        </w:tc>
      </w:tr>
      <w:tr>
        <w:tblPrEx>
          <w:tblCellMar>
            <w:top w:w="0" w:type="dxa"/>
            <w:left w:w="108" w:type="dxa"/>
            <w:bottom w:w="0" w:type="dxa"/>
            <w:right w:w="108" w:type="dxa"/>
          </w:tblCellMar>
        </w:tblPrEx>
        <w:trPr>
          <w:trHeight w:val="675" w:hRule="atLeast"/>
        </w:trPr>
        <w:tc>
          <w:tcPr>
            <w:tcW w:w="577" w:type="dxa"/>
            <w:vMerge w:val="restart"/>
            <w:tcBorders>
              <w:top w:val="single" w:color="auto" w:sz="4" w:space="0"/>
              <w:left w:val="single" w:color="auto" w:sz="4" w:space="0"/>
              <w:right w:val="single" w:color="auto" w:sz="4" w:space="0"/>
            </w:tcBorders>
            <w:vAlign w:val="center"/>
          </w:tcPr>
          <w:p>
            <w:pPr>
              <w:snapToGrid w:val="0"/>
              <w:jc w:val="center"/>
              <w:rPr>
                <w:rFonts w:ascii="宋体" w:hAnsi="宋体" w:cs="宋体"/>
                <w:b/>
                <w:kern w:val="0"/>
                <w:sz w:val="18"/>
                <w:szCs w:val="18"/>
              </w:rPr>
            </w:pPr>
            <w:r>
              <w:rPr>
                <w:rFonts w:hint="eastAsia" w:ascii="宋体" w:hAnsi="宋体" w:cs="宋体"/>
                <w:b/>
                <w:kern w:val="0"/>
                <w:sz w:val="18"/>
                <w:szCs w:val="18"/>
              </w:rPr>
              <w:t>六</w:t>
            </w:r>
          </w:p>
        </w:tc>
        <w:tc>
          <w:tcPr>
            <w:tcW w:w="1137" w:type="dxa"/>
            <w:gridSpan w:val="2"/>
            <w:vMerge w:val="restart"/>
            <w:tcBorders>
              <w:top w:val="single" w:color="auto" w:sz="4" w:space="0"/>
              <w:left w:val="single" w:color="auto" w:sz="4" w:space="0"/>
              <w:right w:val="single" w:color="auto" w:sz="4" w:space="0"/>
            </w:tcBorders>
            <w:vAlign w:val="center"/>
          </w:tcPr>
          <w:p>
            <w:pPr>
              <w:snapToGrid w:val="0"/>
              <w:jc w:val="left"/>
              <w:rPr>
                <w:rFonts w:ascii="宋体" w:hAnsi="宋体" w:cs="宋体"/>
                <w:b/>
                <w:kern w:val="0"/>
                <w:sz w:val="18"/>
                <w:szCs w:val="18"/>
              </w:rPr>
            </w:pPr>
            <w:r>
              <w:rPr>
                <w:rFonts w:hint="eastAsia" w:ascii="宋体" w:hAnsi="宋体" w:cs="宋体"/>
                <w:b/>
                <w:kern w:val="0"/>
                <w:sz w:val="18"/>
                <w:szCs w:val="18"/>
              </w:rPr>
              <w:t>以往履约情况</w:t>
            </w:r>
          </w:p>
        </w:tc>
        <w:tc>
          <w:tcPr>
            <w:tcW w:w="709" w:type="dxa"/>
            <w:gridSpan w:val="2"/>
            <w:vMerge w:val="restart"/>
            <w:tcBorders>
              <w:top w:val="single" w:color="auto" w:sz="4" w:space="0"/>
              <w:left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4532" w:type="dxa"/>
            <w:gridSpan w:val="2"/>
            <w:tcBorders>
              <w:top w:val="single" w:color="auto" w:sz="4" w:space="0"/>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业主履约检查通知书和履约评价报告书反馈情况及整改情况</w:t>
            </w:r>
          </w:p>
        </w:tc>
        <w:tc>
          <w:tcPr>
            <w:tcW w:w="4669" w:type="dxa"/>
            <w:tcBorders>
              <w:top w:val="single" w:color="auto" w:sz="4" w:space="0"/>
              <w:left w:val="nil"/>
              <w:bottom w:val="single" w:color="auto" w:sz="4" w:space="0"/>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不及时反馈业主发出的履约检查通知书和履约评价报告书；</w:t>
            </w:r>
          </w:p>
          <w:p>
            <w:pPr>
              <w:snapToGrid w:val="0"/>
              <w:jc w:val="left"/>
              <w:rPr>
                <w:rFonts w:ascii="宋体" w:hAnsi="宋体" w:cs="宋体"/>
                <w:kern w:val="0"/>
                <w:sz w:val="18"/>
                <w:szCs w:val="18"/>
              </w:rPr>
            </w:pPr>
            <w:r>
              <w:rPr>
                <w:rFonts w:hint="eastAsia" w:ascii="宋体" w:hAnsi="宋体" w:cs="宋体"/>
                <w:kern w:val="0"/>
                <w:sz w:val="18"/>
                <w:szCs w:val="18"/>
              </w:rPr>
              <w:t>履约检查通知书提到的问题不积极主动进行整改；</w:t>
            </w:r>
          </w:p>
          <w:p>
            <w:pPr>
              <w:snapToGrid w:val="0"/>
              <w:jc w:val="left"/>
              <w:rPr>
                <w:rFonts w:ascii="宋体" w:hAnsi="宋体" w:cs="宋体"/>
                <w:kern w:val="0"/>
                <w:sz w:val="18"/>
                <w:szCs w:val="18"/>
              </w:rPr>
            </w:pPr>
            <w:r>
              <w:rPr>
                <w:rFonts w:hint="eastAsia" w:ascii="宋体" w:hAnsi="宋体" w:cs="宋体"/>
                <w:kern w:val="0"/>
                <w:sz w:val="18"/>
                <w:szCs w:val="18"/>
              </w:rPr>
              <w:t>以上情况每发生一次扣2.5分</w:t>
            </w:r>
          </w:p>
        </w:tc>
        <w:tc>
          <w:tcPr>
            <w:tcW w:w="714" w:type="dxa"/>
            <w:tcBorders>
              <w:top w:val="single" w:color="auto" w:sz="4" w:space="0"/>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855" w:type="dxa"/>
            <w:tcBorders>
              <w:top w:val="single" w:color="auto" w:sz="4" w:space="0"/>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single" w:color="auto" w:sz="4" w:space="0"/>
              <w:left w:val="nil"/>
              <w:bottom w:val="single" w:color="auto" w:sz="4" w:space="0"/>
              <w:right w:val="single" w:color="auto" w:sz="4" w:space="0"/>
            </w:tcBorders>
            <w:vAlign w:val="center"/>
          </w:tcPr>
          <w:p>
            <w:pPr>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560" w:hRule="atLeast"/>
        </w:trPr>
        <w:tc>
          <w:tcPr>
            <w:tcW w:w="577" w:type="dxa"/>
            <w:vMerge w:val="continue"/>
            <w:tcBorders>
              <w:left w:val="single" w:color="auto" w:sz="4" w:space="0"/>
              <w:bottom w:val="nil"/>
              <w:right w:val="single" w:color="auto" w:sz="4" w:space="0"/>
            </w:tcBorders>
            <w:vAlign w:val="center"/>
          </w:tcPr>
          <w:p>
            <w:pPr>
              <w:snapToGrid w:val="0"/>
              <w:jc w:val="center"/>
              <w:rPr>
                <w:rFonts w:ascii="宋体" w:hAnsi="宋体" w:cs="宋体"/>
                <w:b/>
                <w:kern w:val="0"/>
                <w:sz w:val="18"/>
                <w:szCs w:val="18"/>
              </w:rPr>
            </w:pPr>
          </w:p>
        </w:tc>
        <w:tc>
          <w:tcPr>
            <w:tcW w:w="1137" w:type="dxa"/>
            <w:gridSpan w:val="2"/>
            <w:vMerge w:val="continue"/>
            <w:tcBorders>
              <w:left w:val="single" w:color="auto" w:sz="4" w:space="0"/>
              <w:bottom w:val="nil"/>
              <w:right w:val="single" w:color="auto" w:sz="4" w:space="0"/>
            </w:tcBorders>
            <w:vAlign w:val="center"/>
          </w:tcPr>
          <w:p>
            <w:pPr>
              <w:snapToGrid w:val="0"/>
              <w:jc w:val="left"/>
              <w:rPr>
                <w:rFonts w:ascii="宋体" w:hAnsi="宋体" w:cs="宋体"/>
                <w:b/>
                <w:kern w:val="0"/>
                <w:sz w:val="18"/>
                <w:szCs w:val="18"/>
              </w:rPr>
            </w:pPr>
          </w:p>
        </w:tc>
        <w:tc>
          <w:tcPr>
            <w:tcW w:w="709" w:type="dxa"/>
            <w:gridSpan w:val="2"/>
            <w:vMerge w:val="continue"/>
            <w:tcBorders>
              <w:left w:val="single" w:color="auto" w:sz="4" w:space="0"/>
              <w:bottom w:val="nil"/>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vMerge w:val="restart"/>
            <w:tcBorders>
              <w:top w:val="single" w:color="auto" w:sz="4" w:space="0"/>
              <w:left w:val="nil"/>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上一期履约评价情况</w:t>
            </w:r>
          </w:p>
        </w:tc>
        <w:tc>
          <w:tcPr>
            <w:tcW w:w="4669" w:type="dxa"/>
            <w:vMerge w:val="restart"/>
            <w:tcBorders>
              <w:top w:val="single" w:color="auto" w:sz="4" w:space="0"/>
              <w:left w:val="nil"/>
              <w:right w:val="single" w:color="auto" w:sz="4" w:space="0"/>
            </w:tcBorders>
            <w:vAlign w:val="center"/>
          </w:tcPr>
          <w:p>
            <w:pPr>
              <w:snapToGrid w:val="0"/>
              <w:jc w:val="left"/>
              <w:rPr>
                <w:rFonts w:ascii="宋体" w:hAnsi="宋体" w:cs="宋体"/>
                <w:kern w:val="0"/>
                <w:sz w:val="18"/>
                <w:szCs w:val="18"/>
              </w:rPr>
            </w:pPr>
            <w:r>
              <w:rPr>
                <w:rFonts w:hint="eastAsia" w:ascii="宋体" w:hAnsi="宋体" w:cs="宋体"/>
                <w:kern w:val="0"/>
                <w:sz w:val="18"/>
                <w:szCs w:val="18"/>
              </w:rPr>
              <w:t>上一期履约评价为良好的，得2分；上一期履约评价为合格的或未评价过的，得1分；上一期履约不合格的得0分</w:t>
            </w:r>
          </w:p>
        </w:tc>
        <w:tc>
          <w:tcPr>
            <w:tcW w:w="714" w:type="dxa"/>
            <w:vMerge w:val="restart"/>
            <w:tcBorders>
              <w:top w:val="single" w:color="auto" w:sz="4" w:space="0"/>
              <w:left w:val="nil"/>
              <w:right w:val="single" w:color="auto" w:sz="4" w:space="0"/>
            </w:tcBorders>
            <w:vAlign w:val="center"/>
          </w:tcPr>
          <w:p>
            <w:pPr>
              <w:snapToGrid w:val="0"/>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855" w:type="dxa"/>
            <w:vMerge w:val="restart"/>
            <w:tcBorders>
              <w:top w:val="single" w:color="auto" w:sz="4" w:space="0"/>
              <w:left w:val="nil"/>
              <w:right w:val="single" w:color="auto" w:sz="4" w:space="0"/>
            </w:tcBorders>
            <w:vAlign w:val="center"/>
          </w:tcPr>
          <w:p>
            <w:pPr>
              <w:snapToGrid w:val="0"/>
              <w:jc w:val="left"/>
              <w:rPr>
                <w:rFonts w:ascii="宋体" w:hAnsi="宋体" w:cs="宋体"/>
                <w:kern w:val="0"/>
                <w:sz w:val="18"/>
                <w:szCs w:val="18"/>
              </w:rPr>
            </w:pPr>
          </w:p>
        </w:tc>
        <w:tc>
          <w:tcPr>
            <w:tcW w:w="856" w:type="dxa"/>
            <w:vMerge w:val="restart"/>
            <w:tcBorders>
              <w:top w:val="single" w:color="auto" w:sz="4" w:space="0"/>
              <w:left w:val="nil"/>
              <w:right w:val="single" w:color="auto" w:sz="4" w:space="0"/>
            </w:tcBorders>
            <w:vAlign w:val="center"/>
          </w:tcPr>
          <w:p>
            <w:pPr>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80" w:hRule="atLeast"/>
        </w:trPr>
        <w:tc>
          <w:tcPr>
            <w:tcW w:w="577" w:type="dxa"/>
            <w:tcBorders>
              <w:top w:val="nil"/>
              <w:left w:val="single" w:color="auto" w:sz="4" w:space="0"/>
              <w:bottom w:val="single" w:color="auto" w:sz="4" w:space="0"/>
              <w:right w:val="single" w:color="auto" w:sz="4" w:space="0"/>
            </w:tcBorders>
            <w:vAlign w:val="center"/>
          </w:tcPr>
          <w:p>
            <w:pPr>
              <w:snapToGrid w:val="0"/>
              <w:jc w:val="center"/>
              <w:rPr>
                <w:rFonts w:ascii="宋体" w:hAnsi="宋体" w:cs="宋体"/>
                <w:b/>
                <w:kern w:val="0"/>
                <w:sz w:val="18"/>
                <w:szCs w:val="18"/>
              </w:rPr>
            </w:pPr>
          </w:p>
        </w:tc>
        <w:tc>
          <w:tcPr>
            <w:tcW w:w="1137" w:type="dxa"/>
            <w:gridSpan w:val="2"/>
            <w:tcBorders>
              <w:top w:val="nil"/>
              <w:left w:val="single" w:color="auto" w:sz="4" w:space="0"/>
              <w:bottom w:val="single" w:color="auto" w:sz="4" w:space="0"/>
              <w:right w:val="single" w:color="auto" w:sz="4" w:space="0"/>
            </w:tcBorders>
            <w:vAlign w:val="center"/>
          </w:tcPr>
          <w:p>
            <w:pPr>
              <w:snapToGrid w:val="0"/>
              <w:jc w:val="left"/>
              <w:rPr>
                <w:rFonts w:ascii="宋体" w:hAnsi="宋体" w:cs="宋体"/>
                <w:b/>
                <w:kern w:val="0"/>
                <w:sz w:val="18"/>
                <w:szCs w:val="18"/>
              </w:rPr>
            </w:pPr>
          </w:p>
        </w:tc>
        <w:tc>
          <w:tcPr>
            <w:tcW w:w="709" w:type="dxa"/>
            <w:gridSpan w:val="2"/>
            <w:tcBorders>
              <w:top w:val="nil"/>
              <w:left w:val="single" w:color="auto" w:sz="4" w:space="0"/>
              <w:bottom w:val="single" w:color="auto" w:sz="4" w:space="0"/>
              <w:right w:val="single" w:color="auto" w:sz="4" w:space="0"/>
            </w:tcBorders>
            <w:vAlign w:val="center"/>
          </w:tcPr>
          <w:p>
            <w:pPr>
              <w:snapToGrid w:val="0"/>
              <w:jc w:val="left"/>
              <w:rPr>
                <w:rFonts w:ascii="仿宋_GB2312" w:hAnsi="宋体" w:eastAsia="仿宋_GB2312" w:cs="宋体"/>
                <w:kern w:val="0"/>
                <w:sz w:val="18"/>
                <w:szCs w:val="18"/>
              </w:rPr>
            </w:pPr>
          </w:p>
        </w:tc>
        <w:tc>
          <w:tcPr>
            <w:tcW w:w="4532" w:type="dxa"/>
            <w:gridSpan w:val="2"/>
            <w:vMerge w:val="continue"/>
            <w:tcBorders>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4669" w:type="dxa"/>
            <w:vMerge w:val="continue"/>
            <w:tcBorders>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714" w:type="dxa"/>
            <w:vMerge w:val="continue"/>
            <w:tcBorders>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p>
        </w:tc>
        <w:tc>
          <w:tcPr>
            <w:tcW w:w="855" w:type="dxa"/>
            <w:vMerge w:val="continue"/>
            <w:tcBorders>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vMerge w:val="continue"/>
            <w:tcBorders>
              <w:left w:val="nil"/>
              <w:bottom w:val="single" w:color="auto" w:sz="4" w:space="0"/>
              <w:right w:val="single" w:color="auto" w:sz="4" w:space="0"/>
            </w:tcBorders>
            <w:vAlign w:val="center"/>
          </w:tcPr>
          <w:p>
            <w:pPr>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465" w:hRule="atLeast"/>
        </w:trPr>
        <w:tc>
          <w:tcPr>
            <w:tcW w:w="577"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b/>
                <w:kern w:val="0"/>
                <w:sz w:val="18"/>
                <w:szCs w:val="18"/>
              </w:rPr>
            </w:pPr>
            <w:r>
              <w:rPr>
                <w:rFonts w:hint="eastAsia" w:ascii="宋体" w:hAnsi="宋体" w:cs="宋体"/>
                <w:b/>
                <w:kern w:val="0"/>
                <w:sz w:val="18"/>
                <w:szCs w:val="18"/>
              </w:rPr>
              <w:t>七</w:t>
            </w:r>
          </w:p>
        </w:tc>
        <w:tc>
          <w:tcPr>
            <w:tcW w:w="1137"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b/>
                <w:kern w:val="0"/>
                <w:sz w:val="18"/>
                <w:szCs w:val="18"/>
              </w:rPr>
            </w:pPr>
            <w:r>
              <w:rPr>
                <w:rFonts w:hint="eastAsia" w:ascii="宋体" w:hAnsi="宋体" w:cs="宋体"/>
                <w:b/>
                <w:kern w:val="0"/>
                <w:sz w:val="18"/>
                <w:szCs w:val="18"/>
              </w:rPr>
              <w:t>直接判定为“不合格”的情形</w:t>
            </w:r>
          </w:p>
        </w:tc>
        <w:tc>
          <w:tcPr>
            <w:tcW w:w="709"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kern w:val="0"/>
                <w:sz w:val="18"/>
                <w:szCs w:val="18"/>
              </w:rPr>
            </w:pPr>
          </w:p>
        </w:tc>
        <w:tc>
          <w:tcPr>
            <w:tcW w:w="4532" w:type="dxa"/>
            <w:gridSpan w:val="2"/>
            <w:tcBorders>
              <w:top w:val="single" w:color="auto" w:sz="4" w:space="0"/>
              <w:left w:val="single" w:color="auto" w:sz="4" w:space="0"/>
              <w:bottom w:val="single" w:color="auto" w:sz="4" w:space="0"/>
              <w:right w:val="single" w:color="auto" w:sz="4" w:space="0"/>
            </w:tcBorders>
            <w:vAlign w:val="center"/>
          </w:tcPr>
          <w:p>
            <w:pPr>
              <w:snapToGrid w:val="0"/>
              <w:rPr>
                <w:rFonts w:ascii="宋体" w:hAnsi="宋体" w:cs="宋体"/>
                <w:kern w:val="0"/>
                <w:sz w:val="18"/>
                <w:szCs w:val="18"/>
              </w:rPr>
            </w:pPr>
            <w:r>
              <w:rPr>
                <w:rFonts w:hint="eastAsia" w:ascii="宋体" w:hAnsi="宋体" w:cs="宋体"/>
                <w:kern w:val="0"/>
                <w:sz w:val="18"/>
                <w:szCs w:val="18"/>
              </w:rPr>
              <w:t>1、因勘察市场主体自身原因造成施工期间变更增加造价超过施工承包合同价的10%；</w:t>
            </w:r>
          </w:p>
          <w:p>
            <w:pPr>
              <w:snapToGrid w:val="0"/>
              <w:rPr>
                <w:rFonts w:ascii="宋体" w:hAnsi="宋体" w:cs="宋体"/>
                <w:kern w:val="0"/>
                <w:sz w:val="18"/>
                <w:szCs w:val="18"/>
              </w:rPr>
            </w:pPr>
            <w:r>
              <w:rPr>
                <w:rFonts w:hint="eastAsia" w:ascii="宋体" w:hAnsi="宋体" w:cs="宋体"/>
                <w:kern w:val="0"/>
                <w:sz w:val="18"/>
                <w:szCs w:val="18"/>
              </w:rPr>
              <w:t>2、在合同履行中受到建设行政主管部门行政处罚的。</w:t>
            </w:r>
          </w:p>
        </w:tc>
        <w:tc>
          <w:tcPr>
            <w:tcW w:w="466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kern w:val="0"/>
                <w:sz w:val="18"/>
                <w:szCs w:val="18"/>
              </w:rPr>
            </w:pPr>
          </w:p>
        </w:tc>
        <w:tc>
          <w:tcPr>
            <w:tcW w:w="714" w:type="dxa"/>
            <w:tcBorders>
              <w:top w:val="nil"/>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p>
        </w:tc>
        <w:tc>
          <w:tcPr>
            <w:tcW w:w="855"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nil"/>
              <w:left w:val="nil"/>
              <w:bottom w:val="single" w:color="auto" w:sz="4" w:space="0"/>
              <w:right w:val="single" w:color="auto" w:sz="4" w:space="0"/>
            </w:tcBorders>
            <w:vAlign w:val="center"/>
          </w:tcPr>
          <w:p>
            <w:pPr>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240" w:hRule="atLeast"/>
        </w:trPr>
        <w:tc>
          <w:tcPr>
            <w:tcW w:w="11624" w:type="dxa"/>
            <w:gridSpan w:val="8"/>
            <w:tcBorders>
              <w:top w:val="single" w:color="auto" w:sz="4" w:space="0"/>
              <w:left w:val="single" w:color="auto" w:sz="4" w:space="0"/>
              <w:bottom w:val="single" w:color="auto" w:sz="4" w:space="0"/>
              <w:right w:val="single" w:color="auto" w:sz="4" w:space="0"/>
            </w:tcBorders>
            <w:vAlign w:val="center"/>
          </w:tcPr>
          <w:p>
            <w:pPr>
              <w:snapToGrid w:val="0"/>
              <w:jc w:val="center"/>
              <w:rPr>
                <w:rFonts w:ascii="宋体" w:hAnsi="宋体" w:cs="宋体"/>
                <w:kern w:val="0"/>
                <w:sz w:val="18"/>
                <w:szCs w:val="18"/>
              </w:rPr>
            </w:pPr>
            <w:r>
              <w:rPr>
                <w:rFonts w:hint="eastAsia" w:ascii="宋体" w:hAnsi="宋体" w:cs="宋体"/>
                <w:kern w:val="0"/>
                <w:sz w:val="18"/>
                <w:szCs w:val="18"/>
              </w:rPr>
              <w:t>合  计</w:t>
            </w:r>
          </w:p>
        </w:tc>
        <w:tc>
          <w:tcPr>
            <w:tcW w:w="714" w:type="dxa"/>
            <w:tcBorders>
              <w:top w:val="single" w:color="auto" w:sz="4" w:space="0"/>
              <w:left w:val="nil"/>
              <w:bottom w:val="single" w:color="auto" w:sz="4" w:space="0"/>
              <w:right w:val="single" w:color="auto" w:sz="4" w:space="0"/>
            </w:tcBorders>
            <w:vAlign w:val="center"/>
          </w:tcPr>
          <w:p>
            <w:pPr>
              <w:snapToGrid w:val="0"/>
              <w:jc w:val="center"/>
              <w:rPr>
                <w:rFonts w:ascii="仿宋_GB2312" w:hAnsi="宋体" w:eastAsia="仿宋_GB2312" w:cs="宋体"/>
                <w:kern w:val="0"/>
                <w:sz w:val="18"/>
                <w:szCs w:val="18"/>
              </w:rPr>
            </w:pPr>
          </w:p>
        </w:tc>
        <w:tc>
          <w:tcPr>
            <w:tcW w:w="855" w:type="dxa"/>
            <w:tcBorders>
              <w:top w:val="single" w:color="auto" w:sz="4" w:space="0"/>
              <w:left w:val="nil"/>
              <w:bottom w:val="single" w:color="auto" w:sz="4" w:space="0"/>
              <w:right w:val="single" w:color="auto" w:sz="4" w:space="0"/>
            </w:tcBorders>
            <w:vAlign w:val="center"/>
          </w:tcPr>
          <w:p>
            <w:pPr>
              <w:snapToGrid w:val="0"/>
              <w:jc w:val="left"/>
              <w:rPr>
                <w:rFonts w:ascii="宋体" w:hAnsi="宋体" w:cs="宋体"/>
                <w:kern w:val="0"/>
                <w:sz w:val="18"/>
                <w:szCs w:val="18"/>
              </w:rPr>
            </w:pPr>
          </w:p>
        </w:tc>
        <w:tc>
          <w:tcPr>
            <w:tcW w:w="856" w:type="dxa"/>
            <w:tcBorders>
              <w:top w:val="single" w:color="auto" w:sz="4" w:space="0"/>
              <w:left w:val="nil"/>
              <w:bottom w:val="single" w:color="auto" w:sz="4" w:space="0"/>
              <w:right w:val="single" w:color="auto" w:sz="4" w:space="0"/>
            </w:tcBorders>
            <w:vAlign w:val="center"/>
          </w:tcPr>
          <w:p>
            <w:pPr>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617" w:hRule="atLeast"/>
        </w:trPr>
        <w:tc>
          <w:tcPr>
            <w:tcW w:w="14049" w:type="dxa"/>
            <w:gridSpan w:val="11"/>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 w:val="18"/>
                <w:szCs w:val="18"/>
              </w:rPr>
            </w:pPr>
            <w:r>
              <w:rPr>
                <w:rFonts w:hint="eastAsia" w:ascii="宋体" w:hAnsi="宋体" w:cs="宋体"/>
                <w:b/>
                <w:kern w:val="0"/>
                <w:sz w:val="18"/>
                <w:szCs w:val="18"/>
              </w:rPr>
              <w:t>注：</w:t>
            </w:r>
            <w:r>
              <w:rPr>
                <w:rFonts w:hint="eastAsia" w:ascii="宋体" w:hAnsi="宋体" w:cs="宋体"/>
                <w:kern w:val="0"/>
                <w:sz w:val="18"/>
                <w:szCs w:val="18"/>
              </w:rPr>
              <w:t>1、</w:t>
            </w:r>
            <w:r>
              <w:rPr>
                <w:rFonts w:hint="eastAsia" w:ascii="宋体" w:hAnsi="宋体"/>
                <w:sz w:val="18"/>
                <w:szCs w:val="18"/>
              </w:rPr>
              <w:t>工程建设单位可结合其工程特点和具体要求，增加和量化具体评分指标，制定评分表，并按百分制将分项分值以百分比折算后进行调整。</w:t>
            </w:r>
          </w:p>
          <w:p>
            <w:pPr>
              <w:snapToGrid w:val="0"/>
              <w:ind w:firstLine="360" w:firstLineChars="200"/>
              <w:jc w:val="left"/>
              <w:rPr>
                <w:rFonts w:ascii="宋体" w:hAnsi="宋体" w:cs="宋体"/>
                <w:kern w:val="0"/>
                <w:sz w:val="18"/>
                <w:szCs w:val="18"/>
              </w:rPr>
            </w:pPr>
            <w:r>
              <w:rPr>
                <w:rFonts w:hint="eastAsia" w:ascii="宋体" w:hAnsi="宋体" w:cs="宋体"/>
                <w:kern w:val="0"/>
                <w:sz w:val="18"/>
                <w:szCs w:val="18"/>
              </w:rPr>
              <w:t>2、</w:t>
            </w:r>
            <w:r>
              <w:rPr>
                <w:rFonts w:hint="eastAsia" w:ascii="宋体" w:hAnsi="宋体"/>
                <w:sz w:val="18"/>
                <w:szCs w:val="18"/>
              </w:rPr>
              <w:t>规定的评分指标中，招标文件</w:t>
            </w:r>
            <w:r>
              <w:rPr>
                <w:rFonts w:hint="eastAsia" w:ascii="宋体" w:hAnsi="宋体" w:cs="宋体"/>
                <w:kern w:val="0"/>
                <w:sz w:val="18"/>
                <w:szCs w:val="18"/>
              </w:rPr>
              <w:t>或合同</w:t>
            </w:r>
            <w:r>
              <w:rPr>
                <w:rFonts w:hint="eastAsia" w:ascii="宋体" w:hAnsi="宋体"/>
                <w:sz w:val="18"/>
                <w:szCs w:val="18"/>
              </w:rPr>
              <w:t>无委托实施的内容，不计入评分，其分值按百分比折算后计入其他指标中或对总得分按百分比进行折算。</w:t>
            </w:r>
          </w:p>
        </w:tc>
      </w:tr>
    </w:tbl>
    <w:p/>
    <w:p>
      <w:pPr>
        <w:widowControl/>
        <w:jc w:val="left"/>
        <w:rPr>
          <w:rFonts w:ascii="仿宋" w:hAnsi="仿宋" w:eastAsia="仿宋"/>
          <w:sz w:val="32"/>
          <w:szCs w:val="32"/>
        </w:rPr>
        <w:sectPr>
          <w:pgSz w:w="16838" w:h="11906" w:orient="landscape"/>
          <w:pgMar w:top="1800" w:right="1440" w:bottom="1800" w:left="1440" w:header="851" w:footer="992" w:gutter="0"/>
          <w:cols w:space="425" w:num="1"/>
          <w:docGrid w:type="lines" w:linePitch="312" w:charSpace="0"/>
        </w:sectPr>
      </w:pPr>
    </w:p>
    <w:p>
      <w:pPr>
        <w:jc w:val="center"/>
        <w:rPr>
          <w:rFonts w:ascii="黑体" w:eastAsia="黑体"/>
          <w:sz w:val="32"/>
          <w:szCs w:val="32"/>
        </w:rPr>
      </w:pPr>
      <w:r>
        <w:rPr>
          <w:rFonts w:hint="eastAsia" w:ascii="黑体" w:eastAsia="黑体"/>
          <w:sz w:val="32"/>
          <w:szCs w:val="32"/>
        </w:rPr>
        <w:t>罗湖区建设工程市场主体履约评价表（招标代理）</w:t>
      </w:r>
    </w:p>
    <w:tbl>
      <w:tblPr>
        <w:tblStyle w:val="9"/>
        <w:tblpPr w:leftFromText="180" w:rightFromText="180" w:vertAnchor="text" w:horzAnchor="margin" w:tblpX="-176" w:tblpY="314"/>
        <w:tblW w:w="94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4"/>
        <w:gridCol w:w="2715"/>
        <w:gridCol w:w="1418"/>
        <w:gridCol w:w="3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9" w:hRule="atLeast"/>
        </w:trPr>
        <w:tc>
          <w:tcPr>
            <w:tcW w:w="1504" w:type="dxa"/>
            <w:vAlign w:val="center"/>
          </w:tcPr>
          <w:p>
            <w:pPr>
              <w:jc w:val="center"/>
              <w:rPr>
                <w:rFonts w:ascii="宋体" w:hAnsi="宋体"/>
                <w:b/>
                <w:sz w:val="18"/>
                <w:szCs w:val="18"/>
              </w:rPr>
            </w:pPr>
            <w:r>
              <w:rPr>
                <w:rFonts w:hint="eastAsia" w:ascii="宋体" w:hAnsi="宋体"/>
                <w:sz w:val="18"/>
                <w:szCs w:val="18"/>
              </w:rPr>
              <w:t>工程名称</w:t>
            </w:r>
          </w:p>
        </w:tc>
        <w:tc>
          <w:tcPr>
            <w:tcW w:w="2715" w:type="dxa"/>
            <w:vAlign w:val="center"/>
          </w:tcPr>
          <w:p>
            <w:pPr>
              <w:rPr>
                <w:rFonts w:ascii="宋体" w:hAnsi="宋体"/>
                <w:b/>
                <w:sz w:val="18"/>
                <w:szCs w:val="18"/>
              </w:rPr>
            </w:pPr>
          </w:p>
        </w:tc>
        <w:tc>
          <w:tcPr>
            <w:tcW w:w="1418" w:type="dxa"/>
            <w:tcBorders>
              <w:top w:val="nil"/>
            </w:tcBorders>
            <w:vAlign w:val="center"/>
          </w:tcPr>
          <w:p>
            <w:pPr>
              <w:jc w:val="center"/>
              <w:rPr>
                <w:rFonts w:ascii="宋体" w:hAnsi="宋体"/>
                <w:b/>
                <w:sz w:val="18"/>
                <w:szCs w:val="18"/>
              </w:rPr>
            </w:pPr>
            <w:r>
              <w:rPr>
                <w:rFonts w:hint="eastAsia" w:ascii="宋体" w:hAnsi="宋体"/>
                <w:sz w:val="18"/>
                <w:szCs w:val="18"/>
              </w:rPr>
              <w:t>承 包 商</w:t>
            </w:r>
          </w:p>
        </w:tc>
        <w:tc>
          <w:tcPr>
            <w:tcW w:w="3861" w:type="dxa"/>
            <w:tcBorders>
              <w:top w:val="nil"/>
            </w:tcBorders>
            <w:vAlign w:val="center"/>
          </w:tcPr>
          <w:p>
            <w:pPr>
              <w:rPr>
                <w:rFonts w:ascii="宋体" w:hAnsi="宋体"/>
                <w:b/>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04" w:type="dxa"/>
            <w:vAlign w:val="center"/>
          </w:tcPr>
          <w:p>
            <w:pPr>
              <w:jc w:val="center"/>
              <w:rPr>
                <w:rFonts w:ascii="宋体" w:hAnsi="宋体"/>
                <w:b/>
                <w:sz w:val="18"/>
                <w:szCs w:val="18"/>
              </w:rPr>
            </w:pPr>
            <w:r>
              <w:rPr>
                <w:rFonts w:hint="eastAsia" w:ascii="宋体" w:hAnsi="宋体"/>
                <w:sz w:val="18"/>
                <w:szCs w:val="18"/>
              </w:rPr>
              <w:t>总 得 分</w:t>
            </w:r>
          </w:p>
        </w:tc>
        <w:tc>
          <w:tcPr>
            <w:tcW w:w="2715" w:type="dxa"/>
            <w:vAlign w:val="center"/>
          </w:tcPr>
          <w:p>
            <w:pPr>
              <w:rPr>
                <w:rFonts w:ascii="宋体" w:hAnsi="宋体"/>
                <w:b/>
                <w:sz w:val="18"/>
                <w:szCs w:val="18"/>
              </w:rPr>
            </w:pPr>
          </w:p>
        </w:tc>
        <w:tc>
          <w:tcPr>
            <w:tcW w:w="1418" w:type="dxa"/>
            <w:vAlign w:val="center"/>
          </w:tcPr>
          <w:p>
            <w:pPr>
              <w:jc w:val="center"/>
              <w:rPr>
                <w:rFonts w:ascii="宋体" w:hAnsi="宋体"/>
                <w:b/>
                <w:sz w:val="18"/>
                <w:szCs w:val="18"/>
              </w:rPr>
            </w:pPr>
            <w:r>
              <w:rPr>
                <w:rFonts w:hint="eastAsia" w:ascii="宋体" w:hAnsi="宋体"/>
                <w:sz w:val="18"/>
                <w:szCs w:val="18"/>
              </w:rPr>
              <w:t>评价等级</w:t>
            </w:r>
          </w:p>
        </w:tc>
        <w:tc>
          <w:tcPr>
            <w:tcW w:w="3861" w:type="dxa"/>
            <w:vAlign w:val="center"/>
          </w:tcPr>
          <w:p>
            <w:pPr>
              <w:jc w:val="center"/>
              <w:rPr>
                <w:rFonts w:ascii="宋体" w:hAnsi="宋体"/>
                <w:sz w:val="18"/>
                <w:szCs w:val="18"/>
              </w:rPr>
            </w:pPr>
            <w:r>
              <w:rPr>
                <w:rFonts w:hint="eastAsia" w:ascii="宋体" w:hAnsi="宋体"/>
                <w:sz w:val="18"/>
                <w:szCs w:val="18"/>
              </w:rPr>
              <w:t>□优  □良 □中  □合格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504" w:type="dxa"/>
            <w:vAlign w:val="center"/>
          </w:tcPr>
          <w:p>
            <w:pPr>
              <w:jc w:val="center"/>
              <w:rPr>
                <w:rFonts w:ascii="宋体" w:hAnsi="宋体"/>
                <w:b/>
                <w:sz w:val="18"/>
                <w:szCs w:val="18"/>
              </w:rPr>
            </w:pPr>
            <w:r>
              <w:rPr>
                <w:rFonts w:hint="eastAsia"/>
                <w:sz w:val="18"/>
                <w:szCs w:val="18"/>
              </w:rPr>
              <w:t>建设单位</w:t>
            </w:r>
          </w:p>
        </w:tc>
        <w:tc>
          <w:tcPr>
            <w:tcW w:w="2715" w:type="dxa"/>
            <w:vAlign w:val="center"/>
          </w:tcPr>
          <w:p>
            <w:pPr>
              <w:rPr>
                <w:rFonts w:ascii="宋体" w:hAnsi="宋体"/>
                <w:b/>
                <w:sz w:val="18"/>
                <w:szCs w:val="18"/>
              </w:rPr>
            </w:pPr>
          </w:p>
        </w:tc>
        <w:tc>
          <w:tcPr>
            <w:tcW w:w="1418" w:type="dxa"/>
            <w:vAlign w:val="center"/>
          </w:tcPr>
          <w:p>
            <w:pPr>
              <w:jc w:val="center"/>
              <w:rPr>
                <w:rFonts w:ascii="宋体" w:hAnsi="宋体"/>
                <w:b/>
                <w:sz w:val="18"/>
                <w:szCs w:val="18"/>
              </w:rPr>
            </w:pPr>
            <w:r>
              <w:rPr>
                <w:rFonts w:hint="eastAsia" w:ascii="宋体" w:hAnsi="宋体"/>
                <w:sz w:val="18"/>
                <w:szCs w:val="18"/>
              </w:rPr>
              <w:t>评价时间</w:t>
            </w:r>
          </w:p>
        </w:tc>
        <w:tc>
          <w:tcPr>
            <w:tcW w:w="3861" w:type="dxa"/>
            <w:vAlign w:val="center"/>
          </w:tcPr>
          <w:p>
            <w:pPr>
              <w:jc w:val="right"/>
              <w:rPr>
                <w:rFonts w:ascii="宋体" w:hAnsi="宋体"/>
                <w:b/>
                <w:sz w:val="18"/>
                <w:szCs w:val="18"/>
              </w:rPr>
            </w:pPr>
            <w:r>
              <w:rPr>
                <w:rFonts w:hint="eastAsia" w:ascii="宋体" w:hAnsi="宋体"/>
                <w:sz w:val="18"/>
                <w:szCs w:val="18"/>
              </w:rPr>
              <w:t>年    月    日</w:t>
            </w:r>
          </w:p>
        </w:tc>
      </w:tr>
    </w:tbl>
    <w:p/>
    <w:tbl>
      <w:tblPr>
        <w:tblStyle w:val="9"/>
        <w:tblW w:w="0" w:type="auto"/>
        <w:tblInd w:w="-176" w:type="dxa"/>
        <w:tblLayout w:type="fixed"/>
        <w:tblCellMar>
          <w:top w:w="0" w:type="dxa"/>
          <w:left w:w="108" w:type="dxa"/>
          <w:bottom w:w="0" w:type="dxa"/>
          <w:right w:w="108" w:type="dxa"/>
        </w:tblCellMar>
      </w:tblPr>
      <w:tblGrid>
        <w:gridCol w:w="644"/>
        <w:gridCol w:w="1440"/>
        <w:gridCol w:w="610"/>
        <w:gridCol w:w="5103"/>
        <w:gridCol w:w="851"/>
        <w:gridCol w:w="850"/>
      </w:tblGrid>
      <w:tr>
        <w:tblPrEx>
          <w:tblCellMar>
            <w:top w:w="0" w:type="dxa"/>
            <w:left w:w="108" w:type="dxa"/>
            <w:bottom w:w="0" w:type="dxa"/>
            <w:right w:w="108" w:type="dxa"/>
          </w:tblCellMar>
        </w:tblPrEx>
        <w:trPr>
          <w:trHeight w:val="309" w:hRule="atLeast"/>
        </w:trPr>
        <w:tc>
          <w:tcPr>
            <w:tcW w:w="6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序号</w:t>
            </w:r>
          </w:p>
        </w:tc>
        <w:tc>
          <w:tcPr>
            <w:tcW w:w="1440"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分项内容</w:t>
            </w:r>
          </w:p>
        </w:tc>
        <w:tc>
          <w:tcPr>
            <w:tcW w:w="610"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spacing w:val="-10"/>
                <w:kern w:val="0"/>
                <w:sz w:val="18"/>
                <w:szCs w:val="18"/>
              </w:rPr>
            </w:pPr>
            <w:r>
              <w:rPr>
                <w:rFonts w:hint="eastAsia" w:ascii="宋体" w:hAnsi="宋体" w:cs="宋体"/>
                <w:spacing w:val="-10"/>
                <w:kern w:val="0"/>
                <w:sz w:val="18"/>
                <w:szCs w:val="18"/>
              </w:rPr>
              <w:t>满分</w:t>
            </w:r>
          </w:p>
          <w:p>
            <w:pPr>
              <w:adjustRightInd w:val="0"/>
              <w:snapToGrid w:val="0"/>
              <w:jc w:val="center"/>
              <w:rPr>
                <w:rFonts w:ascii="宋体" w:hAnsi="宋体" w:cs="宋体"/>
                <w:spacing w:val="-10"/>
                <w:kern w:val="0"/>
                <w:sz w:val="18"/>
                <w:szCs w:val="18"/>
              </w:rPr>
            </w:pPr>
            <w:r>
              <w:rPr>
                <w:rFonts w:hint="eastAsia" w:ascii="宋体" w:hAnsi="宋体" w:cs="宋体"/>
                <w:spacing w:val="-10"/>
                <w:kern w:val="0"/>
                <w:sz w:val="18"/>
                <w:szCs w:val="18"/>
              </w:rPr>
              <w:t>分值</w:t>
            </w:r>
          </w:p>
        </w:tc>
        <w:tc>
          <w:tcPr>
            <w:tcW w:w="5103"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评 价 指 标</w:t>
            </w:r>
          </w:p>
        </w:tc>
        <w:tc>
          <w:tcPr>
            <w:tcW w:w="851"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黑体" w:hAnsi="宋体" w:eastAsia="黑体" w:cs="宋体"/>
                <w:kern w:val="0"/>
                <w:sz w:val="18"/>
                <w:szCs w:val="18"/>
              </w:rPr>
              <w:t>应得分</w:t>
            </w:r>
          </w:p>
        </w:tc>
        <w:tc>
          <w:tcPr>
            <w:tcW w:w="850"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实得分</w:t>
            </w:r>
          </w:p>
        </w:tc>
      </w:tr>
      <w:tr>
        <w:tblPrEx>
          <w:tblCellMar>
            <w:top w:w="0" w:type="dxa"/>
            <w:left w:w="108" w:type="dxa"/>
            <w:bottom w:w="0" w:type="dxa"/>
            <w:right w:w="108" w:type="dxa"/>
          </w:tblCellMar>
        </w:tblPrEx>
        <w:trPr>
          <w:trHeight w:val="303" w:hRule="atLeast"/>
        </w:trPr>
        <w:tc>
          <w:tcPr>
            <w:tcW w:w="644" w:type="dxa"/>
            <w:tcBorders>
              <w:top w:val="nil"/>
              <w:left w:val="single" w:color="auto" w:sz="4" w:space="0"/>
              <w:bottom w:val="single" w:color="auto" w:sz="4" w:space="0"/>
              <w:right w:val="single" w:color="auto" w:sz="4" w:space="0"/>
            </w:tcBorders>
            <w:vAlign w:val="center"/>
          </w:tcPr>
          <w:p>
            <w:pPr>
              <w:adjustRightInd w:val="0"/>
              <w:snapToGrid w:val="0"/>
              <w:jc w:val="center"/>
              <w:rPr>
                <w:rFonts w:ascii="宋体" w:hAnsi="宋体" w:cs="宋体"/>
                <w:b/>
                <w:bCs/>
                <w:kern w:val="0"/>
                <w:sz w:val="18"/>
                <w:szCs w:val="18"/>
              </w:rPr>
            </w:pPr>
            <w:r>
              <w:rPr>
                <w:rFonts w:hint="eastAsia" w:ascii="宋体" w:hAnsi="宋体" w:cs="宋体"/>
                <w:b/>
                <w:bCs/>
                <w:kern w:val="0"/>
                <w:sz w:val="18"/>
                <w:szCs w:val="18"/>
              </w:rPr>
              <w:t xml:space="preserve">一  </w:t>
            </w:r>
          </w:p>
        </w:tc>
        <w:tc>
          <w:tcPr>
            <w:tcW w:w="1440"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b/>
                <w:bCs/>
                <w:kern w:val="0"/>
                <w:sz w:val="18"/>
                <w:szCs w:val="18"/>
              </w:rPr>
            </w:pPr>
            <w:r>
              <w:rPr>
                <w:rFonts w:hint="eastAsia" w:ascii="宋体" w:hAnsi="宋体" w:cs="宋体"/>
                <w:b/>
                <w:bCs/>
                <w:kern w:val="0"/>
                <w:sz w:val="18"/>
                <w:szCs w:val="18"/>
              </w:rPr>
              <w:t>机构人员配备</w:t>
            </w:r>
          </w:p>
        </w:tc>
        <w:tc>
          <w:tcPr>
            <w:tcW w:w="610"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b/>
                <w:bCs/>
                <w:kern w:val="0"/>
                <w:sz w:val="18"/>
                <w:szCs w:val="18"/>
              </w:rPr>
            </w:pPr>
            <w:r>
              <w:rPr>
                <w:rFonts w:hint="eastAsia" w:ascii="宋体" w:hAnsi="宋体" w:cs="宋体"/>
                <w:b/>
                <w:bCs/>
                <w:kern w:val="0"/>
                <w:sz w:val="18"/>
                <w:szCs w:val="18"/>
              </w:rPr>
              <w:t>15</w:t>
            </w:r>
          </w:p>
        </w:tc>
        <w:tc>
          <w:tcPr>
            <w:tcW w:w="5103" w:type="dxa"/>
            <w:tcBorders>
              <w:top w:val="nil"/>
              <w:left w:val="nil"/>
              <w:bottom w:val="single" w:color="auto" w:sz="4" w:space="0"/>
              <w:right w:val="single" w:color="auto" w:sz="4" w:space="0"/>
            </w:tcBorders>
            <w:vAlign w:val="center"/>
          </w:tcPr>
          <w:p>
            <w:pPr>
              <w:adjustRightInd w:val="0"/>
              <w:snapToGrid w:val="0"/>
              <w:rPr>
                <w:rFonts w:ascii="宋体" w:hAnsi="宋体" w:cs="宋体"/>
                <w:b/>
                <w:bCs/>
                <w:kern w:val="0"/>
                <w:sz w:val="18"/>
                <w:szCs w:val="18"/>
              </w:rPr>
            </w:pP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b/>
                <w:bCs/>
                <w:kern w:val="0"/>
                <w:sz w:val="18"/>
                <w:szCs w:val="18"/>
              </w:rPr>
            </w:pPr>
          </w:p>
        </w:tc>
        <w:tc>
          <w:tcPr>
            <w:tcW w:w="850" w:type="dxa"/>
            <w:tcBorders>
              <w:top w:val="nil"/>
              <w:left w:val="nil"/>
              <w:bottom w:val="single" w:color="auto" w:sz="4" w:space="0"/>
              <w:right w:val="single" w:color="auto" w:sz="4" w:space="0"/>
            </w:tcBorders>
            <w:vAlign w:val="center"/>
          </w:tcPr>
          <w:p>
            <w:pPr>
              <w:adjustRightInd w:val="0"/>
              <w:snapToGrid w:val="0"/>
              <w:ind w:left="-31" w:leftChars="-15" w:right="-210" w:rightChars="-100"/>
              <w:jc w:val="left"/>
              <w:rPr>
                <w:rFonts w:ascii="宋体" w:hAnsi="宋体" w:cs="宋体"/>
                <w:kern w:val="0"/>
                <w:sz w:val="18"/>
                <w:szCs w:val="18"/>
              </w:rPr>
            </w:pPr>
          </w:p>
        </w:tc>
      </w:tr>
      <w:tr>
        <w:tblPrEx>
          <w:tblCellMar>
            <w:top w:w="0" w:type="dxa"/>
            <w:left w:w="108" w:type="dxa"/>
            <w:bottom w:w="0" w:type="dxa"/>
            <w:right w:w="108" w:type="dxa"/>
          </w:tblCellMar>
        </w:tblPrEx>
        <w:trPr>
          <w:trHeight w:val="308" w:hRule="atLeast"/>
        </w:trPr>
        <w:tc>
          <w:tcPr>
            <w:tcW w:w="644" w:type="dxa"/>
            <w:vMerge w:val="restart"/>
            <w:tcBorders>
              <w:top w:val="nil"/>
              <w:left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1</w:t>
            </w:r>
          </w:p>
        </w:tc>
        <w:tc>
          <w:tcPr>
            <w:tcW w:w="1440" w:type="dxa"/>
            <w:vMerge w:val="restart"/>
            <w:tcBorders>
              <w:top w:val="nil"/>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项目负责人</w:t>
            </w:r>
          </w:p>
        </w:tc>
        <w:tc>
          <w:tcPr>
            <w:tcW w:w="610" w:type="dxa"/>
            <w:vMerge w:val="restart"/>
            <w:tcBorders>
              <w:top w:val="nil"/>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6</w:t>
            </w:r>
          </w:p>
        </w:tc>
        <w:tc>
          <w:tcPr>
            <w:tcW w:w="5103" w:type="dxa"/>
            <w:tcBorders>
              <w:top w:val="nil"/>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r>
              <w:rPr>
                <w:rFonts w:hint="eastAsia" w:ascii="宋体" w:hAnsi="宋体" w:cs="宋体"/>
                <w:kern w:val="0"/>
                <w:sz w:val="18"/>
                <w:szCs w:val="18"/>
              </w:rPr>
              <w:t>配备有固定的项目负责人，且项目负责人具有高度责任心、良好的组织协调能力和专业的业务水平</w:t>
            </w: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6</w:t>
            </w:r>
          </w:p>
        </w:tc>
        <w:tc>
          <w:tcPr>
            <w:tcW w:w="850" w:type="dxa"/>
            <w:vMerge w:val="restart"/>
            <w:tcBorders>
              <w:top w:val="nil"/>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308" w:hRule="atLeast"/>
        </w:trPr>
        <w:tc>
          <w:tcPr>
            <w:tcW w:w="644" w:type="dxa"/>
            <w:vMerge w:val="continue"/>
            <w:tcBorders>
              <w:left w:val="single" w:color="auto" w:sz="4" w:space="0"/>
              <w:right w:val="single" w:color="auto" w:sz="4" w:space="0"/>
            </w:tcBorders>
            <w:vAlign w:val="center"/>
          </w:tcPr>
          <w:p>
            <w:pPr>
              <w:adjustRightInd w:val="0"/>
              <w:snapToGrid w:val="0"/>
              <w:rPr>
                <w:rFonts w:ascii="宋体" w:hAnsi="宋体" w:cs="宋体"/>
                <w:kern w:val="0"/>
                <w:sz w:val="18"/>
                <w:szCs w:val="18"/>
              </w:rPr>
            </w:pPr>
          </w:p>
        </w:tc>
        <w:tc>
          <w:tcPr>
            <w:tcW w:w="1440" w:type="dxa"/>
            <w:vMerge w:val="continue"/>
            <w:tcBorders>
              <w:left w:val="single" w:color="auto" w:sz="4" w:space="0"/>
              <w:right w:val="single" w:color="auto" w:sz="4" w:space="0"/>
            </w:tcBorders>
            <w:vAlign w:val="center"/>
          </w:tcPr>
          <w:p>
            <w:pPr>
              <w:adjustRightInd w:val="0"/>
              <w:snapToGrid w:val="0"/>
              <w:rPr>
                <w:rFonts w:ascii="宋体" w:hAnsi="宋体" w:cs="宋体"/>
                <w:kern w:val="0"/>
                <w:sz w:val="18"/>
                <w:szCs w:val="18"/>
              </w:rPr>
            </w:pPr>
          </w:p>
        </w:tc>
        <w:tc>
          <w:tcPr>
            <w:tcW w:w="610"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5103" w:type="dxa"/>
            <w:tcBorders>
              <w:top w:val="nil"/>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r>
              <w:rPr>
                <w:rFonts w:hint="eastAsia" w:ascii="宋体" w:hAnsi="宋体" w:cs="宋体"/>
                <w:kern w:val="0"/>
                <w:sz w:val="18"/>
                <w:szCs w:val="18"/>
              </w:rPr>
              <w:t>配备有基本固定的项目负责人，且项目负责人具有责任心、具有一定组织协调能力和专业的业务水平</w:t>
            </w: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3</w:t>
            </w:r>
          </w:p>
        </w:tc>
        <w:tc>
          <w:tcPr>
            <w:tcW w:w="850" w:type="dxa"/>
            <w:vMerge w:val="continue"/>
            <w:tcBorders>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308" w:hRule="atLeast"/>
        </w:trPr>
        <w:tc>
          <w:tcPr>
            <w:tcW w:w="644" w:type="dxa"/>
            <w:vMerge w:val="continue"/>
            <w:tcBorders>
              <w:left w:val="single" w:color="auto" w:sz="4" w:space="0"/>
              <w:bottom w:val="single" w:color="auto" w:sz="4" w:space="0"/>
              <w:right w:val="single" w:color="auto" w:sz="4" w:space="0"/>
            </w:tcBorders>
            <w:vAlign w:val="center"/>
          </w:tcPr>
          <w:p>
            <w:pPr>
              <w:adjustRightInd w:val="0"/>
              <w:snapToGrid w:val="0"/>
              <w:rPr>
                <w:rFonts w:ascii="宋体" w:hAnsi="宋体" w:cs="宋体"/>
                <w:kern w:val="0"/>
                <w:sz w:val="18"/>
                <w:szCs w:val="18"/>
              </w:rPr>
            </w:pPr>
          </w:p>
        </w:tc>
        <w:tc>
          <w:tcPr>
            <w:tcW w:w="1440" w:type="dxa"/>
            <w:vMerge w:val="continue"/>
            <w:tcBorders>
              <w:left w:val="single" w:color="auto" w:sz="4" w:space="0"/>
              <w:bottom w:val="single" w:color="auto" w:sz="4" w:space="0"/>
              <w:right w:val="single" w:color="auto" w:sz="4" w:space="0"/>
            </w:tcBorders>
            <w:vAlign w:val="center"/>
          </w:tcPr>
          <w:p>
            <w:pPr>
              <w:adjustRightInd w:val="0"/>
              <w:snapToGrid w:val="0"/>
              <w:rPr>
                <w:rFonts w:ascii="宋体" w:hAnsi="宋体" w:cs="宋体"/>
                <w:kern w:val="0"/>
                <w:sz w:val="18"/>
                <w:szCs w:val="18"/>
              </w:rPr>
            </w:pPr>
          </w:p>
        </w:tc>
        <w:tc>
          <w:tcPr>
            <w:tcW w:w="610"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5103" w:type="dxa"/>
            <w:tcBorders>
              <w:top w:val="nil"/>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r>
              <w:rPr>
                <w:rFonts w:hint="eastAsia" w:ascii="宋体" w:hAnsi="宋体" w:cs="宋体"/>
                <w:kern w:val="0"/>
                <w:sz w:val="18"/>
                <w:szCs w:val="18"/>
              </w:rPr>
              <w:t>配备的项目负责人不固定，或项目负责人无责任心、组织协调能力和专业的业务水平差</w:t>
            </w: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0</w:t>
            </w:r>
          </w:p>
        </w:tc>
        <w:tc>
          <w:tcPr>
            <w:tcW w:w="850" w:type="dxa"/>
            <w:vMerge w:val="continue"/>
            <w:tcBorders>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308" w:hRule="atLeast"/>
        </w:trPr>
        <w:tc>
          <w:tcPr>
            <w:tcW w:w="644" w:type="dxa"/>
            <w:vMerge w:val="restart"/>
            <w:tcBorders>
              <w:left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2</w:t>
            </w:r>
          </w:p>
        </w:tc>
        <w:tc>
          <w:tcPr>
            <w:tcW w:w="1440" w:type="dxa"/>
            <w:vMerge w:val="restart"/>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专业配置</w:t>
            </w:r>
          </w:p>
        </w:tc>
        <w:tc>
          <w:tcPr>
            <w:tcW w:w="610" w:type="dxa"/>
            <w:vMerge w:val="restart"/>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5</w:t>
            </w:r>
          </w:p>
        </w:tc>
        <w:tc>
          <w:tcPr>
            <w:tcW w:w="5103" w:type="dxa"/>
            <w:tcBorders>
              <w:top w:val="nil"/>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r>
              <w:rPr>
                <w:rFonts w:hint="eastAsia" w:ascii="宋体" w:hAnsi="宋体" w:cs="宋体"/>
                <w:kern w:val="0"/>
                <w:sz w:val="18"/>
                <w:szCs w:val="18"/>
              </w:rPr>
              <w:t>配备人员的专业满足合同要求且各专职人员稳定</w:t>
            </w: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5</w:t>
            </w:r>
          </w:p>
        </w:tc>
        <w:tc>
          <w:tcPr>
            <w:tcW w:w="850" w:type="dxa"/>
            <w:tcBorders>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308" w:hRule="atLeast"/>
        </w:trPr>
        <w:tc>
          <w:tcPr>
            <w:tcW w:w="644" w:type="dxa"/>
            <w:vMerge w:val="continue"/>
            <w:tcBorders>
              <w:left w:val="single" w:color="auto" w:sz="4" w:space="0"/>
              <w:right w:val="single" w:color="auto" w:sz="4" w:space="0"/>
            </w:tcBorders>
            <w:vAlign w:val="center"/>
          </w:tcPr>
          <w:p>
            <w:pPr>
              <w:adjustRightInd w:val="0"/>
              <w:snapToGrid w:val="0"/>
              <w:rPr>
                <w:rFonts w:ascii="宋体" w:hAnsi="宋体" w:cs="宋体"/>
                <w:kern w:val="0"/>
                <w:sz w:val="18"/>
                <w:szCs w:val="18"/>
              </w:rPr>
            </w:pPr>
          </w:p>
        </w:tc>
        <w:tc>
          <w:tcPr>
            <w:tcW w:w="1440" w:type="dxa"/>
            <w:vMerge w:val="continue"/>
            <w:tcBorders>
              <w:left w:val="single" w:color="auto" w:sz="4" w:space="0"/>
              <w:right w:val="single" w:color="auto" w:sz="4" w:space="0"/>
            </w:tcBorders>
            <w:vAlign w:val="center"/>
          </w:tcPr>
          <w:p>
            <w:pPr>
              <w:adjustRightInd w:val="0"/>
              <w:snapToGrid w:val="0"/>
              <w:rPr>
                <w:rFonts w:ascii="宋体" w:hAnsi="宋体" w:cs="宋体"/>
                <w:kern w:val="0"/>
                <w:sz w:val="18"/>
                <w:szCs w:val="18"/>
              </w:rPr>
            </w:pPr>
          </w:p>
        </w:tc>
        <w:tc>
          <w:tcPr>
            <w:tcW w:w="610"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5103" w:type="dxa"/>
            <w:tcBorders>
              <w:top w:val="nil"/>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r>
              <w:rPr>
                <w:rFonts w:hint="eastAsia" w:ascii="宋体" w:hAnsi="宋体" w:cs="宋体"/>
                <w:kern w:val="0"/>
                <w:sz w:val="18"/>
                <w:szCs w:val="18"/>
              </w:rPr>
              <w:t>配备人员的专业基本满足合同要求且专职人员相对稳定</w:t>
            </w: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3</w:t>
            </w:r>
          </w:p>
        </w:tc>
        <w:tc>
          <w:tcPr>
            <w:tcW w:w="850" w:type="dxa"/>
            <w:tcBorders>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308" w:hRule="atLeast"/>
        </w:trPr>
        <w:tc>
          <w:tcPr>
            <w:tcW w:w="644" w:type="dxa"/>
            <w:vMerge w:val="continue"/>
            <w:tcBorders>
              <w:left w:val="single" w:color="auto" w:sz="4" w:space="0"/>
              <w:bottom w:val="single" w:color="auto" w:sz="4" w:space="0"/>
              <w:right w:val="single" w:color="auto" w:sz="4" w:space="0"/>
            </w:tcBorders>
            <w:vAlign w:val="center"/>
          </w:tcPr>
          <w:p>
            <w:pPr>
              <w:adjustRightInd w:val="0"/>
              <w:snapToGrid w:val="0"/>
              <w:rPr>
                <w:rFonts w:ascii="宋体" w:hAnsi="宋体" w:cs="宋体"/>
                <w:kern w:val="0"/>
                <w:sz w:val="18"/>
                <w:szCs w:val="18"/>
              </w:rPr>
            </w:pPr>
          </w:p>
        </w:tc>
        <w:tc>
          <w:tcPr>
            <w:tcW w:w="1440" w:type="dxa"/>
            <w:vMerge w:val="continue"/>
            <w:tcBorders>
              <w:left w:val="single" w:color="auto" w:sz="4" w:space="0"/>
              <w:bottom w:val="single" w:color="auto" w:sz="4" w:space="0"/>
              <w:right w:val="single" w:color="auto" w:sz="4" w:space="0"/>
            </w:tcBorders>
            <w:vAlign w:val="center"/>
          </w:tcPr>
          <w:p>
            <w:pPr>
              <w:adjustRightInd w:val="0"/>
              <w:snapToGrid w:val="0"/>
              <w:rPr>
                <w:rFonts w:ascii="宋体" w:hAnsi="宋体" w:cs="宋体"/>
                <w:kern w:val="0"/>
                <w:sz w:val="18"/>
                <w:szCs w:val="18"/>
              </w:rPr>
            </w:pPr>
          </w:p>
        </w:tc>
        <w:tc>
          <w:tcPr>
            <w:tcW w:w="610"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5103" w:type="dxa"/>
            <w:tcBorders>
              <w:top w:val="nil"/>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r>
              <w:rPr>
                <w:rFonts w:hint="eastAsia" w:ascii="宋体" w:hAnsi="宋体" w:cs="宋体"/>
                <w:kern w:val="0"/>
                <w:sz w:val="18"/>
                <w:szCs w:val="18"/>
              </w:rPr>
              <w:t>配备人员的专业不能满足合同要求，或各专职人员不稳定</w:t>
            </w: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0</w:t>
            </w:r>
          </w:p>
        </w:tc>
        <w:tc>
          <w:tcPr>
            <w:tcW w:w="850" w:type="dxa"/>
            <w:tcBorders>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279" w:hRule="atLeast"/>
        </w:trPr>
        <w:tc>
          <w:tcPr>
            <w:tcW w:w="644" w:type="dxa"/>
            <w:vMerge w:val="restart"/>
            <w:tcBorders>
              <w:top w:val="nil"/>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3</w:t>
            </w:r>
          </w:p>
        </w:tc>
        <w:tc>
          <w:tcPr>
            <w:tcW w:w="1440" w:type="dxa"/>
            <w:vMerge w:val="restart"/>
            <w:tcBorders>
              <w:top w:val="nil"/>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人员数量</w:t>
            </w:r>
          </w:p>
        </w:tc>
        <w:tc>
          <w:tcPr>
            <w:tcW w:w="610" w:type="dxa"/>
            <w:vMerge w:val="restart"/>
            <w:tcBorders>
              <w:top w:val="nil"/>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4</w:t>
            </w:r>
          </w:p>
        </w:tc>
        <w:tc>
          <w:tcPr>
            <w:tcW w:w="5103" w:type="dxa"/>
            <w:tcBorders>
              <w:top w:val="nil"/>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r>
              <w:rPr>
                <w:rFonts w:hint="eastAsia" w:ascii="宋体" w:hAnsi="宋体" w:cs="宋体"/>
                <w:kern w:val="0"/>
                <w:sz w:val="18"/>
                <w:szCs w:val="18"/>
              </w:rPr>
              <w:t>组织架构合理，配备人员固定、分工明确、工作高效，人员数量满足合同要求并能及时到位</w:t>
            </w: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4</w:t>
            </w:r>
          </w:p>
        </w:tc>
        <w:tc>
          <w:tcPr>
            <w:tcW w:w="850" w:type="dxa"/>
            <w:vMerge w:val="restart"/>
            <w:tcBorders>
              <w:top w:val="nil"/>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279" w:hRule="atLeast"/>
        </w:trPr>
        <w:tc>
          <w:tcPr>
            <w:tcW w:w="644"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1440"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610"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5103" w:type="dxa"/>
            <w:tcBorders>
              <w:top w:val="nil"/>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r>
              <w:rPr>
                <w:rFonts w:hint="eastAsia" w:ascii="宋体" w:hAnsi="宋体" w:cs="宋体"/>
                <w:kern w:val="0"/>
                <w:sz w:val="18"/>
                <w:szCs w:val="18"/>
              </w:rPr>
              <w:t>组织架构基本合理，配备人员基本固定、分工基本明确、工作基本高效，人员数量基本满足合同要求并能到位</w:t>
            </w: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2</w:t>
            </w:r>
          </w:p>
        </w:tc>
        <w:tc>
          <w:tcPr>
            <w:tcW w:w="850" w:type="dxa"/>
            <w:vMerge w:val="continue"/>
            <w:tcBorders>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279" w:hRule="atLeast"/>
        </w:trPr>
        <w:tc>
          <w:tcPr>
            <w:tcW w:w="644"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1440"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610"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5103" w:type="dxa"/>
            <w:tcBorders>
              <w:top w:val="nil"/>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r>
              <w:rPr>
                <w:rFonts w:hint="eastAsia" w:ascii="宋体" w:hAnsi="宋体" w:cs="宋体"/>
                <w:kern w:val="0"/>
                <w:sz w:val="18"/>
                <w:szCs w:val="18"/>
              </w:rPr>
              <w:t>组织架构不合理，配备人员不稳定、分工不明确、工作拖拉，人员数量不能满足合同要求或不能到位</w:t>
            </w: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0</w:t>
            </w:r>
          </w:p>
        </w:tc>
        <w:tc>
          <w:tcPr>
            <w:tcW w:w="850" w:type="dxa"/>
            <w:vMerge w:val="continue"/>
            <w:tcBorders>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277" w:hRule="atLeast"/>
        </w:trPr>
        <w:tc>
          <w:tcPr>
            <w:tcW w:w="644" w:type="dxa"/>
            <w:tcBorders>
              <w:top w:val="nil"/>
              <w:left w:val="single" w:color="auto" w:sz="4" w:space="0"/>
              <w:bottom w:val="single" w:color="auto" w:sz="4" w:space="0"/>
              <w:right w:val="single" w:color="auto" w:sz="4" w:space="0"/>
            </w:tcBorders>
            <w:vAlign w:val="center"/>
          </w:tcPr>
          <w:p>
            <w:pPr>
              <w:adjustRightInd w:val="0"/>
              <w:snapToGrid w:val="0"/>
              <w:jc w:val="center"/>
              <w:rPr>
                <w:rFonts w:ascii="宋体" w:hAnsi="宋体" w:cs="宋体"/>
                <w:b/>
                <w:bCs/>
                <w:kern w:val="0"/>
                <w:sz w:val="18"/>
                <w:szCs w:val="18"/>
              </w:rPr>
            </w:pPr>
            <w:r>
              <w:rPr>
                <w:rFonts w:hint="eastAsia" w:ascii="宋体" w:hAnsi="宋体" w:cs="宋体"/>
                <w:b/>
                <w:bCs/>
                <w:kern w:val="0"/>
                <w:sz w:val="18"/>
                <w:szCs w:val="18"/>
              </w:rPr>
              <w:t>二</w:t>
            </w:r>
          </w:p>
        </w:tc>
        <w:tc>
          <w:tcPr>
            <w:tcW w:w="1440"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b/>
                <w:bCs/>
                <w:kern w:val="0"/>
                <w:sz w:val="18"/>
                <w:szCs w:val="18"/>
              </w:rPr>
            </w:pPr>
            <w:r>
              <w:rPr>
                <w:rFonts w:hint="eastAsia" w:ascii="宋体" w:hAnsi="宋体" w:cs="宋体"/>
                <w:b/>
                <w:bCs/>
                <w:kern w:val="0"/>
                <w:sz w:val="18"/>
                <w:szCs w:val="18"/>
              </w:rPr>
              <w:t>履约质量</w:t>
            </w:r>
          </w:p>
        </w:tc>
        <w:tc>
          <w:tcPr>
            <w:tcW w:w="610"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b/>
                <w:bCs/>
                <w:kern w:val="0"/>
                <w:sz w:val="18"/>
                <w:szCs w:val="18"/>
              </w:rPr>
            </w:pPr>
            <w:r>
              <w:rPr>
                <w:rFonts w:hint="eastAsia" w:ascii="宋体" w:hAnsi="宋体" w:cs="宋体"/>
                <w:b/>
                <w:bCs/>
                <w:kern w:val="0"/>
                <w:sz w:val="18"/>
                <w:szCs w:val="18"/>
              </w:rPr>
              <w:t>50</w:t>
            </w:r>
          </w:p>
        </w:tc>
        <w:tc>
          <w:tcPr>
            <w:tcW w:w="5103" w:type="dxa"/>
            <w:tcBorders>
              <w:top w:val="nil"/>
              <w:left w:val="nil"/>
              <w:bottom w:val="single" w:color="auto" w:sz="4" w:space="0"/>
              <w:right w:val="single" w:color="auto" w:sz="4" w:space="0"/>
            </w:tcBorders>
            <w:vAlign w:val="center"/>
          </w:tcPr>
          <w:p>
            <w:pPr>
              <w:adjustRightInd w:val="0"/>
              <w:snapToGrid w:val="0"/>
              <w:jc w:val="left"/>
              <w:rPr>
                <w:rFonts w:ascii="宋体" w:hAnsi="宋体" w:cs="宋体"/>
                <w:b/>
                <w:bCs/>
                <w:kern w:val="0"/>
                <w:sz w:val="18"/>
                <w:szCs w:val="18"/>
              </w:rPr>
            </w:pP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b/>
                <w:bCs/>
                <w:kern w:val="0"/>
                <w:sz w:val="18"/>
                <w:szCs w:val="18"/>
              </w:rPr>
            </w:pPr>
          </w:p>
        </w:tc>
        <w:tc>
          <w:tcPr>
            <w:tcW w:w="850" w:type="dxa"/>
            <w:tcBorders>
              <w:top w:val="nil"/>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0" w:hRule="atLeast"/>
        </w:trPr>
        <w:tc>
          <w:tcPr>
            <w:tcW w:w="644" w:type="dxa"/>
            <w:vMerge w:val="restart"/>
            <w:tcBorders>
              <w:top w:val="nil"/>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4</w:t>
            </w:r>
          </w:p>
        </w:tc>
        <w:tc>
          <w:tcPr>
            <w:tcW w:w="144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招标方案编制</w:t>
            </w:r>
          </w:p>
        </w:tc>
        <w:tc>
          <w:tcPr>
            <w:tcW w:w="610" w:type="dxa"/>
            <w:vMerge w:val="restart"/>
            <w:tcBorders>
              <w:top w:val="nil"/>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10</w:t>
            </w:r>
          </w:p>
        </w:tc>
        <w:tc>
          <w:tcPr>
            <w:tcW w:w="5103" w:type="dxa"/>
            <w:tcBorders>
              <w:top w:val="nil"/>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r>
              <w:rPr>
                <w:rFonts w:hint="eastAsia" w:ascii="宋体" w:hAnsi="宋体" w:cs="宋体"/>
                <w:kern w:val="0"/>
                <w:sz w:val="18"/>
                <w:szCs w:val="18"/>
              </w:rPr>
              <w:t>能够认真充分地根据招标工程的特点和需要依法编制招标方案，且方案全面、系统、合理、公正</w:t>
            </w: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10</w:t>
            </w:r>
          </w:p>
        </w:tc>
        <w:tc>
          <w:tcPr>
            <w:tcW w:w="850" w:type="dxa"/>
            <w:vMerge w:val="restart"/>
            <w:tcBorders>
              <w:top w:val="nil"/>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0" w:hRule="atLeast"/>
        </w:trPr>
        <w:tc>
          <w:tcPr>
            <w:tcW w:w="644"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1440"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610"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5103" w:type="dxa"/>
            <w:tcBorders>
              <w:top w:val="nil"/>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r>
              <w:rPr>
                <w:rFonts w:hint="eastAsia" w:ascii="宋体" w:hAnsi="宋体" w:cs="宋体"/>
                <w:kern w:val="0"/>
                <w:sz w:val="18"/>
                <w:szCs w:val="18"/>
              </w:rPr>
              <w:t>基本能够认真充分地根据招标工程的特点和需要依法编制招标方案，且方案全面、系统、合理、公正</w:t>
            </w: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5</w:t>
            </w:r>
          </w:p>
        </w:tc>
        <w:tc>
          <w:tcPr>
            <w:tcW w:w="850" w:type="dxa"/>
            <w:vMerge w:val="continue"/>
            <w:tcBorders>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0" w:hRule="atLeast"/>
        </w:trPr>
        <w:tc>
          <w:tcPr>
            <w:tcW w:w="644"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1440"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610"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5103" w:type="dxa"/>
            <w:tcBorders>
              <w:top w:val="nil"/>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r>
              <w:rPr>
                <w:rFonts w:hint="eastAsia" w:ascii="宋体" w:hAnsi="宋体" w:cs="宋体"/>
                <w:kern w:val="0"/>
                <w:sz w:val="18"/>
                <w:szCs w:val="18"/>
              </w:rPr>
              <w:t>不能够根据招标工程的特点和需要依法编制招标方案，或方案不全面、不系统、不合理、不公正</w:t>
            </w: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0</w:t>
            </w:r>
          </w:p>
        </w:tc>
        <w:tc>
          <w:tcPr>
            <w:tcW w:w="850" w:type="dxa"/>
            <w:vMerge w:val="continue"/>
            <w:tcBorders>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300" w:hRule="atLeast"/>
        </w:trPr>
        <w:tc>
          <w:tcPr>
            <w:tcW w:w="644"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5</w:t>
            </w:r>
          </w:p>
        </w:tc>
        <w:tc>
          <w:tcPr>
            <w:tcW w:w="144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招标文件编制</w:t>
            </w:r>
          </w:p>
        </w:tc>
        <w:tc>
          <w:tcPr>
            <w:tcW w:w="610" w:type="dxa"/>
            <w:vMerge w:val="restart"/>
            <w:tcBorders>
              <w:top w:val="nil"/>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10</w:t>
            </w:r>
          </w:p>
        </w:tc>
        <w:tc>
          <w:tcPr>
            <w:tcW w:w="5103" w:type="dxa"/>
            <w:tcBorders>
              <w:top w:val="nil"/>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r>
              <w:rPr>
                <w:rFonts w:hint="eastAsia" w:ascii="宋体" w:hAnsi="宋体" w:cs="宋体"/>
                <w:kern w:val="0"/>
                <w:sz w:val="18"/>
                <w:szCs w:val="18"/>
              </w:rPr>
              <w:t>能够认真负责地根据招标工程的特点和需要，参照示范文本依法编制招标文件，且招标文件详细、具体，满足招标投标要求</w:t>
            </w: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10</w:t>
            </w:r>
          </w:p>
        </w:tc>
        <w:tc>
          <w:tcPr>
            <w:tcW w:w="850" w:type="dxa"/>
            <w:vMerge w:val="restart"/>
            <w:tcBorders>
              <w:top w:val="nil"/>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315" w:hRule="atLeast"/>
        </w:trPr>
        <w:tc>
          <w:tcPr>
            <w:tcW w:w="644"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1440"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610"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5103" w:type="dxa"/>
            <w:tcBorders>
              <w:top w:val="single" w:color="auto" w:sz="4" w:space="0"/>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r>
              <w:rPr>
                <w:rFonts w:hint="eastAsia" w:ascii="宋体" w:hAnsi="宋体" w:cs="宋体"/>
                <w:kern w:val="0"/>
                <w:sz w:val="18"/>
                <w:szCs w:val="18"/>
              </w:rPr>
              <w:t>基本能够认真负责地根据招标工程的特点和需要，参照示范文本依法编制招标文件，且招标文件详细、具体，满足招标投标要求</w:t>
            </w:r>
          </w:p>
        </w:tc>
        <w:tc>
          <w:tcPr>
            <w:tcW w:w="851"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5</w:t>
            </w:r>
          </w:p>
        </w:tc>
        <w:tc>
          <w:tcPr>
            <w:tcW w:w="850" w:type="dxa"/>
            <w:vMerge w:val="continue"/>
            <w:tcBorders>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403" w:hRule="atLeast"/>
        </w:trPr>
        <w:tc>
          <w:tcPr>
            <w:tcW w:w="644"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1440"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610"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5103" w:type="dxa"/>
            <w:tcBorders>
              <w:top w:val="nil"/>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r>
              <w:rPr>
                <w:rFonts w:hint="eastAsia" w:ascii="宋体" w:hAnsi="宋体" w:cs="宋体"/>
                <w:kern w:val="0"/>
                <w:sz w:val="18"/>
                <w:szCs w:val="18"/>
              </w:rPr>
              <w:t>不能够根据招标工程的特点和需要，未依法编制招标文件，且招标文件不详细、不具体，不能满足招标投标要求</w:t>
            </w: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0</w:t>
            </w:r>
          </w:p>
        </w:tc>
        <w:tc>
          <w:tcPr>
            <w:tcW w:w="850" w:type="dxa"/>
            <w:vMerge w:val="continue"/>
            <w:tcBorders>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171" w:hRule="atLeast"/>
        </w:trPr>
        <w:tc>
          <w:tcPr>
            <w:tcW w:w="644"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6</w:t>
            </w:r>
          </w:p>
        </w:tc>
        <w:tc>
          <w:tcPr>
            <w:tcW w:w="144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招标投标业务办理</w:t>
            </w:r>
          </w:p>
        </w:tc>
        <w:tc>
          <w:tcPr>
            <w:tcW w:w="61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10</w:t>
            </w:r>
          </w:p>
        </w:tc>
        <w:tc>
          <w:tcPr>
            <w:tcW w:w="5103" w:type="dxa"/>
            <w:tcBorders>
              <w:top w:val="single" w:color="auto" w:sz="4" w:space="0"/>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r>
              <w:rPr>
                <w:rFonts w:hint="eastAsia" w:ascii="宋体" w:hAnsi="宋体" w:cs="宋体"/>
                <w:kern w:val="0"/>
                <w:sz w:val="18"/>
                <w:szCs w:val="18"/>
              </w:rPr>
              <w:t>能够认真熟练地按照</w:t>
            </w:r>
            <w:r>
              <w:rPr>
                <w:rFonts w:hint="eastAsia" w:ascii="宋体" w:hAnsi="宋体"/>
                <w:sz w:val="18"/>
                <w:szCs w:val="18"/>
              </w:rPr>
              <w:t>招标投标备案办事流程及时完成相关备案工作</w:t>
            </w:r>
          </w:p>
        </w:tc>
        <w:tc>
          <w:tcPr>
            <w:tcW w:w="851"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10</w:t>
            </w:r>
          </w:p>
        </w:tc>
        <w:tc>
          <w:tcPr>
            <w:tcW w:w="850" w:type="dxa"/>
            <w:vMerge w:val="restart"/>
            <w:tcBorders>
              <w:top w:val="single" w:color="auto" w:sz="4" w:space="0"/>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303" w:hRule="atLeast"/>
        </w:trPr>
        <w:tc>
          <w:tcPr>
            <w:tcW w:w="644" w:type="dxa"/>
            <w:vMerge w:val="continue"/>
            <w:tcBorders>
              <w:left w:val="single" w:color="auto" w:sz="4" w:space="0"/>
              <w:right w:val="single" w:color="auto" w:sz="4" w:space="0"/>
            </w:tcBorders>
            <w:vAlign w:val="center"/>
          </w:tcPr>
          <w:p>
            <w:pPr>
              <w:adjustRightInd w:val="0"/>
              <w:snapToGrid w:val="0"/>
              <w:jc w:val="left"/>
              <w:rPr>
                <w:rFonts w:ascii="宋体" w:hAnsi="宋体" w:cs="宋体"/>
                <w:kern w:val="0"/>
                <w:sz w:val="18"/>
                <w:szCs w:val="18"/>
              </w:rPr>
            </w:pPr>
          </w:p>
        </w:tc>
        <w:tc>
          <w:tcPr>
            <w:tcW w:w="1440" w:type="dxa"/>
            <w:vMerge w:val="continue"/>
            <w:tcBorders>
              <w:left w:val="single" w:color="auto" w:sz="4" w:space="0"/>
              <w:right w:val="single" w:color="auto" w:sz="4" w:space="0"/>
            </w:tcBorders>
            <w:vAlign w:val="center"/>
          </w:tcPr>
          <w:p>
            <w:pPr>
              <w:adjustRightInd w:val="0"/>
              <w:snapToGrid w:val="0"/>
              <w:jc w:val="left"/>
              <w:rPr>
                <w:rFonts w:ascii="宋体" w:hAnsi="宋体" w:cs="宋体"/>
                <w:kern w:val="0"/>
                <w:sz w:val="18"/>
                <w:szCs w:val="18"/>
              </w:rPr>
            </w:pPr>
          </w:p>
        </w:tc>
        <w:tc>
          <w:tcPr>
            <w:tcW w:w="610" w:type="dxa"/>
            <w:vMerge w:val="continue"/>
            <w:tcBorders>
              <w:left w:val="single" w:color="auto" w:sz="4" w:space="0"/>
              <w:right w:val="single" w:color="auto" w:sz="4" w:space="0"/>
            </w:tcBorders>
            <w:vAlign w:val="center"/>
          </w:tcPr>
          <w:p>
            <w:pPr>
              <w:adjustRightInd w:val="0"/>
              <w:snapToGrid w:val="0"/>
              <w:jc w:val="left"/>
              <w:rPr>
                <w:rFonts w:ascii="宋体" w:hAnsi="宋体" w:cs="宋体"/>
                <w:kern w:val="0"/>
                <w:sz w:val="18"/>
                <w:szCs w:val="18"/>
              </w:rPr>
            </w:pPr>
          </w:p>
        </w:tc>
        <w:tc>
          <w:tcPr>
            <w:tcW w:w="5103" w:type="dxa"/>
            <w:tcBorders>
              <w:top w:val="nil"/>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基本能够认真熟练地按照</w:t>
            </w:r>
            <w:r>
              <w:rPr>
                <w:rFonts w:hint="eastAsia" w:ascii="宋体" w:hAnsi="宋体"/>
                <w:sz w:val="18"/>
                <w:szCs w:val="18"/>
              </w:rPr>
              <w:t>招标投标备案办事流程及时完成相关备案工作</w:t>
            </w: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5</w:t>
            </w:r>
          </w:p>
        </w:tc>
        <w:tc>
          <w:tcPr>
            <w:tcW w:w="850" w:type="dxa"/>
            <w:vMerge w:val="continue"/>
            <w:tcBorders>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0" w:hRule="atLeast"/>
        </w:trPr>
        <w:tc>
          <w:tcPr>
            <w:tcW w:w="644" w:type="dxa"/>
            <w:vMerge w:val="continue"/>
            <w:tcBorders>
              <w:left w:val="single" w:color="auto" w:sz="4" w:space="0"/>
              <w:bottom w:val="single" w:color="000000" w:sz="4" w:space="0"/>
              <w:right w:val="single" w:color="auto" w:sz="4" w:space="0"/>
            </w:tcBorders>
            <w:vAlign w:val="center"/>
          </w:tcPr>
          <w:p>
            <w:pPr>
              <w:adjustRightInd w:val="0"/>
              <w:snapToGrid w:val="0"/>
              <w:jc w:val="left"/>
              <w:rPr>
                <w:rFonts w:ascii="宋体" w:hAnsi="宋体" w:cs="宋体"/>
                <w:kern w:val="0"/>
                <w:sz w:val="18"/>
                <w:szCs w:val="18"/>
              </w:rPr>
            </w:pPr>
          </w:p>
        </w:tc>
        <w:tc>
          <w:tcPr>
            <w:tcW w:w="1440" w:type="dxa"/>
            <w:vMerge w:val="continue"/>
            <w:tcBorders>
              <w:left w:val="single" w:color="auto" w:sz="4" w:space="0"/>
              <w:bottom w:val="single" w:color="000000" w:sz="4" w:space="0"/>
              <w:right w:val="single" w:color="auto" w:sz="4" w:space="0"/>
            </w:tcBorders>
            <w:vAlign w:val="center"/>
          </w:tcPr>
          <w:p>
            <w:pPr>
              <w:adjustRightInd w:val="0"/>
              <w:snapToGrid w:val="0"/>
              <w:jc w:val="left"/>
              <w:rPr>
                <w:rFonts w:ascii="宋体" w:hAnsi="宋体" w:cs="宋体"/>
                <w:kern w:val="0"/>
                <w:sz w:val="18"/>
                <w:szCs w:val="18"/>
              </w:rPr>
            </w:pPr>
          </w:p>
        </w:tc>
        <w:tc>
          <w:tcPr>
            <w:tcW w:w="610" w:type="dxa"/>
            <w:vMerge w:val="continue"/>
            <w:tcBorders>
              <w:left w:val="single" w:color="auto" w:sz="4" w:space="0"/>
              <w:bottom w:val="single" w:color="000000" w:sz="4" w:space="0"/>
              <w:right w:val="single" w:color="auto" w:sz="4" w:space="0"/>
            </w:tcBorders>
            <w:vAlign w:val="center"/>
          </w:tcPr>
          <w:p>
            <w:pPr>
              <w:adjustRightInd w:val="0"/>
              <w:snapToGrid w:val="0"/>
              <w:jc w:val="left"/>
              <w:rPr>
                <w:rFonts w:ascii="宋体" w:hAnsi="宋体" w:cs="宋体"/>
                <w:kern w:val="0"/>
                <w:sz w:val="18"/>
                <w:szCs w:val="18"/>
              </w:rPr>
            </w:pPr>
          </w:p>
        </w:tc>
        <w:tc>
          <w:tcPr>
            <w:tcW w:w="5103" w:type="dxa"/>
            <w:tcBorders>
              <w:top w:val="nil"/>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不能够按照</w:t>
            </w:r>
            <w:r>
              <w:rPr>
                <w:rFonts w:hint="eastAsia" w:ascii="宋体" w:hAnsi="宋体"/>
                <w:sz w:val="18"/>
                <w:szCs w:val="18"/>
              </w:rPr>
              <w:t>招标投标备案办事流程及时完成相关备案工作</w:t>
            </w: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0</w:t>
            </w:r>
          </w:p>
        </w:tc>
        <w:tc>
          <w:tcPr>
            <w:tcW w:w="850" w:type="dxa"/>
            <w:vMerge w:val="continue"/>
            <w:tcBorders>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0" w:hRule="atLeast"/>
        </w:trPr>
        <w:tc>
          <w:tcPr>
            <w:tcW w:w="644"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7</w:t>
            </w:r>
          </w:p>
        </w:tc>
        <w:tc>
          <w:tcPr>
            <w:tcW w:w="144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招标投标程序</w:t>
            </w:r>
          </w:p>
        </w:tc>
        <w:tc>
          <w:tcPr>
            <w:tcW w:w="61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10</w:t>
            </w:r>
          </w:p>
        </w:tc>
        <w:tc>
          <w:tcPr>
            <w:tcW w:w="5103" w:type="dxa"/>
            <w:tcBorders>
              <w:top w:val="single" w:color="auto" w:sz="4" w:space="0"/>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程序安排严谨、合理，过程符合规定，未出现因程序工作疏漏导致招标工作进展迟缓或受到投诉</w:t>
            </w:r>
          </w:p>
        </w:tc>
        <w:tc>
          <w:tcPr>
            <w:tcW w:w="851"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10</w:t>
            </w:r>
          </w:p>
        </w:tc>
        <w:tc>
          <w:tcPr>
            <w:tcW w:w="850" w:type="dxa"/>
            <w:tcBorders>
              <w:top w:val="single" w:color="auto" w:sz="4" w:space="0"/>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0" w:hRule="atLeast"/>
        </w:trPr>
        <w:tc>
          <w:tcPr>
            <w:tcW w:w="644"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1440" w:type="dxa"/>
            <w:vMerge w:val="continue"/>
            <w:tcBorders>
              <w:left w:val="single" w:color="auto" w:sz="4" w:space="0"/>
              <w:right w:val="single" w:color="auto" w:sz="4" w:space="0"/>
            </w:tcBorders>
            <w:vAlign w:val="center"/>
          </w:tcPr>
          <w:p>
            <w:pPr>
              <w:adjustRightInd w:val="0"/>
              <w:snapToGrid w:val="0"/>
              <w:jc w:val="left"/>
              <w:rPr>
                <w:rFonts w:ascii="宋体" w:hAnsi="宋体" w:cs="宋体"/>
                <w:kern w:val="0"/>
                <w:sz w:val="18"/>
                <w:szCs w:val="18"/>
              </w:rPr>
            </w:pPr>
          </w:p>
        </w:tc>
        <w:tc>
          <w:tcPr>
            <w:tcW w:w="610" w:type="dxa"/>
            <w:vMerge w:val="continue"/>
            <w:tcBorders>
              <w:left w:val="single" w:color="auto" w:sz="4" w:space="0"/>
              <w:right w:val="single" w:color="auto" w:sz="4" w:space="0"/>
            </w:tcBorders>
            <w:vAlign w:val="center"/>
          </w:tcPr>
          <w:p>
            <w:pPr>
              <w:adjustRightInd w:val="0"/>
              <w:snapToGrid w:val="0"/>
              <w:jc w:val="left"/>
              <w:rPr>
                <w:rFonts w:ascii="宋体" w:hAnsi="宋体" w:cs="宋体"/>
                <w:kern w:val="0"/>
                <w:sz w:val="18"/>
                <w:szCs w:val="18"/>
              </w:rPr>
            </w:pPr>
          </w:p>
        </w:tc>
        <w:tc>
          <w:tcPr>
            <w:tcW w:w="5103" w:type="dxa"/>
            <w:tcBorders>
              <w:top w:val="nil"/>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程序安排基本严谨、合理，过程符合规定，未出现因程序工作疏漏导致招标工作进展迟缓或受到投诉</w:t>
            </w: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5</w:t>
            </w:r>
          </w:p>
        </w:tc>
        <w:tc>
          <w:tcPr>
            <w:tcW w:w="850" w:type="dxa"/>
            <w:tcBorders>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640" w:hRule="atLeast"/>
        </w:trPr>
        <w:tc>
          <w:tcPr>
            <w:tcW w:w="644"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1440" w:type="dxa"/>
            <w:vMerge w:val="continue"/>
            <w:tcBorders>
              <w:left w:val="single" w:color="auto" w:sz="4" w:space="0"/>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c>
          <w:tcPr>
            <w:tcW w:w="610" w:type="dxa"/>
            <w:vMerge w:val="continue"/>
            <w:tcBorders>
              <w:left w:val="single" w:color="auto" w:sz="4" w:space="0"/>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c>
          <w:tcPr>
            <w:tcW w:w="5103" w:type="dxa"/>
            <w:tcBorders>
              <w:top w:val="nil"/>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程序安排不严谨、合理，违反程序，严重影响招标</w:t>
            </w:r>
            <w:r>
              <w:rPr>
                <w:rFonts w:hint="eastAsia" w:ascii="宋体" w:hAnsi="宋体"/>
                <w:sz w:val="18"/>
                <w:szCs w:val="18"/>
              </w:rPr>
              <w:t>投标</w:t>
            </w:r>
            <w:r>
              <w:rPr>
                <w:rFonts w:hint="eastAsia" w:ascii="宋体" w:hAnsi="宋体" w:cs="宋体"/>
                <w:kern w:val="0"/>
                <w:sz w:val="18"/>
                <w:szCs w:val="18"/>
              </w:rPr>
              <w:t>进度，或因工作疏漏造成招标失败</w:t>
            </w: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0</w:t>
            </w:r>
          </w:p>
        </w:tc>
        <w:tc>
          <w:tcPr>
            <w:tcW w:w="850" w:type="dxa"/>
            <w:tcBorders>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0" w:hRule="atLeast"/>
        </w:trPr>
        <w:tc>
          <w:tcPr>
            <w:tcW w:w="644"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8</w:t>
            </w:r>
          </w:p>
        </w:tc>
        <w:tc>
          <w:tcPr>
            <w:tcW w:w="144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招标投标资料</w:t>
            </w:r>
          </w:p>
        </w:tc>
        <w:tc>
          <w:tcPr>
            <w:tcW w:w="61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10</w:t>
            </w:r>
          </w:p>
        </w:tc>
        <w:tc>
          <w:tcPr>
            <w:tcW w:w="5103" w:type="dxa"/>
            <w:tcBorders>
              <w:top w:val="single" w:color="auto" w:sz="4" w:space="0"/>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r>
              <w:rPr>
                <w:rFonts w:hint="eastAsia" w:ascii="宋体" w:hAnsi="宋体" w:cs="宋体"/>
                <w:kern w:val="0"/>
                <w:sz w:val="18"/>
                <w:szCs w:val="18"/>
              </w:rPr>
              <w:t>能够按照有关规定和合同要求提交完整的招标投标资料</w:t>
            </w:r>
          </w:p>
        </w:tc>
        <w:tc>
          <w:tcPr>
            <w:tcW w:w="851"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10</w:t>
            </w:r>
          </w:p>
        </w:tc>
        <w:tc>
          <w:tcPr>
            <w:tcW w:w="850" w:type="dxa"/>
            <w:tcBorders>
              <w:top w:val="single" w:color="auto" w:sz="4" w:space="0"/>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0" w:hRule="atLeast"/>
        </w:trPr>
        <w:tc>
          <w:tcPr>
            <w:tcW w:w="644" w:type="dxa"/>
            <w:vMerge w:val="continue"/>
            <w:tcBorders>
              <w:left w:val="single" w:color="auto" w:sz="4" w:space="0"/>
              <w:right w:val="single" w:color="auto" w:sz="4" w:space="0"/>
            </w:tcBorders>
            <w:vAlign w:val="center"/>
          </w:tcPr>
          <w:p>
            <w:pPr>
              <w:adjustRightInd w:val="0"/>
              <w:snapToGrid w:val="0"/>
              <w:jc w:val="left"/>
              <w:rPr>
                <w:rFonts w:ascii="宋体" w:hAnsi="宋体" w:cs="宋体"/>
                <w:kern w:val="0"/>
                <w:sz w:val="18"/>
                <w:szCs w:val="18"/>
              </w:rPr>
            </w:pPr>
          </w:p>
        </w:tc>
        <w:tc>
          <w:tcPr>
            <w:tcW w:w="1440" w:type="dxa"/>
            <w:vMerge w:val="continue"/>
            <w:tcBorders>
              <w:left w:val="single" w:color="auto" w:sz="4" w:space="0"/>
              <w:right w:val="single" w:color="auto" w:sz="4" w:space="0"/>
            </w:tcBorders>
            <w:vAlign w:val="center"/>
          </w:tcPr>
          <w:p>
            <w:pPr>
              <w:adjustRightInd w:val="0"/>
              <w:snapToGrid w:val="0"/>
              <w:jc w:val="left"/>
              <w:rPr>
                <w:rFonts w:ascii="宋体" w:hAnsi="宋体" w:cs="宋体"/>
                <w:kern w:val="0"/>
                <w:sz w:val="18"/>
                <w:szCs w:val="18"/>
              </w:rPr>
            </w:pPr>
          </w:p>
        </w:tc>
        <w:tc>
          <w:tcPr>
            <w:tcW w:w="610" w:type="dxa"/>
            <w:vMerge w:val="continue"/>
            <w:tcBorders>
              <w:left w:val="single" w:color="auto" w:sz="4" w:space="0"/>
              <w:right w:val="single" w:color="auto" w:sz="4" w:space="0"/>
            </w:tcBorders>
            <w:vAlign w:val="center"/>
          </w:tcPr>
          <w:p>
            <w:pPr>
              <w:adjustRightInd w:val="0"/>
              <w:snapToGrid w:val="0"/>
              <w:jc w:val="left"/>
              <w:rPr>
                <w:rFonts w:ascii="宋体" w:hAnsi="宋体" w:cs="宋体"/>
                <w:kern w:val="0"/>
                <w:sz w:val="18"/>
                <w:szCs w:val="18"/>
              </w:rPr>
            </w:pPr>
          </w:p>
        </w:tc>
        <w:tc>
          <w:tcPr>
            <w:tcW w:w="5103" w:type="dxa"/>
            <w:tcBorders>
              <w:top w:val="nil"/>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基本能够按照有关规定和合同要求提交招标投标资料</w:t>
            </w: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5</w:t>
            </w:r>
          </w:p>
        </w:tc>
        <w:tc>
          <w:tcPr>
            <w:tcW w:w="850" w:type="dxa"/>
            <w:tcBorders>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0" w:hRule="atLeast"/>
        </w:trPr>
        <w:tc>
          <w:tcPr>
            <w:tcW w:w="644" w:type="dxa"/>
            <w:vMerge w:val="continue"/>
            <w:tcBorders>
              <w:left w:val="single" w:color="auto" w:sz="4" w:space="0"/>
              <w:bottom w:val="single" w:color="000000" w:sz="4" w:space="0"/>
              <w:right w:val="single" w:color="auto" w:sz="4" w:space="0"/>
            </w:tcBorders>
            <w:vAlign w:val="center"/>
          </w:tcPr>
          <w:p>
            <w:pPr>
              <w:adjustRightInd w:val="0"/>
              <w:snapToGrid w:val="0"/>
              <w:jc w:val="left"/>
              <w:rPr>
                <w:rFonts w:ascii="宋体" w:hAnsi="宋体" w:cs="宋体"/>
                <w:kern w:val="0"/>
                <w:sz w:val="18"/>
                <w:szCs w:val="18"/>
              </w:rPr>
            </w:pPr>
          </w:p>
        </w:tc>
        <w:tc>
          <w:tcPr>
            <w:tcW w:w="1440" w:type="dxa"/>
            <w:vMerge w:val="continue"/>
            <w:tcBorders>
              <w:left w:val="single" w:color="auto" w:sz="4" w:space="0"/>
              <w:bottom w:val="single" w:color="000000" w:sz="4" w:space="0"/>
              <w:right w:val="single" w:color="auto" w:sz="4" w:space="0"/>
            </w:tcBorders>
            <w:vAlign w:val="center"/>
          </w:tcPr>
          <w:p>
            <w:pPr>
              <w:adjustRightInd w:val="0"/>
              <w:snapToGrid w:val="0"/>
              <w:jc w:val="left"/>
              <w:rPr>
                <w:rFonts w:ascii="宋体" w:hAnsi="宋体" w:cs="宋体"/>
                <w:kern w:val="0"/>
                <w:sz w:val="18"/>
                <w:szCs w:val="18"/>
              </w:rPr>
            </w:pPr>
          </w:p>
        </w:tc>
        <w:tc>
          <w:tcPr>
            <w:tcW w:w="610" w:type="dxa"/>
            <w:vMerge w:val="continue"/>
            <w:tcBorders>
              <w:left w:val="single" w:color="auto" w:sz="4" w:space="0"/>
              <w:bottom w:val="single" w:color="000000" w:sz="4" w:space="0"/>
              <w:right w:val="single" w:color="auto" w:sz="4" w:space="0"/>
            </w:tcBorders>
            <w:vAlign w:val="center"/>
          </w:tcPr>
          <w:p>
            <w:pPr>
              <w:adjustRightInd w:val="0"/>
              <w:snapToGrid w:val="0"/>
              <w:jc w:val="left"/>
              <w:rPr>
                <w:rFonts w:ascii="宋体" w:hAnsi="宋体" w:cs="宋体"/>
                <w:kern w:val="0"/>
                <w:sz w:val="18"/>
                <w:szCs w:val="18"/>
              </w:rPr>
            </w:pPr>
          </w:p>
        </w:tc>
        <w:tc>
          <w:tcPr>
            <w:tcW w:w="5103" w:type="dxa"/>
            <w:tcBorders>
              <w:top w:val="nil"/>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不能够按照有关规定和合同要求提交完整的招标投标资料</w:t>
            </w: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0</w:t>
            </w:r>
          </w:p>
        </w:tc>
        <w:tc>
          <w:tcPr>
            <w:tcW w:w="850" w:type="dxa"/>
            <w:tcBorders>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0" w:hRule="atLeast"/>
        </w:trPr>
        <w:tc>
          <w:tcPr>
            <w:tcW w:w="644" w:type="dxa"/>
            <w:tcBorders>
              <w:left w:val="single" w:color="auto" w:sz="4" w:space="0"/>
              <w:bottom w:val="single" w:color="000000"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三</w:t>
            </w:r>
          </w:p>
        </w:tc>
        <w:tc>
          <w:tcPr>
            <w:tcW w:w="1440" w:type="dxa"/>
            <w:tcBorders>
              <w:left w:val="single" w:color="auto" w:sz="4" w:space="0"/>
              <w:bottom w:val="single" w:color="000000" w:sz="4" w:space="0"/>
              <w:right w:val="single" w:color="auto" w:sz="4" w:space="0"/>
            </w:tcBorders>
            <w:vAlign w:val="center"/>
          </w:tcPr>
          <w:p>
            <w:pPr>
              <w:adjustRightInd w:val="0"/>
              <w:snapToGrid w:val="0"/>
              <w:jc w:val="center"/>
              <w:rPr>
                <w:rFonts w:ascii="宋体" w:hAnsi="宋体" w:cs="宋体"/>
                <w:b/>
                <w:kern w:val="0"/>
                <w:sz w:val="18"/>
                <w:szCs w:val="18"/>
              </w:rPr>
            </w:pPr>
            <w:r>
              <w:rPr>
                <w:rFonts w:hint="eastAsia" w:ascii="宋体" w:hAnsi="宋体" w:cs="宋体"/>
                <w:b/>
                <w:kern w:val="0"/>
                <w:sz w:val="18"/>
                <w:szCs w:val="18"/>
              </w:rPr>
              <w:t>履约时限</w:t>
            </w:r>
          </w:p>
        </w:tc>
        <w:tc>
          <w:tcPr>
            <w:tcW w:w="610" w:type="dxa"/>
            <w:tcBorders>
              <w:left w:val="single" w:color="auto" w:sz="4" w:space="0"/>
              <w:bottom w:val="single" w:color="000000" w:sz="4" w:space="0"/>
              <w:right w:val="single" w:color="auto" w:sz="4" w:space="0"/>
            </w:tcBorders>
            <w:vAlign w:val="center"/>
          </w:tcPr>
          <w:p>
            <w:pPr>
              <w:adjustRightInd w:val="0"/>
              <w:snapToGrid w:val="0"/>
              <w:jc w:val="center"/>
              <w:rPr>
                <w:rFonts w:ascii="宋体" w:hAnsi="宋体" w:cs="宋体"/>
                <w:b/>
                <w:kern w:val="0"/>
                <w:sz w:val="18"/>
                <w:szCs w:val="18"/>
              </w:rPr>
            </w:pPr>
            <w:r>
              <w:rPr>
                <w:rFonts w:hint="eastAsia" w:ascii="宋体" w:hAnsi="宋体" w:cs="宋体"/>
                <w:b/>
                <w:kern w:val="0"/>
                <w:sz w:val="18"/>
                <w:szCs w:val="18"/>
              </w:rPr>
              <w:t>10</w:t>
            </w:r>
          </w:p>
        </w:tc>
        <w:tc>
          <w:tcPr>
            <w:tcW w:w="5103" w:type="dxa"/>
            <w:tcBorders>
              <w:top w:val="nil"/>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850" w:type="dxa"/>
            <w:tcBorders>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373" w:hRule="atLeast"/>
        </w:trPr>
        <w:tc>
          <w:tcPr>
            <w:tcW w:w="644"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9</w:t>
            </w:r>
          </w:p>
        </w:tc>
        <w:tc>
          <w:tcPr>
            <w:tcW w:w="144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时限要求</w:t>
            </w:r>
          </w:p>
        </w:tc>
        <w:tc>
          <w:tcPr>
            <w:tcW w:w="61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10</w:t>
            </w:r>
          </w:p>
        </w:tc>
        <w:tc>
          <w:tcPr>
            <w:tcW w:w="5103" w:type="dxa"/>
            <w:tcBorders>
              <w:top w:val="single" w:color="auto" w:sz="4" w:space="0"/>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能够合理地安排招标投标时间，及时主动地按照合同要求完成各阶段的工作</w:t>
            </w:r>
          </w:p>
        </w:tc>
        <w:tc>
          <w:tcPr>
            <w:tcW w:w="851"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10</w:t>
            </w:r>
          </w:p>
        </w:tc>
        <w:tc>
          <w:tcPr>
            <w:tcW w:w="850" w:type="dxa"/>
            <w:vMerge w:val="restart"/>
            <w:tcBorders>
              <w:top w:val="single" w:color="auto" w:sz="4" w:space="0"/>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373" w:hRule="atLeast"/>
        </w:trPr>
        <w:tc>
          <w:tcPr>
            <w:tcW w:w="644"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1440" w:type="dxa"/>
            <w:vMerge w:val="continue"/>
            <w:tcBorders>
              <w:left w:val="single" w:color="auto" w:sz="4" w:space="0"/>
              <w:right w:val="single" w:color="auto" w:sz="4" w:space="0"/>
            </w:tcBorders>
            <w:vAlign w:val="center"/>
          </w:tcPr>
          <w:p>
            <w:pPr>
              <w:adjustRightInd w:val="0"/>
              <w:snapToGrid w:val="0"/>
              <w:jc w:val="left"/>
              <w:rPr>
                <w:rFonts w:ascii="宋体" w:hAnsi="宋体" w:cs="宋体"/>
                <w:kern w:val="0"/>
                <w:sz w:val="18"/>
                <w:szCs w:val="18"/>
              </w:rPr>
            </w:pPr>
          </w:p>
        </w:tc>
        <w:tc>
          <w:tcPr>
            <w:tcW w:w="610"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5103" w:type="dxa"/>
            <w:tcBorders>
              <w:top w:val="single" w:color="auto" w:sz="4" w:space="0"/>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基本能够合理地安排招标投标时间，按照合同要求完成各阶段的工作</w:t>
            </w:r>
          </w:p>
        </w:tc>
        <w:tc>
          <w:tcPr>
            <w:tcW w:w="851"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5</w:t>
            </w:r>
          </w:p>
        </w:tc>
        <w:tc>
          <w:tcPr>
            <w:tcW w:w="850" w:type="dxa"/>
            <w:vMerge w:val="continue"/>
            <w:tcBorders>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373" w:hRule="atLeast"/>
        </w:trPr>
        <w:tc>
          <w:tcPr>
            <w:tcW w:w="644"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1440" w:type="dxa"/>
            <w:vMerge w:val="continue"/>
            <w:tcBorders>
              <w:left w:val="single" w:color="auto" w:sz="4" w:space="0"/>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c>
          <w:tcPr>
            <w:tcW w:w="610"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5103" w:type="dxa"/>
            <w:tcBorders>
              <w:top w:val="single" w:color="auto" w:sz="4" w:space="0"/>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不能够合理地安排招标投标时间，未能按照合同要求完成各阶段的工作</w:t>
            </w:r>
          </w:p>
        </w:tc>
        <w:tc>
          <w:tcPr>
            <w:tcW w:w="851"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0</w:t>
            </w:r>
          </w:p>
        </w:tc>
        <w:tc>
          <w:tcPr>
            <w:tcW w:w="850" w:type="dxa"/>
            <w:tcBorders>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0" w:hRule="atLeast"/>
        </w:trPr>
        <w:tc>
          <w:tcPr>
            <w:tcW w:w="64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b/>
                <w:kern w:val="0"/>
                <w:sz w:val="18"/>
                <w:szCs w:val="18"/>
              </w:rPr>
            </w:pPr>
            <w:r>
              <w:rPr>
                <w:rFonts w:hint="eastAsia" w:ascii="宋体" w:hAnsi="宋体" w:cs="宋体"/>
                <w:b/>
                <w:kern w:val="0"/>
                <w:sz w:val="18"/>
                <w:szCs w:val="18"/>
              </w:rPr>
              <w:t>四</w:t>
            </w:r>
          </w:p>
        </w:tc>
        <w:tc>
          <w:tcPr>
            <w:tcW w:w="144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b/>
                <w:kern w:val="0"/>
                <w:sz w:val="18"/>
                <w:szCs w:val="18"/>
              </w:rPr>
            </w:pPr>
            <w:r>
              <w:rPr>
                <w:rFonts w:hint="eastAsia" w:ascii="宋体" w:hAnsi="宋体" w:cs="宋体"/>
                <w:b/>
                <w:kern w:val="0"/>
                <w:sz w:val="18"/>
                <w:szCs w:val="18"/>
              </w:rPr>
              <w:t>配合与服务</w:t>
            </w:r>
          </w:p>
        </w:tc>
        <w:tc>
          <w:tcPr>
            <w:tcW w:w="61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cs="宋体"/>
                <w:b/>
                <w:kern w:val="0"/>
                <w:sz w:val="18"/>
                <w:szCs w:val="18"/>
              </w:rPr>
            </w:pPr>
            <w:r>
              <w:rPr>
                <w:rFonts w:hint="eastAsia" w:ascii="宋体" w:hAnsi="宋体" w:cs="宋体"/>
                <w:b/>
                <w:kern w:val="0"/>
                <w:sz w:val="18"/>
                <w:szCs w:val="18"/>
              </w:rPr>
              <w:t>25</w:t>
            </w:r>
          </w:p>
        </w:tc>
        <w:tc>
          <w:tcPr>
            <w:tcW w:w="5103" w:type="dxa"/>
            <w:tcBorders>
              <w:top w:val="single" w:color="auto" w:sz="4" w:space="0"/>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p>
        </w:tc>
        <w:tc>
          <w:tcPr>
            <w:tcW w:w="851"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850" w:type="dxa"/>
            <w:tcBorders>
              <w:top w:val="single" w:color="auto" w:sz="4" w:space="0"/>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0" w:hRule="atLeast"/>
        </w:trPr>
        <w:tc>
          <w:tcPr>
            <w:tcW w:w="644"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10</w:t>
            </w:r>
          </w:p>
        </w:tc>
        <w:tc>
          <w:tcPr>
            <w:tcW w:w="144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履约准备</w:t>
            </w:r>
          </w:p>
        </w:tc>
        <w:tc>
          <w:tcPr>
            <w:tcW w:w="61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5</w:t>
            </w:r>
          </w:p>
        </w:tc>
        <w:tc>
          <w:tcPr>
            <w:tcW w:w="5103" w:type="dxa"/>
            <w:tcBorders>
              <w:top w:val="single" w:color="auto" w:sz="4" w:space="0"/>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能够及时地按照要求签订合同，并充分地做好履约准备</w:t>
            </w:r>
          </w:p>
        </w:tc>
        <w:tc>
          <w:tcPr>
            <w:tcW w:w="851"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5</w:t>
            </w:r>
          </w:p>
        </w:tc>
        <w:tc>
          <w:tcPr>
            <w:tcW w:w="850" w:type="dxa"/>
            <w:vMerge w:val="restart"/>
            <w:tcBorders>
              <w:top w:val="single" w:color="auto" w:sz="4" w:space="0"/>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0" w:hRule="atLeast"/>
        </w:trPr>
        <w:tc>
          <w:tcPr>
            <w:tcW w:w="644" w:type="dxa"/>
            <w:vMerge w:val="continue"/>
            <w:tcBorders>
              <w:left w:val="single" w:color="auto" w:sz="4" w:space="0"/>
              <w:right w:val="single" w:color="auto" w:sz="4" w:space="0"/>
            </w:tcBorders>
            <w:vAlign w:val="center"/>
          </w:tcPr>
          <w:p>
            <w:pPr>
              <w:adjustRightInd w:val="0"/>
              <w:snapToGrid w:val="0"/>
              <w:jc w:val="center"/>
              <w:rPr>
                <w:rFonts w:ascii="宋体" w:hAnsi="宋体" w:cs="宋体"/>
                <w:b/>
                <w:kern w:val="0"/>
                <w:sz w:val="18"/>
                <w:szCs w:val="18"/>
              </w:rPr>
            </w:pPr>
          </w:p>
        </w:tc>
        <w:tc>
          <w:tcPr>
            <w:tcW w:w="1440" w:type="dxa"/>
            <w:vMerge w:val="continue"/>
            <w:tcBorders>
              <w:left w:val="single" w:color="auto" w:sz="4" w:space="0"/>
              <w:right w:val="single" w:color="auto" w:sz="4" w:space="0"/>
            </w:tcBorders>
            <w:vAlign w:val="center"/>
          </w:tcPr>
          <w:p>
            <w:pPr>
              <w:adjustRightInd w:val="0"/>
              <w:snapToGrid w:val="0"/>
              <w:jc w:val="left"/>
              <w:rPr>
                <w:rFonts w:ascii="宋体" w:hAnsi="宋体" w:cs="宋体"/>
                <w:b/>
                <w:kern w:val="0"/>
                <w:sz w:val="18"/>
                <w:szCs w:val="18"/>
              </w:rPr>
            </w:pPr>
          </w:p>
        </w:tc>
        <w:tc>
          <w:tcPr>
            <w:tcW w:w="610"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5103" w:type="dxa"/>
            <w:tcBorders>
              <w:top w:val="single" w:color="auto" w:sz="4" w:space="0"/>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基本能够及时地按照要求签订合同，并做好履约准备</w:t>
            </w:r>
          </w:p>
        </w:tc>
        <w:tc>
          <w:tcPr>
            <w:tcW w:w="851"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3</w:t>
            </w:r>
          </w:p>
        </w:tc>
        <w:tc>
          <w:tcPr>
            <w:tcW w:w="850" w:type="dxa"/>
            <w:vMerge w:val="continue"/>
            <w:tcBorders>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0" w:hRule="atLeast"/>
        </w:trPr>
        <w:tc>
          <w:tcPr>
            <w:tcW w:w="644"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b/>
                <w:kern w:val="0"/>
                <w:sz w:val="18"/>
                <w:szCs w:val="18"/>
              </w:rPr>
            </w:pPr>
          </w:p>
        </w:tc>
        <w:tc>
          <w:tcPr>
            <w:tcW w:w="1440" w:type="dxa"/>
            <w:vMerge w:val="continue"/>
            <w:tcBorders>
              <w:left w:val="single" w:color="auto" w:sz="4" w:space="0"/>
              <w:bottom w:val="single" w:color="auto" w:sz="4" w:space="0"/>
              <w:right w:val="single" w:color="auto" w:sz="4" w:space="0"/>
            </w:tcBorders>
            <w:vAlign w:val="center"/>
          </w:tcPr>
          <w:p>
            <w:pPr>
              <w:adjustRightInd w:val="0"/>
              <w:snapToGrid w:val="0"/>
              <w:jc w:val="left"/>
              <w:rPr>
                <w:rFonts w:ascii="宋体" w:hAnsi="宋体" w:cs="宋体"/>
                <w:b/>
                <w:kern w:val="0"/>
                <w:sz w:val="18"/>
                <w:szCs w:val="18"/>
              </w:rPr>
            </w:pPr>
          </w:p>
        </w:tc>
        <w:tc>
          <w:tcPr>
            <w:tcW w:w="610"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5103" w:type="dxa"/>
            <w:tcBorders>
              <w:top w:val="single" w:color="auto" w:sz="4" w:space="0"/>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不能够按照要求签订合同，或未能做好履约准备</w:t>
            </w:r>
          </w:p>
        </w:tc>
        <w:tc>
          <w:tcPr>
            <w:tcW w:w="851"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0</w:t>
            </w:r>
          </w:p>
        </w:tc>
        <w:tc>
          <w:tcPr>
            <w:tcW w:w="850" w:type="dxa"/>
            <w:vMerge w:val="continue"/>
            <w:tcBorders>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373" w:hRule="atLeast"/>
        </w:trPr>
        <w:tc>
          <w:tcPr>
            <w:tcW w:w="644"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11</w:t>
            </w:r>
          </w:p>
        </w:tc>
        <w:tc>
          <w:tcPr>
            <w:tcW w:w="144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配合情况</w:t>
            </w:r>
          </w:p>
        </w:tc>
        <w:tc>
          <w:tcPr>
            <w:tcW w:w="61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5</w:t>
            </w:r>
          </w:p>
        </w:tc>
        <w:tc>
          <w:tcPr>
            <w:tcW w:w="5103" w:type="dxa"/>
            <w:tcBorders>
              <w:top w:val="single" w:color="auto" w:sz="4" w:space="0"/>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能够认真主动地配合建设单位及其他相关部门的工作，积极主动地提供招标投标咨询服务</w:t>
            </w:r>
          </w:p>
        </w:tc>
        <w:tc>
          <w:tcPr>
            <w:tcW w:w="851"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5</w:t>
            </w:r>
          </w:p>
        </w:tc>
        <w:tc>
          <w:tcPr>
            <w:tcW w:w="850" w:type="dxa"/>
            <w:vMerge w:val="restart"/>
            <w:tcBorders>
              <w:top w:val="single" w:color="auto" w:sz="4" w:space="0"/>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373" w:hRule="atLeast"/>
        </w:trPr>
        <w:tc>
          <w:tcPr>
            <w:tcW w:w="644" w:type="dxa"/>
            <w:vMerge w:val="continue"/>
            <w:tcBorders>
              <w:left w:val="single" w:color="auto" w:sz="4" w:space="0"/>
              <w:right w:val="single" w:color="auto" w:sz="4" w:space="0"/>
            </w:tcBorders>
            <w:vAlign w:val="center"/>
          </w:tcPr>
          <w:p>
            <w:pPr>
              <w:adjustRightInd w:val="0"/>
              <w:snapToGrid w:val="0"/>
              <w:jc w:val="center"/>
              <w:rPr>
                <w:rFonts w:ascii="宋体" w:hAnsi="宋体" w:cs="宋体"/>
                <w:b/>
                <w:kern w:val="0"/>
                <w:sz w:val="18"/>
                <w:szCs w:val="18"/>
              </w:rPr>
            </w:pPr>
          </w:p>
        </w:tc>
        <w:tc>
          <w:tcPr>
            <w:tcW w:w="1440" w:type="dxa"/>
            <w:vMerge w:val="continue"/>
            <w:tcBorders>
              <w:left w:val="single" w:color="auto" w:sz="4" w:space="0"/>
              <w:right w:val="single" w:color="auto" w:sz="4" w:space="0"/>
            </w:tcBorders>
            <w:vAlign w:val="center"/>
          </w:tcPr>
          <w:p>
            <w:pPr>
              <w:adjustRightInd w:val="0"/>
              <w:snapToGrid w:val="0"/>
              <w:jc w:val="center"/>
              <w:rPr>
                <w:rFonts w:ascii="宋体" w:hAnsi="宋体" w:cs="宋体"/>
                <w:b/>
                <w:kern w:val="0"/>
                <w:sz w:val="18"/>
                <w:szCs w:val="18"/>
              </w:rPr>
            </w:pPr>
          </w:p>
        </w:tc>
        <w:tc>
          <w:tcPr>
            <w:tcW w:w="610"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5103" w:type="dxa"/>
            <w:tcBorders>
              <w:top w:val="single" w:color="auto" w:sz="4" w:space="0"/>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基本能够认真主动地配合建设单位及其他相关部门的工作，能够提供招标投标咨询服务</w:t>
            </w:r>
          </w:p>
        </w:tc>
        <w:tc>
          <w:tcPr>
            <w:tcW w:w="851"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3</w:t>
            </w:r>
          </w:p>
        </w:tc>
        <w:tc>
          <w:tcPr>
            <w:tcW w:w="850" w:type="dxa"/>
            <w:vMerge w:val="continue"/>
            <w:tcBorders>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373" w:hRule="atLeast"/>
        </w:trPr>
        <w:tc>
          <w:tcPr>
            <w:tcW w:w="644"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b/>
                <w:kern w:val="0"/>
                <w:sz w:val="18"/>
                <w:szCs w:val="18"/>
              </w:rPr>
            </w:pPr>
          </w:p>
        </w:tc>
        <w:tc>
          <w:tcPr>
            <w:tcW w:w="1440"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b/>
                <w:kern w:val="0"/>
                <w:sz w:val="18"/>
                <w:szCs w:val="18"/>
              </w:rPr>
            </w:pPr>
          </w:p>
        </w:tc>
        <w:tc>
          <w:tcPr>
            <w:tcW w:w="610"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5103" w:type="dxa"/>
            <w:tcBorders>
              <w:top w:val="single" w:color="auto" w:sz="4" w:space="0"/>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不能够认真主动地配合建设单位及其他相关部门的工作，或未能提供招标投标咨询服务</w:t>
            </w:r>
          </w:p>
        </w:tc>
        <w:tc>
          <w:tcPr>
            <w:tcW w:w="851"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0</w:t>
            </w:r>
          </w:p>
        </w:tc>
        <w:tc>
          <w:tcPr>
            <w:tcW w:w="850" w:type="dxa"/>
            <w:vMerge w:val="continue"/>
            <w:tcBorders>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373" w:hRule="atLeast"/>
        </w:trPr>
        <w:tc>
          <w:tcPr>
            <w:tcW w:w="644"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12</w:t>
            </w:r>
          </w:p>
        </w:tc>
        <w:tc>
          <w:tcPr>
            <w:tcW w:w="144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保密工作</w:t>
            </w:r>
          </w:p>
        </w:tc>
        <w:tc>
          <w:tcPr>
            <w:tcW w:w="61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5</w:t>
            </w:r>
          </w:p>
        </w:tc>
        <w:tc>
          <w:tcPr>
            <w:tcW w:w="5103" w:type="dxa"/>
            <w:tcBorders>
              <w:top w:val="single" w:color="auto" w:sz="4" w:space="0"/>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能够严格保密与招标投标活动有关的应当保密的情况和资料</w:t>
            </w:r>
          </w:p>
        </w:tc>
        <w:tc>
          <w:tcPr>
            <w:tcW w:w="851"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5</w:t>
            </w:r>
          </w:p>
        </w:tc>
        <w:tc>
          <w:tcPr>
            <w:tcW w:w="850" w:type="dxa"/>
            <w:vMerge w:val="restart"/>
            <w:tcBorders>
              <w:top w:val="single" w:color="auto" w:sz="4" w:space="0"/>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0" w:hRule="atLeast"/>
        </w:trPr>
        <w:tc>
          <w:tcPr>
            <w:tcW w:w="644"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b/>
                <w:kern w:val="0"/>
                <w:sz w:val="18"/>
                <w:szCs w:val="18"/>
              </w:rPr>
            </w:pPr>
          </w:p>
        </w:tc>
        <w:tc>
          <w:tcPr>
            <w:tcW w:w="1440"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b/>
                <w:kern w:val="0"/>
                <w:sz w:val="18"/>
                <w:szCs w:val="18"/>
              </w:rPr>
            </w:pPr>
          </w:p>
        </w:tc>
        <w:tc>
          <w:tcPr>
            <w:tcW w:w="610" w:type="dxa"/>
            <w:vMerge w:val="continue"/>
            <w:tcBorders>
              <w:left w:val="single" w:color="auto" w:sz="4" w:space="0"/>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5103" w:type="dxa"/>
            <w:tcBorders>
              <w:top w:val="single" w:color="auto" w:sz="4" w:space="0"/>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泄露应当保密的与招标投标活动有关的情况和资料</w:t>
            </w:r>
          </w:p>
        </w:tc>
        <w:tc>
          <w:tcPr>
            <w:tcW w:w="851"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0</w:t>
            </w:r>
          </w:p>
        </w:tc>
        <w:tc>
          <w:tcPr>
            <w:tcW w:w="850" w:type="dxa"/>
            <w:vMerge w:val="continue"/>
            <w:tcBorders>
              <w:left w:val="nil"/>
              <w:bottom w:val="single" w:color="auto" w:sz="4" w:space="0"/>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163" w:hRule="atLeast"/>
        </w:trPr>
        <w:tc>
          <w:tcPr>
            <w:tcW w:w="644"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13</w:t>
            </w:r>
          </w:p>
        </w:tc>
        <w:tc>
          <w:tcPr>
            <w:tcW w:w="144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诚信情况</w:t>
            </w:r>
          </w:p>
        </w:tc>
        <w:tc>
          <w:tcPr>
            <w:tcW w:w="61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5</w:t>
            </w:r>
          </w:p>
        </w:tc>
        <w:tc>
          <w:tcPr>
            <w:tcW w:w="5103" w:type="dxa"/>
            <w:tcBorders>
              <w:top w:val="single" w:color="auto" w:sz="4" w:space="0"/>
              <w:left w:val="nil"/>
              <w:bottom w:val="single" w:color="auto" w:sz="4" w:space="0"/>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无与投标单位及其他单位串通损害招标人利益和他人权益现象</w:t>
            </w:r>
          </w:p>
        </w:tc>
        <w:tc>
          <w:tcPr>
            <w:tcW w:w="851" w:type="dxa"/>
            <w:tcBorders>
              <w:top w:val="single" w:color="auto" w:sz="4" w:space="0"/>
              <w:left w:val="nil"/>
              <w:bottom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5</w:t>
            </w:r>
          </w:p>
        </w:tc>
        <w:tc>
          <w:tcPr>
            <w:tcW w:w="850" w:type="dxa"/>
            <w:vMerge w:val="restart"/>
            <w:tcBorders>
              <w:top w:val="single" w:color="auto" w:sz="4" w:space="0"/>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0" w:hRule="atLeast"/>
        </w:trPr>
        <w:tc>
          <w:tcPr>
            <w:tcW w:w="644" w:type="dxa"/>
            <w:vMerge w:val="continue"/>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1440" w:type="dxa"/>
            <w:vMerge w:val="continue"/>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610" w:type="dxa"/>
            <w:vMerge w:val="continue"/>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5103" w:type="dxa"/>
            <w:tcBorders>
              <w:top w:val="single" w:color="auto" w:sz="4" w:space="0"/>
              <w:left w:val="nil"/>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有与投标单位及其他单位串通损害招标人利益和他人权益现象</w:t>
            </w:r>
          </w:p>
        </w:tc>
        <w:tc>
          <w:tcPr>
            <w:tcW w:w="851" w:type="dxa"/>
            <w:tcBorders>
              <w:top w:val="single" w:color="auto" w:sz="4" w:space="0"/>
              <w:left w:val="nil"/>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0</w:t>
            </w:r>
          </w:p>
        </w:tc>
        <w:tc>
          <w:tcPr>
            <w:tcW w:w="850" w:type="dxa"/>
            <w:vMerge w:val="continue"/>
            <w:tcBorders>
              <w:top w:val="single" w:color="auto" w:sz="4" w:space="0"/>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0" w:hRule="atLeast"/>
        </w:trPr>
        <w:tc>
          <w:tcPr>
            <w:tcW w:w="644"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14</w:t>
            </w:r>
          </w:p>
        </w:tc>
        <w:tc>
          <w:tcPr>
            <w:tcW w:w="144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后续服务</w:t>
            </w:r>
          </w:p>
        </w:tc>
        <w:tc>
          <w:tcPr>
            <w:tcW w:w="610" w:type="dxa"/>
            <w:vMerge w:val="restart"/>
            <w:tcBorders>
              <w:top w:val="single" w:color="auto" w:sz="4" w:space="0"/>
              <w:left w:val="single" w:color="auto" w:sz="4" w:space="0"/>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5</w:t>
            </w:r>
          </w:p>
        </w:tc>
        <w:tc>
          <w:tcPr>
            <w:tcW w:w="5103" w:type="dxa"/>
            <w:tcBorders>
              <w:top w:val="single" w:color="auto" w:sz="4" w:space="0"/>
              <w:left w:val="nil"/>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能够积极主动按照要求协助招标人做好合同拟定、澄清、签订等后续服务工作</w:t>
            </w:r>
          </w:p>
        </w:tc>
        <w:tc>
          <w:tcPr>
            <w:tcW w:w="851" w:type="dxa"/>
            <w:tcBorders>
              <w:top w:val="single" w:color="auto" w:sz="4" w:space="0"/>
              <w:left w:val="nil"/>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5</w:t>
            </w:r>
          </w:p>
        </w:tc>
        <w:tc>
          <w:tcPr>
            <w:tcW w:w="850" w:type="dxa"/>
            <w:tcBorders>
              <w:top w:val="single" w:color="auto" w:sz="4" w:space="0"/>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0" w:hRule="atLeast"/>
        </w:trPr>
        <w:tc>
          <w:tcPr>
            <w:tcW w:w="644"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1440"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610"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5103" w:type="dxa"/>
            <w:tcBorders>
              <w:top w:val="single" w:color="auto" w:sz="4" w:space="0"/>
              <w:left w:val="nil"/>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基本能够积极主动按照要求协助招标人做好合同拟定、澄清、签订等后续服务工作</w:t>
            </w:r>
          </w:p>
        </w:tc>
        <w:tc>
          <w:tcPr>
            <w:tcW w:w="851" w:type="dxa"/>
            <w:tcBorders>
              <w:top w:val="single" w:color="auto" w:sz="4" w:space="0"/>
              <w:left w:val="nil"/>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3</w:t>
            </w:r>
          </w:p>
        </w:tc>
        <w:tc>
          <w:tcPr>
            <w:tcW w:w="850" w:type="dxa"/>
            <w:tcBorders>
              <w:top w:val="single" w:color="auto" w:sz="4" w:space="0"/>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70" w:hRule="atLeast"/>
        </w:trPr>
        <w:tc>
          <w:tcPr>
            <w:tcW w:w="644"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1440"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610" w:type="dxa"/>
            <w:vMerge w:val="continue"/>
            <w:tcBorders>
              <w:left w:val="single" w:color="auto" w:sz="4" w:space="0"/>
              <w:right w:val="single" w:color="auto" w:sz="4" w:space="0"/>
            </w:tcBorders>
            <w:vAlign w:val="center"/>
          </w:tcPr>
          <w:p>
            <w:pPr>
              <w:adjustRightInd w:val="0"/>
              <w:snapToGrid w:val="0"/>
              <w:jc w:val="center"/>
              <w:rPr>
                <w:rFonts w:ascii="宋体" w:hAnsi="宋体" w:cs="宋体"/>
                <w:kern w:val="0"/>
                <w:sz w:val="18"/>
                <w:szCs w:val="18"/>
              </w:rPr>
            </w:pPr>
          </w:p>
        </w:tc>
        <w:tc>
          <w:tcPr>
            <w:tcW w:w="5103" w:type="dxa"/>
            <w:tcBorders>
              <w:top w:val="single" w:color="auto" w:sz="4" w:space="0"/>
              <w:left w:val="nil"/>
              <w:right w:val="single" w:color="auto" w:sz="4" w:space="0"/>
            </w:tcBorders>
            <w:vAlign w:val="center"/>
          </w:tcPr>
          <w:p>
            <w:pPr>
              <w:adjustRightInd w:val="0"/>
              <w:snapToGrid w:val="0"/>
              <w:rPr>
                <w:rFonts w:ascii="宋体" w:hAnsi="宋体" w:cs="宋体"/>
                <w:kern w:val="0"/>
                <w:sz w:val="18"/>
                <w:szCs w:val="18"/>
              </w:rPr>
            </w:pPr>
            <w:r>
              <w:rPr>
                <w:rFonts w:hint="eastAsia" w:ascii="宋体" w:hAnsi="宋体" w:cs="宋体"/>
                <w:kern w:val="0"/>
                <w:sz w:val="18"/>
                <w:szCs w:val="18"/>
              </w:rPr>
              <w:t>不能够按照要求协助招标人做好合同拟定、澄清、签订等后续服务工作</w:t>
            </w:r>
          </w:p>
        </w:tc>
        <w:tc>
          <w:tcPr>
            <w:tcW w:w="851" w:type="dxa"/>
            <w:tcBorders>
              <w:top w:val="single" w:color="auto" w:sz="4" w:space="0"/>
              <w:left w:val="nil"/>
              <w:right w:val="single" w:color="auto" w:sz="4" w:space="0"/>
            </w:tcBorders>
            <w:vAlign w:val="center"/>
          </w:tcPr>
          <w:p>
            <w:pPr>
              <w:adjustRightInd w:val="0"/>
              <w:snapToGrid w:val="0"/>
              <w:jc w:val="center"/>
              <w:rPr>
                <w:rFonts w:ascii="宋体" w:hAnsi="宋体" w:cs="宋体"/>
                <w:kern w:val="0"/>
                <w:sz w:val="18"/>
                <w:szCs w:val="18"/>
              </w:rPr>
            </w:pPr>
            <w:r>
              <w:rPr>
                <w:rFonts w:hint="eastAsia" w:ascii="宋体" w:hAnsi="宋体" w:cs="宋体"/>
                <w:kern w:val="0"/>
                <w:sz w:val="18"/>
                <w:szCs w:val="18"/>
              </w:rPr>
              <w:t>0</w:t>
            </w:r>
          </w:p>
        </w:tc>
        <w:tc>
          <w:tcPr>
            <w:tcW w:w="850" w:type="dxa"/>
            <w:tcBorders>
              <w:top w:val="single" w:color="auto" w:sz="4" w:space="0"/>
              <w:left w:val="nil"/>
              <w:right w:val="single" w:color="auto" w:sz="4" w:space="0"/>
            </w:tcBorders>
            <w:vAlign w:val="center"/>
          </w:tcPr>
          <w:p>
            <w:pPr>
              <w:adjustRightInd w:val="0"/>
              <w:snapToGrid w:val="0"/>
              <w:jc w:val="left"/>
              <w:rPr>
                <w:rFonts w:ascii="宋体" w:hAnsi="宋体" w:cs="宋体"/>
                <w:kern w:val="0"/>
                <w:sz w:val="18"/>
                <w:szCs w:val="18"/>
              </w:rPr>
            </w:pPr>
          </w:p>
        </w:tc>
      </w:tr>
      <w:tr>
        <w:tblPrEx>
          <w:tblCellMar>
            <w:top w:w="0" w:type="dxa"/>
            <w:left w:w="108" w:type="dxa"/>
            <w:bottom w:w="0" w:type="dxa"/>
            <w:right w:w="108" w:type="dxa"/>
          </w:tblCellMar>
        </w:tblPrEx>
        <w:trPr>
          <w:trHeight w:val="1026" w:hRule="atLeast"/>
        </w:trPr>
        <w:tc>
          <w:tcPr>
            <w:tcW w:w="9498"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ind w:left="620" w:hanging="620" w:hangingChars="343"/>
              <w:rPr>
                <w:rFonts w:ascii="宋体" w:hAnsi="宋体"/>
                <w:sz w:val="18"/>
                <w:szCs w:val="18"/>
              </w:rPr>
            </w:pPr>
            <w:r>
              <w:rPr>
                <w:rFonts w:hint="eastAsia" w:ascii="宋体" w:hAnsi="宋体" w:cs="宋体"/>
                <w:b/>
                <w:kern w:val="0"/>
                <w:sz w:val="18"/>
                <w:szCs w:val="18"/>
              </w:rPr>
              <w:t>注：</w:t>
            </w:r>
            <w:r>
              <w:rPr>
                <w:rFonts w:hint="eastAsia" w:ascii="宋体" w:hAnsi="宋体" w:cs="宋体"/>
                <w:kern w:val="0"/>
                <w:sz w:val="18"/>
                <w:szCs w:val="18"/>
              </w:rPr>
              <w:t>1、</w:t>
            </w:r>
            <w:r>
              <w:rPr>
                <w:rFonts w:hint="eastAsia" w:ascii="宋体" w:hAnsi="宋体"/>
                <w:sz w:val="18"/>
                <w:szCs w:val="18"/>
              </w:rPr>
              <w:t>工程建设单位可结合其工程特点和具体要求，增加和量化具体评分指标，制定评分表，并按百分制将分项分值以百分比折算后进行调整。</w:t>
            </w:r>
          </w:p>
          <w:p>
            <w:pPr>
              <w:adjustRightInd w:val="0"/>
              <w:snapToGrid w:val="0"/>
              <w:ind w:left="631" w:leftChars="172" w:hanging="270" w:hangingChars="150"/>
              <w:rPr>
                <w:rFonts w:ascii="宋体" w:hAnsi="宋体" w:cs="宋体"/>
                <w:kern w:val="0"/>
                <w:sz w:val="18"/>
                <w:szCs w:val="18"/>
              </w:rPr>
            </w:pPr>
            <w:r>
              <w:rPr>
                <w:rFonts w:hint="eastAsia" w:ascii="宋体" w:hAnsi="宋体" w:cs="宋体"/>
                <w:kern w:val="0"/>
                <w:sz w:val="18"/>
                <w:szCs w:val="18"/>
              </w:rPr>
              <w:t>2、</w:t>
            </w:r>
            <w:r>
              <w:rPr>
                <w:rFonts w:hint="eastAsia" w:ascii="宋体" w:hAnsi="宋体"/>
                <w:sz w:val="18"/>
                <w:szCs w:val="18"/>
              </w:rPr>
              <w:t>规定的评分指标中，招标文件</w:t>
            </w:r>
            <w:r>
              <w:rPr>
                <w:rFonts w:hint="eastAsia" w:ascii="宋体" w:hAnsi="宋体" w:cs="宋体"/>
                <w:kern w:val="0"/>
                <w:sz w:val="18"/>
                <w:szCs w:val="18"/>
              </w:rPr>
              <w:t>或合同</w:t>
            </w:r>
            <w:r>
              <w:rPr>
                <w:rFonts w:hint="eastAsia" w:ascii="宋体" w:hAnsi="宋体"/>
                <w:sz w:val="18"/>
                <w:szCs w:val="18"/>
              </w:rPr>
              <w:t>无委托实施的内容，不计入评分，其分值按百分比折算后计入其他指标中或对总得分按百分比进行折算。</w:t>
            </w:r>
          </w:p>
        </w:tc>
      </w:tr>
    </w:tbl>
    <w:p/>
    <w:p>
      <w:pPr>
        <w:widowControl/>
        <w:jc w:val="left"/>
        <w:rPr>
          <w:rFonts w:ascii="仿宋" w:hAnsi="仿宋" w:eastAsia="仿宋"/>
          <w:sz w:val="32"/>
          <w:szCs w:val="32"/>
        </w:rPr>
        <w:sectPr>
          <w:pgSz w:w="11906" w:h="16838"/>
          <w:pgMar w:top="1440" w:right="1800" w:bottom="1440" w:left="1800" w:header="851" w:footer="992" w:gutter="0"/>
          <w:cols w:space="425" w:num="1"/>
          <w:docGrid w:type="lines" w:linePitch="312" w:charSpace="0"/>
        </w:sectPr>
      </w:pPr>
    </w:p>
    <w:tbl>
      <w:tblPr>
        <w:tblStyle w:val="9"/>
        <w:tblpPr w:leftFromText="180" w:rightFromText="180" w:vertAnchor="text" w:horzAnchor="margin" w:tblpX="74" w:tblpY="79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3190"/>
        <w:gridCol w:w="3047"/>
        <w:gridCol w:w="6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668" w:type="dxa"/>
            <w:vAlign w:val="center"/>
          </w:tcPr>
          <w:p>
            <w:pPr>
              <w:spacing w:line="276" w:lineRule="auto"/>
              <w:jc w:val="center"/>
              <w:rPr>
                <w:rFonts w:ascii="宋体" w:hAnsi="宋体"/>
                <w:b/>
                <w:szCs w:val="21"/>
              </w:rPr>
            </w:pPr>
            <w:r>
              <w:rPr>
                <w:rFonts w:hint="eastAsia" w:ascii="宋体" w:hAnsi="宋体"/>
                <w:szCs w:val="21"/>
              </w:rPr>
              <w:t>工程名称</w:t>
            </w:r>
          </w:p>
        </w:tc>
        <w:tc>
          <w:tcPr>
            <w:tcW w:w="3190" w:type="dxa"/>
            <w:vAlign w:val="center"/>
          </w:tcPr>
          <w:p>
            <w:pPr>
              <w:spacing w:line="276" w:lineRule="auto"/>
              <w:rPr>
                <w:rFonts w:ascii="宋体" w:hAnsi="宋体"/>
                <w:b/>
                <w:szCs w:val="21"/>
              </w:rPr>
            </w:pPr>
          </w:p>
        </w:tc>
        <w:tc>
          <w:tcPr>
            <w:tcW w:w="3047" w:type="dxa"/>
            <w:tcBorders>
              <w:top w:val="nil"/>
            </w:tcBorders>
            <w:vAlign w:val="center"/>
          </w:tcPr>
          <w:p>
            <w:pPr>
              <w:spacing w:line="276" w:lineRule="auto"/>
              <w:jc w:val="center"/>
              <w:rPr>
                <w:rFonts w:ascii="宋体" w:hAnsi="宋体"/>
                <w:b/>
                <w:szCs w:val="21"/>
              </w:rPr>
            </w:pPr>
            <w:r>
              <w:rPr>
                <w:rFonts w:hint="eastAsia" w:ascii="宋体" w:hAnsi="宋体"/>
                <w:szCs w:val="21"/>
              </w:rPr>
              <w:t>承 包 商</w:t>
            </w:r>
          </w:p>
        </w:tc>
        <w:tc>
          <w:tcPr>
            <w:tcW w:w="6128" w:type="dxa"/>
            <w:tcBorders>
              <w:top w:val="nil"/>
            </w:tcBorders>
            <w:vAlign w:val="center"/>
          </w:tcPr>
          <w:p>
            <w:pPr>
              <w:spacing w:line="276" w:lineRule="auto"/>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68" w:type="dxa"/>
            <w:vAlign w:val="center"/>
          </w:tcPr>
          <w:p>
            <w:pPr>
              <w:spacing w:line="276" w:lineRule="auto"/>
              <w:jc w:val="center"/>
              <w:rPr>
                <w:rFonts w:ascii="宋体" w:hAnsi="宋体"/>
                <w:b/>
                <w:szCs w:val="21"/>
              </w:rPr>
            </w:pPr>
            <w:r>
              <w:rPr>
                <w:rFonts w:hint="eastAsia" w:ascii="宋体" w:hAnsi="宋体"/>
                <w:szCs w:val="21"/>
              </w:rPr>
              <w:t>总 得 分</w:t>
            </w:r>
          </w:p>
        </w:tc>
        <w:tc>
          <w:tcPr>
            <w:tcW w:w="3190" w:type="dxa"/>
            <w:vAlign w:val="center"/>
          </w:tcPr>
          <w:p>
            <w:pPr>
              <w:spacing w:line="276" w:lineRule="auto"/>
              <w:rPr>
                <w:rFonts w:ascii="宋体" w:hAnsi="宋体"/>
                <w:b/>
                <w:szCs w:val="21"/>
              </w:rPr>
            </w:pPr>
          </w:p>
        </w:tc>
        <w:tc>
          <w:tcPr>
            <w:tcW w:w="3047" w:type="dxa"/>
            <w:vAlign w:val="center"/>
          </w:tcPr>
          <w:p>
            <w:pPr>
              <w:spacing w:line="276" w:lineRule="auto"/>
              <w:jc w:val="center"/>
              <w:rPr>
                <w:rFonts w:ascii="宋体" w:hAnsi="宋体"/>
                <w:b/>
                <w:szCs w:val="21"/>
              </w:rPr>
            </w:pPr>
            <w:r>
              <w:rPr>
                <w:rFonts w:hint="eastAsia" w:ascii="宋体" w:hAnsi="宋体"/>
                <w:szCs w:val="21"/>
              </w:rPr>
              <w:t>评价等级</w:t>
            </w:r>
          </w:p>
        </w:tc>
        <w:tc>
          <w:tcPr>
            <w:tcW w:w="6128" w:type="dxa"/>
            <w:vAlign w:val="center"/>
          </w:tcPr>
          <w:p>
            <w:pPr>
              <w:spacing w:line="276" w:lineRule="auto"/>
              <w:ind w:firstLine="210" w:firstLineChars="100"/>
              <w:rPr>
                <w:rFonts w:ascii="宋体" w:hAnsi="宋体"/>
                <w:b/>
                <w:szCs w:val="21"/>
              </w:rPr>
            </w:pPr>
            <w:r>
              <w:rPr>
                <w:rFonts w:hint="eastAsia" w:ascii="宋体" w:hAnsi="宋体"/>
                <w:szCs w:val="21"/>
              </w:rPr>
              <w:t>□优  □良 □中  □合格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1668" w:type="dxa"/>
            <w:vAlign w:val="center"/>
          </w:tcPr>
          <w:p>
            <w:pPr>
              <w:spacing w:line="276" w:lineRule="auto"/>
              <w:jc w:val="center"/>
              <w:rPr>
                <w:rFonts w:ascii="宋体" w:hAnsi="宋体"/>
                <w:b/>
                <w:szCs w:val="21"/>
              </w:rPr>
            </w:pPr>
            <w:r>
              <w:rPr>
                <w:rFonts w:hint="eastAsia"/>
                <w:szCs w:val="21"/>
              </w:rPr>
              <w:t>建设单位</w:t>
            </w:r>
          </w:p>
        </w:tc>
        <w:tc>
          <w:tcPr>
            <w:tcW w:w="3190" w:type="dxa"/>
            <w:vAlign w:val="center"/>
          </w:tcPr>
          <w:p>
            <w:pPr>
              <w:spacing w:line="276" w:lineRule="auto"/>
              <w:rPr>
                <w:rFonts w:ascii="宋体" w:hAnsi="宋体"/>
                <w:b/>
                <w:szCs w:val="21"/>
              </w:rPr>
            </w:pPr>
          </w:p>
        </w:tc>
        <w:tc>
          <w:tcPr>
            <w:tcW w:w="3047" w:type="dxa"/>
            <w:vAlign w:val="center"/>
          </w:tcPr>
          <w:p>
            <w:pPr>
              <w:spacing w:line="276" w:lineRule="auto"/>
              <w:jc w:val="center"/>
              <w:rPr>
                <w:rFonts w:ascii="宋体" w:hAnsi="宋体"/>
                <w:b/>
                <w:szCs w:val="21"/>
              </w:rPr>
            </w:pPr>
            <w:r>
              <w:rPr>
                <w:rFonts w:hint="eastAsia" w:ascii="宋体" w:hAnsi="宋体"/>
                <w:szCs w:val="21"/>
              </w:rPr>
              <w:t>评价时间</w:t>
            </w:r>
          </w:p>
        </w:tc>
        <w:tc>
          <w:tcPr>
            <w:tcW w:w="6128" w:type="dxa"/>
            <w:vAlign w:val="center"/>
          </w:tcPr>
          <w:p>
            <w:pPr>
              <w:wordWrap w:val="0"/>
              <w:spacing w:line="276" w:lineRule="auto"/>
              <w:jc w:val="right"/>
              <w:rPr>
                <w:rFonts w:ascii="宋体" w:hAnsi="宋体"/>
                <w:b/>
                <w:szCs w:val="21"/>
              </w:rPr>
            </w:pPr>
            <w:r>
              <w:rPr>
                <w:rFonts w:hint="eastAsia" w:ascii="宋体" w:hAnsi="宋体"/>
                <w:szCs w:val="21"/>
              </w:rPr>
              <w:t xml:space="preserve"> 年    月    日 </w:t>
            </w:r>
          </w:p>
        </w:tc>
      </w:tr>
    </w:tbl>
    <w:p>
      <w:pPr>
        <w:widowControl/>
        <w:tabs>
          <w:tab w:val="left" w:pos="1620"/>
        </w:tabs>
        <w:jc w:val="center"/>
        <w:rPr>
          <w:rFonts w:ascii="黑体" w:hAnsi="宋体" w:eastAsia="黑体" w:cs="宋体"/>
          <w:bCs/>
          <w:kern w:val="0"/>
          <w:sz w:val="32"/>
          <w:szCs w:val="32"/>
        </w:rPr>
      </w:pPr>
      <w:r>
        <w:rPr>
          <w:rFonts w:hint="eastAsia" w:ascii="黑体" w:hAnsi="宋体" w:eastAsia="黑体" w:cs="宋体"/>
          <w:bCs/>
          <w:kern w:val="0"/>
          <w:sz w:val="32"/>
          <w:szCs w:val="32"/>
        </w:rPr>
        <w:t>罗湖区建设工程市场主体履约评价表(设计)</w:t>
      </w:r>
    </w:p>
    <w:p>
      <w:pPr>
        <w:tabs>
          <w:tab w:val="left" w:pos="3780"/>
        </w:tabs>
      </w:pPr>
      <w:r>
        <w:tab/>
      </w:r>
    </w:p>
    <w:tbl>
      <w:tblPr>
        <w:tblStyle w:val="9"/>
        <w:tblW w:w="0" w:type="auto"/>
        <w:tblInd w:w="93" w:type="dxa"/>
        <w:tblLayout w:type="fixed"/>
        <w:tblCellMar>
          <w:top w:w="0" w:type="dxa"/>
          <w:left w:w="108" w:type="dxa"/>
          <w:bottom w:w="0" w:type="dxa"/>
          <w:right w:w="108" w:type="dxa"/>
        </w:tblCellMar>
      </w:tblPr>
      <w:tblGrid>
        <w:gridCol w:w="498"/>
        <w:gridCol w:w="1502"/>
        <w:gridCol w:w="709"/>
        <w:gridCol w:w="4252"/>
        <w:gridCol w:w="4394"/>
        <w:gridCol w:w="851"/>
        <w:gridCol w:w="850"/>
        <w:gridCol w:w="908"/>
      </w:tblGrid>
      <w:tr>
        <w:tblPrEx>
          <w:tblCellMar>
            <w:top w:w="0" w:type="dxa"/>
            <w:left w:w="108" w:type="dxa"/>
            <w:bottom w:w="0" w:type="dxa"/>
            <w:right w:w="108" w:type="dxa"/>
          </w:tblCellMar>
        </w:tblPrEx>
        <w:trPr>
          <w:trHeight w:val="831" w:hRule="atLeast"/>
        </w:trPr>
        <w:tc>
          <w:tcPr>
            <w:tcW w:w="4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kern w:val="0"/>
                <w:szCs w:val="21"/>
              </w:rPr>
            </w:pPr>
            <w:r>
              <w:rPr>
                <w:rFonts w:hint="eastAsia" w:ascii="宋体" w:hAnsi="宋体" w:cs="宋体"/>
                <w:b/>
                <w:bCs/>
                <w:kern w:val="0"/>
                <w:szCs w:val="21"/>
              </w:rPr>
              <w:t>序</w:t>
            </w:r>
            <w:r>
              <w:rPr>
                <w:rFonts w:hint="eastAsia" w:ascii="宋体" w:hAnsi="宋体" w:cs="宋体"/>
                <w:b/>
                <w:bCs/>
                <w:kern w:val="0"/>
                <w:szCs w:val="21"/>
              </w:rPr>
              <w:br w:type="textWrapping"/>
            </w:r>
            <w:r>
              <w:rPr>
                <w:rFonts w:hint="eastAsia" w:ascii="宋体" w:hAnsi="宋体" w:cs="宋体"/>
                <w:b/>
                <w:bCs/>
                <w:kern w:val="0"/>
                <w:szCs w:val="21"/>
              </w:rPr>
              <w:t>号</w:t>
            </w:r>
          </w:p>
        </w:tc>
        <w:tc>
          <w:tcPr>
            <w:tcW w:w="150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kern w:val="0"/>
                <w:szCs w:val="21"/>
              </w:rPr>
            </w:pPr>
            <w:r>
              <w:rPr>
                <w:rFonts w:hint="eastAsia" w:ascii="宋体" w:hAnsi="宋体" w:cs="宋体"/>
                <w:b/>
                <w:bCs/>
                <w:kern w:val="0"/>
                <w:szCs w:val="21"/>
              </w:rPr>
              <w:t>内容</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kern w:val="0"/>
                <w:szCs w:val="21"/>
              </w:rPr>
            </w:pPr>
            <w:r>
              <w:rPr>
                <w:rFonts w:hint="eastAsia" w:ascii="宋体" w:hAnsi="宋体" w:cs="宋体"/>
                <w:b/>
                <w:bCs/>
                <w:kern w:val="0"/>
                <w:szCs w:val="21"/>
              </w:rPr>
              <w:t>单项</w:t>
            </w:r>
            <w:r>
              <w:rPr>
                <w:rFonts w:hint="eastAsia" w:ascii="宋体" w:hAnsi="宋体" w:cs="宋体"/>
                <w:b/>
                <w:bCs/>
                <w:kern w:val="0"/>
                <w:szCs w:val="21"/>
              </w:rPr>
              <w:br w:type="textWrapping"/>
            </w:r>
            <w:r>
              <w:rPr>
                <w:rFonts w:hint="eastAsia" w:ascii="宋体" w:hAnsi="宋体" w:cs="宋体"/>
                <w:b/>
                <w:bCs/>
                <w:kern w:val="0"/>
                <w:szCs w:val="21"/>
              </w:rPr>
              <w:t>分值</w:t>
            </w:r>
          </w:p>
        </w:tc>
        <w:tc>
          <w:tcPr>
            <w:tcW w:w="425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kern w:val="0"/>
                <w:szCs w:val="21"/>
              </w:rPr>
            </w:pPr>
            <w:r>
              <w:rPr>
                <w:rFonts w:hint="eastAsia" w:ascii="宋体" w:hAnsi="宋体" w:cs="宋体"/>
                <w:bCs/>
                <w:kern w:val="0"/>
                <w:szCs w:val="21"/>
              </w:rPr>
              <w:t>评价要求</w:t>
            </w:r>
          </w:p>
        </w:tc>
        <w:tc>
          <w:tcPr>
            <w:tcW w:w="43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kern w:val="0"/>
                <w:szCs w:val="21"/>
              </w:rPr>
            </w:pPr>
            <w:r>
              <w:rPr>
                <w:rFonts w:hint="eastAsia" w:ascii="宋体" w:hAnsi="宋体" w:cs="宋体"/>
                <w:bCs/>
                <w:kern w:val="0"/>
                <w:szCs w:val="21"/>
              </w:rPr>
              <w:t>评分标准</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kern w:val="0"/>
                <w:szCs w:val="21"/>
              </w:rPr>
            </w:pPr>
            <w:r>
              <w:rPr>
                <w:rFonts w:hint="eastAsia" w:ascii="宋体" w:hAnsi="宋体" w:cs="宋体"/>
                <w:bCs/>
                <w:kern w:val="0"/>
                <w:szCs w:val="21"/>
              </w:rPr>
              <w:t>分值</w:t>
            </w:r>
          </w:p>
        </w:tc>
        <w:tc>
          <w:tcPr>
            <w:tcW w:w="850" w:type="dxa"/>
            <w:tcBorders>
              <w:top w:val="single" w:color="auto" w:sz="4" w:space="0"/>
              <w:left w:val="nil"/>
              <w:bottom w:val="single" w:color="auto" w:sz="4" w:space="0"/>
              <w:right w:val="single" w:color="auto" w:sz="4" w:space="0"/>
            </w:tcBorders>
            <w:vAlign w:val="center"/>
          </w:tcPr>
          <w:p>
            <w:pPr>
              <w:jc w:val="center"/>
              <w:rPr>
                <w:rFonts w:ascii="宋体" w:hAnsi="宋体" w:cs="宋体"/>
                <w:bCs/>
                <w:kern w:val="0"/>
                <w:szCs w:val="21"/>
              </w:rPr>
            </w:pPr>
            <w:r>
              <w:rPr>
                <w:rFonts w:hint="eastAsia" w:ascii="宋体" w:hAnsi="宋体" w:cs="宋体"/>
                <w:bCs/>
                <w:kern w:val="0"/>
                <w:szCs w:val="21"/>
              </w:rPr>
              <w:t>应得分</w:t>
            </w:r>
          </w:p>
        </w:tc>
        <w:tc>
          <w:tcPr>
            <w:tcW w:w="908" w:type="dxa"/>
            <w:tcBorders>
              <w:top w:val="single" w:color="auto" w:sz="4" w:space="0"/>
              <w:left w:val="nil"/>
              <w:bottom w:val="single" w:color="auto" w:sz="4" w:space="0"/>
              <w:right w:val="single" w:color="auto" w:sz="4" w:space="0"/>
            </w:tcBorders>
            <w:vAlign w:val="center"/>
          </w:tcPr>
          <w:p>
            <w:pPr>
              <w:jc w:val="center"/>
              <w:rPr>
                <w:rFonts w:ascii="宋体" w:hAnsi="宋体" w:cs="宋体"/>
                <w:bCs/>
                <w:kern w:val="0"/>
                <w:szCs w:val="21"/>
              </w:rPr>
            </w:pPr>
            <w:r>
              <w:rPr>
                <w:rFonts w:hint="eastAsia" w:ascii="宋体" w:hAnsi="宋体" w:cs="宋体"/>
                <w:bCs/>
                <w:kern w:val="0"/>
                <w:szCs w:val="21"/>
              </w:rPr>
              <w:t>实得分</w:t>
            </w:r>
          </w:p>
        </w:tc>
      </w:tr>
      <w:tr>
        <w:tblPrEx>
          <w:tblCellMar>
            <w:top w:w="0" w:type="dxa"/>
            <w:left w:w="108" w:type="dxa"/>
            <w:bottom w:w="0" w:type="dxa"/>
            <w:right w:w="108" w:type="dxa"/>
          </w:tblCellMar>
        </w:tblPrEx>
        <w:trPr>
          <w:trHeight w:val="315" w:hRule="atLeast"/>
        </w:trPr>
        <w:tc>
          <w:tcPr>
            <w:tcW w:w="498" w:type="dxa"/>
            <w:vMerge w:val="restart"/>
            <w:tcBorders>
              <w:top w:val="nil"/>
              <w:left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一</w:t>
            </w:r>
          </w:p>
        </w:tc>
        <w:tc>
          <w:tcPr>
            <w:tcW w:w="1502"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项目负责</w:t>
            </w:r>
            <w:r>
              <w:rPr>
                <w:rFonts w:hint="eastAsia" w:ascii="宋体" w:hAnsi="宋体" w:cs="宋体"/>
                <w:b/>
                <w:kern w:val="0"/>
                <w:szCs w:val="21"/>
              </w:rPr>
              <w:br w:type="textWrapping"/>
            </w:r>
            <w:r>
              <w:rPr>
                <w:rFonts w:hint="eastAsia" w:ascii="宋体" w:hAnsi="宋体" w:cs="宋体"/>
                <w:b/>
                <w:kern w:val="0"/>
                <w:szCs w:val="21"/>
              </w:rPr>
              <w:t>人要求</w:t>
            </w:r>
          </w:p>
        </w:tc>
        <w:tc>
          <w:tcPr>
            <w:tcW w:w="709" w:type="dxa"/>
            <w:vMerge w:val="restart"/>
            <w:tcBorders>
              <w:top w:val="nil"/>
              <w:left w:val="single" w:color="auto" w:sz="4" w:space="0"/>
              <w:bottom w:val="single" w:color="auto" w:sz="4" w:space="0"/>
              <w:right w:val="single" w:color="auto" w:sz="4" w:space="0"/>
            </w:tcBorders>
            <w:vAlign w:val="center"/>
          </w:tcPr>
          <w:p>
            <w:pPr>
              <w:jc w:val="center"/>
              <w:rPr>
                <w:rFonts w:ascii="仿宋_GB2312" w:hAnsi="宋体" w:eastAsia="仿宋_GB2312" w:cs="宋体"/>
                <w:b/>
                <w:kern w:val="0"/>
                <w:szCs w:val="21"/>
              </w:rPr>
            </w:pPr>
            <w:r>
              <w:rPr>
                <w:rFonts w:hint="eastAsia" w:ascii="仿宋_GB2312" w:hAnsi="宋体" w:eastAsia="仿宋_GB2312" w:cs="宋体"/>
                <w:b/>
                <w:kern w:val="0"/>
                <w:szCs w:val="21"/>
              </w:rPr>
              <w:t>5</w:t>
            </w: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具有相应专业高级职称，符合招标文件要求</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低于相应专业高级职称,扣1分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285" w:hRule="atLeast"/>
        </w:trPr>
        <w:tc>
          <w:tcPr>
            <w:tcW w:w="498" w:type="dxa"/>
            <w:vMerge w:val="continue"/>
            <w:tcBorders>
              <w:left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b/>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b/>
                <w:kern w:val="0"/>
                <w:szCs w:val="21"/>
              </w:rPr>
            </w:pP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人员稳定无更换</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每更换一次,扣0.5分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285" w:hRule="atLeast"/>
        </w:trPr>
        <w:tc>
          <w:tcPr>
            <w:tcW w:w="498" w:type="dxa"/>
            <w:vMerge w:val="continue"/>
            <w:tcBorders>
              <w:left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b/>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b/>
                <w:kern w:val="0"/>
                <w:szCs w:val="21"/>
              </w:rPr>
            </w:pP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及时发现问题和处理问题</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发现问题后未及时处理,每发生一次扣0.5分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285" w:hRule="atLeast"/>
        </w:trPr>
        <w:tc>
          <w:tcPr>
            <w:tcW w:w="498" w:type="dxa"/>
            <w:vMerge w:val="continue"/>
            <w:tcBorders>
              <w:left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b/>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b/>
                <w:kern w:val="0"/>
                <w:szCs w:val="21"/>
              </w:rPr>
            </w:pP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具有较强的专业协调能力</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工作协调不到位，专业能力不够，扣1分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720" w:hRule="atLeast"/>
        </w:trPr>
        <w:tc>
          <w:tcPr>
            <w:tcW w:w="498" w:type="dxa"/>
            <w:vMerge w:val="continue"/>
            <w:tcBorders>
              <w:left w:val="single" w:color="auto" w:sz="4" w:space="0"/>
              <w:bottom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b/>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b/>
                <w:kern w:val="0"/>
                <w:szCs w:val="21"/>
              </w:rPr>
            </w:pP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能与建设单位、主管部门、监理、施工等相关单位充分沟通</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1、与相关参建单位没及时沟通；</w:t>
            </w:r>
            <w:r>
              <w:rPr>
                <w:rFonts w:hint="eastAsia" w:ascii="宋体" w:hAnsi="宋体" w:cs="宋体"/>
                <w:kern w:val="0"/>
                <w:szCs w:val="21"/>
              </w:rPr>
              <w:br w:type="textWrapping"/>
            </w:r>
            <w:r>
              <w:rPr>
                <w:rFonts w:hint="eastAsia" w:ascii="宋体" w:hAnsi="宋体" w:cs="宋体"/>
                <w:kern w:val="0"/>
                <w:szCs w:val="21"/>
              </w:rPr>
              <w:t>2、不参加甲方组织的相关邀请会议。</w:t>
            </w:r>
            <w:r>
              <w:rPr>
                <w:rFonts w:hint="eastAsia" w:ascii="宋体" w:hAnsi="宋体" w:cs="宋体"/>
                <w:kern w:val="0"/>
                <w:szCs w:val="21"/>
              </w:rPr>
              <w:br w:type="textWrapping"/>
            </w:r>
            <w:r>
              <w:rPr>
                <w:rFonts w:hint="eastAsia" w:ascii="宋体" w:hAnsi="宋体" w:cs="宋体"/>
                <w:kern w:val="0"/>
                <w:szCs w:val="21"/>
              </w:rPr>
              <w:t>以上各项每发生一次扣0.5分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480" w:hRule="atLeast"/>
        </w:trPr>
        <w:tc>
          <w:tcPr>
            <w:tcW w:w="498" w:type="dxa"/>
            <w:vMerge w:val="restart"/>
            <w:tcBorders>
              <w:top w:val="nil"/>
              <w:left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二</w:t>
            </w:r>
          </w:p>
        </w:tc>
        <w:tc>
          <w:tcPr>
            <w:tcW w:w="1502"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资料的收</w:t>
            </w:r>
            <w:r>
              <w:rPr>
                <w:rFonts w:hint="eastAsia" w:ascii="宋体" w:hAnsi="宋体" w:cs="宋体"/>
                <w:b/>
                <w:kern w:val="0"/>
                <w:szCs w:val="21"/>
              </w:rPr>
              <w:br w:type="textWrapping"/>
            </w:r>
            <w:r>
              <w:rPr>
                <w:rFonts w:hint="eastAsia" w:ascii="宋体" w:hAnsi="宋体" w:cs="宋体"/>
                <w:b/>
                <w:kern w:val="0"/>
                <w:szCs w:val="21"/>
              </w:rPr>
              <w:t>集、整理</w:t>
            </w:r>
          </w:p>
        </w:tc>
        <w:tc>
          <w:tcPr>
            <w:tcW w:w="709" w:type="dxa"/>
            <w:vMerge w:val="restart"/>
            <w:tcBorders>
              <w:top w:val="nil"/>
              <w:left w:val="single" w:color="auto" w:sz="4" w:space="0"/>
              <w:bottom w:val="single" w:color="auto" w:sz="4" w:space="0"/>
              <w:right w:val="single" w:color="auto" w:sz="4" w:space="0"/>
            </w:tcBorders>
            <w:vAlign w:val="center"/>
          </w:tcPr>
          <w:p>
            <w:pPr>
              <w:jc w:val="center"/>
              <w:rPr>
                <w:rFonts w:ascii="仿宋_GB2312" w:hAnsi="宋体" w:eastAsia="仿宋_GB2312" w:cs="宋体"/>
                <w:b/>
                <w:kern w:val="0"/>
                <w:szCs w:val="21"/>
              </w:rPr>
            </w:pPr>
            <w:r>
              <w:rPr>
                <w:rFonts w:hint="eastAsia" w:ascii="仿宋_GB2312" w:hAnsi="宋体" w:eastAsia="仿宋_GB2312" w:cs="宋体"/>
                <w:b/>
                <w:kern w:val="0"/>
                <w:szCs w:val="21"/>
              </w:rPr>
              <w:t>3</w:t>
            </w: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现场踏勘，预见性提出建设性意见</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现场踏勘，没有较合理的具有建设意义的预见性意见，扣1分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285" w:hRule="atLeast"/>
        </w:trPr>
        <w:tc>
          <w:tcPr>
            <w:tcW w:w="498" w:type="dxa"/>
            <w:vMerge w:val="continue"/>
            <w:tcBorders>
              <w:left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b/>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b/>
                <w:kern w:val="0"/>
                <w:szCs w:val="21"/>
              </w:rPr>
            </w:pP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提出的设计要求能充分结合现场实际状况</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设计要求不符合现场，扣1分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285" w:hRule="atLeast"/>
        </w:trPr>
        <w:tc>
          <w:tcPr>
            <w:tcW w:w="498" w:type="dxa"/>
            <w:vMerge w:val="continue"/>
            <w:tcBorders>
              <w:left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b/>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b/>
                <w:kern w:val="0"/>
                <w:szCs w:val="21"/>
              </w:rPr>
            </w:pP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积极主动与沿线单位走访，收集意见</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对沿线单位连大体情况都不了解，扣1分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1200" w:hRule="atLeast"/>
        </w:trPr>
        <w:tc>
          <w:tcPr>
            <w:tcW w:w="498" w:type="dxa"/>
            <w:vMerge w:val="continue"/>
            <w:tcBorders>
              <w:left w:val="single" w:color="auto" w:sz="4" w:space="0"/>
              <w:bottom w:val="single" w:color="auto" w:sz="4" w:space="0"/>
              <w:right w:val="single" w:color="auto" w:sz="4" w:space="0"/>
            </w:tcBorders>
            <w:vAlign w:val="center"/>
          </w:tcPr>
          <w:p>
            <w:pPr>
              <w:jc w:val="center"/>
              <w:rPr>
                <w:rFonts w:ascii="宋体" w:hAnsi="宋体" w:cs="宋体"/>
                <w:b/>
                <w:kern w:val="0"/>
                <w:szCs w:val="21"/>
              </w:rPr>
            </w:pPr>
          </w:p>
        </w:tc>
        <w:tc>
          <w:tcPr>
            <w:tcW w:w="1502" w:type="dxa"/>
            <w:tcBorders>
              <w:top w:val="nil"/>
              <w:left w:val="nil"/>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专业设计人</w:t>
            </w:r>
            <w:r>
              <w:rPr>
                <w:rFonts w:hint="eastAsia" w:ascii="宋体" w:hAnsi="宋体" w:cs="宋体"/>
                <w:b/>
                <w:kern w:val="0"/>
                <w:szCs w:val="21"/>
              </w:rPr>
              <w:br w:type="textWrapping"/>
            </w:r>
            <w:r>
              <w:rPr>
                <w:rFonts w:hint="eastAsia" w:ascii="宋体" w:hAnsi="宋体" w:cs="宋体"/>
                <w:b/>
                <w:kern w:val="0"/>
                <w:szCs w:val="21"/>
              </w:rPr>
              <w:t>员配置要求</w:t>
            </w: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b/>
                <w:kern w:val="0"/>
                <w:szCs w:val="21"/>
              </w:rPr>
            </w:pPr>
            <w:r>
              <w:rPr>
                <w:rFonts w:hint="eastAsia" w:ascii="仿宋_GB2312" w:hAnsi="宋体" w:eastAsia="仿宋_GB2312" w:cs="宋体"/>
                <w:b/>
                <w:kern w:val="0"/>
                <w:szCs w:val="21"/>
              </w:rPr>
              <w:t>4</w:t>
            </w: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项目配备的设计人员的专业满足合同要求且各专业人员稳定</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与约定比，</w:t>
            </w:r>
            <w:r>
              <w:rPr>
                <w:rFonts w:hint="eastAsia" w:ascii="宋体" w:hAnsi="宋体" w:cs="宋体"/>
                <w:kern w:val="0"/>
                <w:szCs w:val="21"/>
              </w:rPr>
              <w:br w:type="textWrapping"/>
            </w:r>
            <w:r>
              <w:rPr>
                <w:rFonts w:hint="eastAsia" w:ascii="宋体" w:hAnsi="宋体" w:cs="宋体"/>
                <w:kern w:val="0"/>
                <w:szCs w:val="21"/>
              </w:rPr>
              <w:t>1、配备过低人员每一人扣2分；</w:t>
            </w:r>
            <w:r>
              <w:rPr>
                <w:rFonts w:hint="eastAsia" w:ascii="宋体" w:hAnsi="宋体" w:cs="宋体"/>
                <w:kern w:val="0"/>
                <w:szCs w:val="21"/>
              </w:rPr>
              <w:br w:type="textWrapping"/>
            </w:r>
            <w:r>
              <w:rPr>
                <w:rFonts w:hint="eastAsia" w:ascii="宋体" w:hAnsi="宋体" w:cs="宋体"/>
                <w:kern w:val="0"/>
                <w:szCs w:val="21"/>
              </w:rPr>
              <w:t>2、更换不比原岗位级别高的人员，每发生一次扣2分</w:t>
            </w:r>
            <w:r>
              <w:rPr>
                <w:rFonts w:hint="eastAsia" w:ascii="宋体" w:hAnsi="宋体" w:cs="宋体"/>
                <w:kern w:val="0"/>
                <w:szCs w:val="21"/>
              </w:rPr>
              <w:br w:type="textWrapping"/>
            </w:r>
            <w:r>
              <w:rPr>
                <w:rFonts w:hint="eastAsia" w:ascii="宋体" w:hAnsi="宋体" w:cs="宋体"/>
                <w:kern w:val="0"/>
                <w:szCs w:val="21"/>
              </w:rPr>
              <w:t>3、更换同级别人员，每一人次扣1分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960" w:hRule="atLeast"/>
        </w:trPr>
        <w:tc>
          <w:tcPr>
            <w:tcW w:w="498" w:type="dxa"/>
            <w:vMerge w:val="restart"/>
            <w:tcBorders>
              <w:top w:val="single" w:color="auto" w:sz="4" w:space="0"/>
              <w:left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三</w:t>
            </w:r>
          </w:p>
        </w:tc>
        <w:tc>
          <w:tcPr>
            <w:tcW w:w="150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图纸内容、</w:t>
            </w:r>
            <w:r>
              <w:rPr>
                <w:rFonts w:hint="eastAsia" w:ascii="宋体" w:hAnsi="宋体" w:cs="宋体"/>
                <w:b/>
                <w:kern w:val="0"/>
                <w:szCs w:val="21"/>
              </w:rPr>
              <w:br w:type="textWrapping"/>
            </w:r>
            <w:r>
              <w:rPr>
                <w:rFonts w:hint="eastAsia" w:ascii="宋体" w:hAnsi="宋体" w:cs="宋体"/>
                <w:b/>
                <w:kern w:val="0"/>
                <w:szCs w:val="21"/>
              </w:rPr>
              <w:t>设计深度</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kern w:val="0"/>
                <w:szCs w:val="21"/>
              </w:rPr>
            </w:pPr>
            <w:r>
              <w:rPr>
                <w:rFonts w:hint="eastAsia" w:ascii="仿宋_GB2312" w:hAnsi="宋体" w:eastAsia="仿宋_GB2312" w:cs="宋体"/>
                <w:b/>
                <w:kern w:val="0"/>
                <w:szCs w:val="21"/>
              </w:rPr>
              <w:t>20</w:t>
            </w:r>
          </w:p>
        </w:tc>
        <w:tc>
          <w:tcPr>
            <w:tcW w:w="4252"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项目图纸齐全、各专业之间图纸协调一致无矛盾、图纸的有效性明确</w:t>
            </w:r>
          </w:p>
        </w:tc>
        <w:tc>
          <w:tcPr>
            <w:tcW w:w="4394"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1、图纸不全；</w:t>
            </w:r>
            <w:r>
              <w:rPr>
                <w:rFonts w:hint="eastAsia" w:ascii="宋体" w:hAnsi="宋体" w:cs="宋体"/>
                <w:kern w:val="0"/>
                <w:szCs w:val="21"/>
              </w:rPr>
              <w:br w:type="textWrapping"/>
            </w:r>
            <w:r>
              <w:rPr>
                <w:rFonts w:hint="eastAsia" w:ascii="宋体" w:hAnsi="宋体" w:cs="宋体"/>
                <w:kern w:val="0"/>
                <w:szCs w:val="21"/>
              </w:rPr>
              <w:t>2、各专业图纸相互矛盾；</w:t>
            </w:r>
            <w:r>
              <w:rPr>
                <w:rFonts w:hint="eastAsia" w:ascii="宋体" w:hAnsi="宋体" w:cs="宋体"/>
                <w:kern w:val="0"/>
                <w:szCs w:val="21"/>
              </w:rPr>
              <w:br w:type="textWrapping"/>
            </w:r>
            <w:r>
              <w:rPr>
                <w:rFonts w:hint="eastAsia" w:ascii="宋体" w:hAnsi="宋体" w:cs="宋体"/>
                <w:kern w:val="0"/>
                <w:szCs w:val="21"/>
              </w:rPr>
              <w:t>3、无明确有效性。</w:t>
            </w:r>
            <w:r>
              <w:rPr>
                <w:rFonts w:hint="eastAsia" w:ascii="宋体" w:hAnsi="宋体" w:cs="宋体"/>
                <w:kern w:val="0"/>
                <w:szCs w:val="21"/>
              </w:rPr>
              <w:br w:type="textWrapping"/>
            </w:r>
            <w:r>
              <w:rPr>
                <w:rFonts w:hint="eastAsia" w:ascii="宋体" w:hAnsi="宋体" w:cs="宋体"/>
                <w:kern w:val="0"/>
                <w:szCs w:val="21"/>
              </w:rPr>
              <w:t>以上情况每发生一次扣1分</w:t>
            </w:r>
          </w:p>
        </w:tc>
        <w:tc>
          <w:tcPr>
            <w:tcW w:w="85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50"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1200" w:hRule="atLeast"/>
        </w:trPr>
        <w:tc>
          <w:tcPr>
            <w:tcW w:w="498" w:type="dxa"/>
            <w:vMerge w:val="continue"/>
            <w:tcBorders>
              <w:left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b/>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b/>
                <w:kern w:val="0"/>
                <w:szCs w:val="21"/>
              </w:rPr>
            </w:pP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设计文件满足合同规定的各专业深度要求，专项设计施工图深度均能达到据以准确编制工程量清单、进行施工招标、安排材料设备订货和非标准设备的制作、进行施工和安装的深度要求</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1、专项设计无法准确编制工程量清单；</w:t>
            </w:r>
            <w:r>
              <w:rPr>
                <w:rFonts w:hint="eastAsia" w:ascii="宋体" w:hAnsi="宋体" w:cs="宋体"/>
                <w:kern w:val="0"/>
                <w:szCs w:val="21"/>
              </w:rPr>
              <w:br w:type="textWrapping"/>
            </w:r>
            <w:r>
              <w:rPr>
                <w:rFonts w:hint="eastAsia" w:ascii="宋体" w:hAnsi="宋体" w:cs="宋体"/>
                <w:kern w:val="0"/>
                <w:szCs w:val="21"/>
              </w:rPr>
              <w:t>2、无法进行施工招标；</w:t>
            </w:r>
            <w:r>
              <w:rPr>
                <w:rFonts w:hint="eastAsia" w:ascii="宋体" w:hAnsi="宋体" w:cs="宋体"/>
                <w:kern w:val="0"/>
                <w:szCs w:val="21"/>
              </w:rPr>
              <w:br w:type="textWrapping"/>
            </w:r>
            <w:r>
              <w:rPr>
                <w:rFonts w:hint="eastAsia" w:ascii="宋体" w:hAnsi="宋体" w:cs="宋体"/>
                <w:kern w:val="0"/>
                <w:szCs w:val="21"/>
              </w:rPr>
              <w:t>3、无法安排材料设备和非标准设备的制作；</w:t>
            </w:r>
            <w:r>
              <w:rPr>
                <w:rFonts w:hint="eastAsia" w:ascii="宋体" w:hAnsi="宋体" w:cs="宋体"/>
                <w:kern w:val="0"/>
                <w:szCs w:val="21"/>
              </w:rPr>
              <w:br w:type="textWrapping"/>
            </w:r>
            <w:r>
              <w:rPr>
                <w:rFonts w:hint="eastAsia" w:ascii="宋体" w:hAnsi="宋体" w:cs="宋体"/>
                <w:kern w:val="0"/>
                <w:szCs w:val="21"/>
              </w:rPr>
              <w:t>4、很难施工和安装。</w:t>
            </w:r>
            <w:r>
              <w:rPr>
                <w:rFonts w:hint="eastAsia" w:ascii="宋体" w:hAnsi="宋体" w:cs="宋体"/>
                <w:kern w:val="0"/>
                <w:szCs w:val="21"/>
              </w:rPr>
              <w:br w:type="textWrapping"/>
            </w:r>
            <w:r>
              <w:rPr>
                <w:rFonts w:hint="eastAsia" w:ascii="宋体" w:hAnsi="宋体" w:cs="宋体"/>
                <w:kern w:val="0"/>
                <w:szCs w:val="21"/>
              </w:rPr>
              <w:t>以上情况每发生一次扣5分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480" w:hRule="atLeast"/>
        </w:trPr>
        <w:tc>
          <w:tcPr>
            <w:tcW w:w="498" w:type="dxa"/>
            <w:vMerge w:val="continue"/>
            <w:tcBorders>
              <w:left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b/>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b/>
                <w:kern w:val="0"/>
                <w:szCs w:val="21"/>
              </w:rPr>
            </w:pP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设计图纸能否满足项目的功能要求</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图纸满足不了项目的功能要求,每发生一次扣1分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1200" w:hRule="atLeast"/>
        </w:trPr>
        <w:tc>
          <w:tcPr>
            <w:tcW w:w="498" w:type="dxa"/>
            <w:vMerge w:val="continue"/>
            <w:tcBorders>
              <w:left w:val="single" w:color="auto" w:sz="4" w:space="0"/>
              <w:bottom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b/>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b/>
                <w:kern w:val="0"/>
                <w:szCs w:val="21"/>
              </w:rPr>
            </w:pP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反应管线迁改、临时交通疏解、临时措施、减少图纸修改次数</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1、管线迁改；</w:t>
            </w:r>
            <w:r>
              <w:rPr>
                <w:rFonts w:hint="eastAsia" w:ascii="宋体" w:hAnsi="宋体" w:cs="宋体"/>
                <w:kern w:val="0"/>
                <w:szCs w:val="21"/>
              </w:rPr>
              <w:br w:type="textWrapping"/>
            </w:r>
            <w:r>
              <w:rPr>
                <w:rFonts w:hint="eastAsia" w:ascii="宋体" w:hAnsi="宋体" w:cs="宋体"/>
                <w:kern w:val="0"/>
                <w:szCs w:val="21"/>
              </w:rPr>
              <w:t>2、临时交通疏解；</w:t>
            </w:r>
            <w:r>
              <w:rPr>
                <w:rFonts w:hint="eastAsia" w:ascii="宋体" w:hAnsi="宋体" w:cs="宋体"/>
                <w:kern w:val="0"/>
                <w:szCs w:val="21"/>
              </w:rPr>
              <w:br w:type="textWrapping"/>
            </w:r>
            <w:r>
              <w:rPr>
                <w:rFonts w:hint="eastAsia" w:ascii="宋体" w:hAnsi="宋体" w:cs="宋体"/>
                <w:kern w:val="0"/>
                <w:szCs w:val="21"/>
              </w:rPr>
              <w:t>3、临时措施。</w:t>
            </w:r>
            <w:r>
              <w:rPr>
                <w:rFonts w:hint="eastAsia" w:ascii="宋体" w:hAnsi="宋体" w:cs="宋体"/>
                <w:kern w:val="0"/>
                <w:szCs w:val="21"/>
              </w:rPr>
              <w:br w:type="textWrapping"/>
            </w:r>
            <w:r>
              <w:rPr>
                <w:rFonts w:hint="eastAsia" w:ascii="宋体" w:hAnsi="宋体" w:cs="宋体"/>
                <w:kern w:val="0"/>
                <w:szCs w:val="21"/>
              </w:rPr>
              <w:t>以上情况不能从设计图纸上反应,每发生一次扣2分。图纸每修改一次扣2分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1920" w:hRule="atLeast"/>
        </w:trPr>
        <w:tc>
          <w:tcPr>
            <w:tcW w:w="498" w:type="dxa"/>
            <w:tcBorders>
              <w:top w:val="nil"/>
              <w:left w:val="single" w:color="auto" w:sz="4" w:space="0"/>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四</w:t>
            </w:r>
          </w:p>
        </w:tc>
        <w:tc>
          <w:tcPr>
            <w:tcW w:w="1502" w:type="dxa"/>
            <w:tcBorders>
              <w:top w:val="nil"/>
              <w:left w:val="nil"/>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优化与限</w:t>
            </w:r>
            <w:r>
              <w:rPr>
                <w:rFonts w:hint="eastAsia" w:ascii="宋体" w:hAnsi="宋体" w:cs="宋体"/>
                <w:b/>
                <w:kern w:val="0"/>
                <w:szCs w:val="21"/>
              </w:rPr>
              <w:br w:type="textWrapping"/>
            </w:r>
            <w:r>
              <w:rPr>
                <w:rFonts w:hint="eastAsia" w:ascii="宋体" w:hAnsi="宋体" w:cs="宋体"/>
                <w:b/>
                <w:kern w:val="0"/>
                <w:szCs w:val="21"/>
              </w:rPr>
              <w:t>额设计</w:t>
            </w: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b/>
                <w:kern w:val="0"/>
                <w:szCs w:val="21"/>
              </w:rPr>
            </w:pPr>
            <w:r>
              <w:rPr>
                <w:rFonts w:hint="eastAsia" w:ascii="仿宋_GB2312" w:hAnsi="宋体" w:eastAsia="仿宋_GB2312" w:cs="宋体"/>
                <w:b/>
                <w:kern w:val="0"/>
                <w:szCs w:val="21"/>
              </w:rPr>
              <w:t>10</w:t>
            </w: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能够按合同和主管部门的要求进行设计优化、采用国内外先进经验和先进技术、综合社会经济效益显著、具有同类设计领先地位和先进水平、全面贯彻执行节能及环保标准规范、便于施工安装、没有过分设计或设计不足的情况；按合同要求进行限额设计、实现限额设计目标</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1、没按要求设计优化；</w:t>
            </w:r>
            <w:r>
              <w:rPr>
                <w:rFonts w:hint="eastAsia" w:ascii="宋体" w:hAnsi="宋体" w:cs="宋体"/>
                <w:kern w:val="0"/>
                <w:szCs w:val="21"/>
              </w:rPr>
              <w:br w:type="textWrapping"/>
            </w:r>
            <w:r>
              <w:rPr>
                <w:rFonts w:hint="eastAsia" w:ascii="宋体" w:hAnsi="宋体" w:cs="宋体"/>
                <w:kern w:val="0"/>
                <w:szCs w:val="21"/>
              </w:rPr>
              <w:t>2、没采用国内外先进经验和技术；</w:t>
            </w:r>
            <w:r>
              <w:rPr>
                <w:rFonts w:hint="eastAsia" w:ascii="宋体" w:hAnsi="宋体" w:cs="宋体"/>
                <w:kern w:val="0"/>
                <w:szCs w:val="21"/>
              </w:rPr>
              <w:br w:type="textWrapping"/>
            </w:r>
            <w:r>
              <w:rPr>
                <w:rFonts w:hint="eastAsia" w:ascii="宋体" w:hAnsi="宋体" w:cs="宋体"/>
                <w:kern w:val="0"/>
                <w:szCs w:val="21"/>
              </w:rPr>
              <w:t>3、没有显著的综合经济效益；</w:t>
            </w:r>
            <w:r>
              <w:rPr>
                <w:rFonts w:hint="eastAsia" w:ascii="宋体" w:hAnsi="宋体" w:cs="宋体"/>
                <w:kern w:val="0"/>
                <w:szCs w:val="21"/>
              </w:rPr>
              <w:br w:type="textWrapping"/>
            </w:r>
            <w:r>
              <w:rPr>
                <w:rFonts w:hint="eastAsia" w:ascii="宋体" w:hAnsi="宋体" w:cs="宋体"/>
                <w:kern w:val="0"/>
                <w:szCs w:val="21"/>
              </w:rPr>
              <w:t>4、设计水平在同类设计中无领先地位；</w:t>
            </w:r>
            <w:r>
              <w:rPr>
                <w:rFonts w:hint="eastAsia" w:ascii="宋体" w:hAnsi="宋体" w:cs="宋体"/>
                <w:kern w:val="0"/>
                <w:szCs w:val="21"/>
              </w:rPr>
              <w:br w:type="textWrapping"/>
            </w:r>
            <w:r>
              <w:rPr>
                <w:rFonts w:hint="eastAsia" w:ascii="宋体" w:hAnsi="宋体" w:cs="宋体"/>
                <w:kern w:val="0"/>
                <w:szCs w:val="21"/>
              </w:rPr>
              <w:t>5、没全面执行节能和环保标准规范；</w:t>
            </w:r>
            <w:r>
              <w:rPr>
                <w:rFonts w:hint="eastAsia" w:ascii="宋体" w:hAnsi="宋体" w:cs="宋体"/>
                <w:kern w:val="0"/>
                <w:szCs w:val="21"/>
              </w:rPr>
              <w:br w:type="textWrapping"/>
            </w:r>
            <w:r>
              <w:rPr>
                <w:rFonts w:hint="eastAsia" w:ascii="宋体" w:hAnsi="宋体" w:cs="宋体"/>
                <w:kern w:val="0"/>
                <w:szCs w:val="21"/>
              </w:rPr>
              <w:t>6、设计造成安装不便；</w:t>
            </w:r>
            <w:r>
              <w:rPr>
                <w:rFonts w:hint="eastAsia" w:ascii="宋体" w:hAnsi="宋体" w:cs="宋体"/>
                <w:kern w:val="0"/>
                <w:szCs w:val="21"/>
              </w:rPr>
              <w:br w:type="textWrapping"/>
            </w:r>
            <w:r>
              <w:rPr>
                <w:rFonts w:hint="eastAsia" w:ascii="宋体" w:hAnsi="宋体" w:cs="宋体"/>
                <w:kern w:val="0"/>
                <w:szCs w:val="21"/>
              </w:rPr>
              <w:t>7、超额设计。</w:t>
            </w:r>
            <w:r>
              <w:rPr>
                <w:rFonts w:hint="eastAsia" w:ascii="宋体" w:hAnsi="宋体" w:cs="宋体"/>
                <w:kern w:val="0"/>
                <w:szCs w:val="21"/>
              </w:rPr>
              <w:br w:type="textWrapping"/>
            </w:r>
            <w:r>
              <w:rPr>
                <w:rFonts w:hint="eastAsia" w:ascii="宋体" w:hAnsi="宋体" w:cs="宋体"/>
                <w:kern w:val="0"/>
                <w:szCs w:val="21"/>
              </w:rPr>
              <w:t>以上情况每发生一次扣5分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3668" w:hRule="atLeast"/>
        </w:trPr>
        <w:tc>
          <w:tcPr>
            <w:tcW w:w="4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五</w:t>
            </w:r>
          </w:p>
        </w:tc>
        <w:tc>
          <w:tcPr>
            <w:tcW w:w="1502" w:type="dxa"/>
            <w:tcBorders>
              <w:top w:val="single" w:color="auto" w:sz="4" w:space="0"/>
              <w:left w:val="nil"/>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错漏碰缺</w:t>
            </w:r>
          </w:p>
        </w:tc>
        <w:tc>
          <w:tcPr>
            <w:tcW w:w="709"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b/>
                <w:kern w:val="0"/>
                <w:szCs w:val="21"/>
              </w:rPr>
            </w:pPr>
            <w:r>
              <w:rPr>
                <w:rFonts w:hint="eastAsia" w:ascii="仿宋_GB2312" w:hAnsi="宋体" w:eastAsia="仿宋_GB2312" w:cs="宋体"/>
                <w:b/>
                <w:kern w:val="0"/>
                <w:szCs w:val="21"/>
              </w:rPr>
              <w:t>20</w:t>
            </w:r>
          </w:p>
        </w:tc>
        <w:tc>
          <w:tcPr>
            <w:tcW w:w="4252"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bCs/>
                <w:kern w:val="0"/>
                <w:szCs w:val="21"/>
              </w:rPr>
              <w:t>Ⅰ类问题：</w:t>
            </w:r>
            <w:r>
              <w:rPr>
                <w:rFonts w:hint="eastAsia" w:ascii="宋体" w:hAnsi="宋体" w:cs="宋体"/>
                <w:kern w:val="0"/>
                <w:szCs w:val="21"/>
              </w:rPr>
              <w:t>A、严重违反规范、标准、规定，有可能造成严重影响安全和使用的错误；B、设计不周或有严重错误，有可能造成不能正常使用、不安全或重大经济损失；C、严重影响报建工作的进行(超期2个月)；D、概算严重错漏（低于投资概算15%）；</w:t>
            </w:r>
            <w:r>
              <w:rPr>
                <w:rFonts w:hint="eastAsia" w:ascii="宋体" w:hAnsi="宋体" w:cs="宋体"/>
                <w:kern w:val="0"/>
                <w:szCs w:val="21"/>
              </w:rPr>
              <w:br w:type="textWrapping"/>
            </w:r>
            <w:r>
              <w:rPr>
                <w:rFonts w:hint="eastAsia" w:ascii="宋体" w:hAnsi="宋体" w:cs="宋体"/>
                <w:bCs/>
                <w:kern w:val="0"/>
                <w:szCs w:val="21"/>
              </w:rPr>
              <w:t>Ⅱ类问题：</w:t>
            </w:r>
            <w:r>
              <w:rPr>
                <w:rFonts w:hint="eastAsia" w:ascii="宋体" w:hAnsi="宋体" w:cs="宋体"/>
                <w:kern w:val="0"/>
                <w:szCs w:val="21"/>
              </w:rPr>
              <w:t>A、局部违反规范、标准、规定，但容易修正、且返工量不大；B、设计不周、构造或用料不当，有可能造成影响部使用效果，或重要部位尺寸错误，有可能造成严重后果；C、工种配合严重错误或局部遗漏有可能造成影响使用，或造成施工返工；D、结构专业计算、构造层层加码，造成严重浪费者；E、影响报建工作的进行；F、概算有错漏；</w:t>
            </w:r>
          </w:p>
          <w:p>
            <w:pPr>
              <w:jc w:val="left"/>
              <w:rPr>
                <w:rFonts w:ascii="宋体" w:hAnsi="宋体" w:cs="宋体"/>
                <w:bCs/>
                <w:kern w:val="0"/>
                <w:szCs w:val="21"/>
              </w:rPr>
            </w:pPr>
            <w:r>
              <w:rPr>
                <w:rFonts w:hint="eastAsia" w:ascii="宋体" w:hAnsi="宋体" w:cs="宋体"/>
                <w:bCs/>
                <w:kern w:val="0"/>
                <w:szCs w:val="21"/>
              </w:rPr>
              <w:t>Ⅲ类问题</w:t>
            </w:r>
            <w:r>
              <w:rPr>
                <w:rFonts w:hint="eastAsia" w:ascii="宋体" w:hAnsi="宋体" w:cs="宋体"/>
                <w:kern w:val="0"/>
                <w:szCs w:val="21"/>
              </w:rPr>
              <w:t>：容易修正、且不造成使用或安全缺陷，但会给建设单位、施工单位带来麻烦B、工种配合中的一般性错误，容易修正，且不至造成影响使用效果或安全。</w:t>
            </w:r>
          </w:p>
        </w:tc>
        <w:tc>
          <w:tcPr>
            <w:tcW w:w="4394"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每出现Ⅰ类问题的一项一次扣10分,</w:t>
            </w:r>
            <w:r>
              <w:rPr>
                <w:rFonts w:hint="eastAsia" w:ascii="宋体" w:hAnsi="宋体" w:cs="宋体"/>
                <w:kern w:val="0"/>
                <w:szCs w:val="21"/>
              </w:rPr>
              <w:br w:type="textWrapping"/>
            </w:r>
            <w:r>
              <w:rPr>
                <w:rFonts w:hint="eastAsia" w:ascii="宋体" w:hAnsi="宋体" w:cs="宋体"/>
                <w:kern w:val="0"/>
                <w:szCs w:val="21"/>
              </w:rPr>
              <w:t>每出现Ⅱ类问题的一项一次扣8分,</w:t>
            </w:r>
            <w:r>
              <w:rPr>
                <w:rFonts w:hint="eastAsia" w:ascii="宋体" w:hAnsi="宋体" w:cs="宋体"/>
                <w:kern w:val="0"/>
                <w:szCs w:val="21"/>
              </w:rPr>
              <w:br w:type="textWrapping"/>
            </w:r>
            <w:r>
              <w:rPr>
                <w:rFonts w:hint="eastAsia" w:ascii="宋体" w:hAnsi="宋体" w:cs="宋体"/>
                <w:kern w:val="0"/>
                <w:szCs w:val="21"/>
              </w:rPr>
              <w:t>每出现Ⅱ类问题的一项一次扣6分,</w:t>
            </w:r>
          </w:p>
        </w:tc>
        <w:tc>
          <w:tcPr>
            <w:tcW w:w="85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850"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480" w:hRule="atLeast"/>
        </w:trPr>
        <w:tc>
          <w:tcPr>
            <w:tcW w:w="498" w:type="dxa"/>
            <w:vMerge w:val="restart"/>
            <w:tcBorders>
              <w:top w:val="nil"/>
              <w:left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六</w:t>
            </w:r>
          </w:p>
        </w:tc>
        <w:tc>
          <w:tcPr>
            <w:tcW w:w="1502"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设计进度</w:t>
            </w:r>
          </w:p>
        </w:tc>
        <w:tc>
          <w:tcPr>
            <w:tcW w:w="709" w:type="dxa"/>
            <w:vMerge w:val="restart"/>
            <w:tcBorders>
              <w:top w:val="nil"/>
              <w:left w:val="single" w:color="auto" w:sz="4" w:space="0"/>
              <w:bottom w:val="single" w:color="auto" w:sz="4" w:space="0"/>
              <w:right w:val="single" w:color="auto" w:sz="4" w:space="0"/>
            </w:tcBorders>
            <w:vAlign w:val="center"/>
          </w:tcPr>
          <w:p>
            <w:pPr>
              <w:jc w:val="center"/>
              <w:rPr>
                <w:rFonts w:ascii="仿宋_GB2312" w:hAnsi="宋体" w:eastAsia="仿宋_GB2312" w:cs="宋体"/>
                <w:b/>
                <w:kern w:val="0"/>
                <w:szCs w:val="21"/>
              </w:rPr>
            </w:pPr>
            <w:r>
              <w:rPr>
                <w:rFonts w:hint="eastAsia" w:ascii="仿宋_GB2312" w:hAnsi="宋体" w:eastAsia="仿宋_GB2312" w:cs="宋体"/>
                <w:b/>
                <w:kern w:val="0"/>
                <w:szCs w:val="21"/>
              </w:rPr>
              <w:t>7</w:t>
            </w: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能够及时地按照合同要求完成各阶段的工作</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与合同比,没及时完成该阶段工作，每发生</w:t>
            </w:r>
            <w:r>
              <w:rPr>
                <w:rFonts w:hint="eastAsia" w:ascii="宋体" w:hAnsi="宋体" w:cs="宋体"/>
                <w:kern w:val="0"/>
                <w:szCs w:val="21"/>
              </w:rPr>
              <w:br w:type="textWrapping"/>
            </w:r>
            <w:r>
              <w:rPr>
                <w:rFonts w:hint="eastAsia" w:ascii="宋体" w:hAnsi="宋体" w:cs="宋体"/>
                <w:kern w:val="0"/>
                <w:szCs w:val="21"/>
              </w:rPr>
              <w:t>一次扣2分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480" w:hRule="atLeast"/>
        </w:trPr>
        <w:tc>
          <w:tcPr>
            <w:tcW w:w="498" w:type="dxa"/>
            <w:vMerge w:val="continue"/>
            <w:tcBorders>
              <w:left w:val="single" w:color="auto" w:sz="4" w:space="0"/>
              <w:bottom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b/>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b/>
                <w:kern w:val="0"/>
                <w:szCs w:val="21"/>
              </w:rPr>
            </w:pP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各配合阶段，建设单位要求，非合同规定的内容（如汇报、信访等）</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建设单位要了解项目工作情况时不配合,每发生一次扣1分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1200" w:hRule="atLeast"/>
        </w:trPr>
        <w:tc>
          <w:tcPr>
            <w:tcW w:w="4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七</w:t>
            </w:r>
          </w:p>
        </w:tc>
        <w:tc>
          <w:tcPr>
            <w:tcW w:w="1502" w:type="dxa"/>
            <w:tcBorders>
              <w:top w:val="single" w:color="auto" w:sz="4" w:space="0"/>
              <w:left w:val="nil"/>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设计阶段配合</w:t>
            </w:r>
          </w:p>
        </w:tc>
        <w:tc>
          <w:tcPr>
            <w:tcW w:w="709"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b/>
                <w:kern w:val="0"/>
                <w:szCs w:val="21"/>
              </w:rPr>
            </w:pPr>
            <w:r>
              <w:rPr>
                <w:rFonts w:hint="eastAsia" w:ascii="仿宋_GB2312" w:hAnsi="宋体" w:eastAsia="仿宋_GB2312" w:cs="宋体"/>
                <w:b/>
                <w:kern w:val="0"/>
                <w:szCs w:val="21"/>
              </w:rPr>
              <w:t>4</w:t>
            </w:r>
          </w:p>
        </w:tc>
        <w:tc>
          <w:tcPr>
            <w:tcW w:w="4252"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按合同及甲方要求及时协调配合甲方、专项设计单位及其它相关部门的工作，具有较强的沟通协调能力，按期完成各项工作(前期科、施工科、合同科、审查、监理、造价)</w:t>
            </w:r>
          </w:p>
        </w:tc>
        <w:tc>
          <w:tcPr>
            <w:tcW w:w="4394"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1、没及时协调配合甲方或专项设计或其它相关部门的工作；</w:t>
            </w:r>
            <w:r>
              <w:rPr>
                <w:rFonts w:hint="eastAsia" w:ascii="宋体" w:hAnsi="宋体" w:cs="宋体"/>
                <w:kern w:val="0"/>
                <w:szCs w:val="21"/>
              </w:rPr>
              <w:br w:type="textWrapping"/>
            </w:r>
            <w:r>
              <w:rPr>
                <w:rFonts w:hint="eastAsia" w:ascii="宋体" w:hAnsi="宋体" w:cs="宋体"/>
                <w:kern w:val="0"/>
                <w:szCs w:val="21"/>
              </w:rPr>
              <w:t>2、没及时沟通协调相关工作；</w:t>
            </w:r>
            <w:r>
              <w:rPr>
                <w:rFonts w:hint="eastAsia" w:ascii="宋体" w:hAnsi="宋体" w:cs="宋体"/>
                <w:kern w:val="0"/>
                <w:szCs w:val="21"/>
              </w:rPr>
              <w:br w:type="textWrapping"/>
            </w:r>
            <w:r>
              <w:rPr>
                <w:rFonts w:hint="eastAsia" w:ascii="宋体" w:hAnsi="宋体" w:cs="宋体"/>
                <w:kern w:val="0"/>
                <w:szCs w:val="21"/>
              </w:rPr>
              <w:t>3、没按期完成各项工作。</w:t>
            </w:r>
            <w:r>
              <w:rPr>
                <w:rFonts w:hint="eastAsia" w:ascii="宋体" w:hAnsi="宋体" w:cs="宋体"/>
                <w:kern w:val="0"/>
                <w:szCs w:val="21"/>
              </w:rPr>
              <w:br w:type="textWrapping"/>
            </w:r>
            <w:r>
              <w:rPr>
                <w:rFonts w:hint="eastAsia" w:ascii="宋体" w:hAnsi="宋体" w:cs="宋体"/>
                <w:kern w:val="0"/>
                <w:szCs w:val="21"/>
              </w:rPr>
              <w:t>以上情况每发生一次扣2分</w:t>
            </w:r>
          </w:p>
        </w:tc>
        <w:tc>
          <w:tcPr>
            <w:tcW w:w="85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850"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720" w:hRule="atLeast"/>
        </w:trPr>
        <w:tc>
          <w:tcPr>
            <w:tcW w:w="498" w:type="dxa"/>
            <w:vMerge w:val="restart"/>
            <w:tcBorders>
              <w:top w:val="nil"/>
              <w:left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八</w:t>
            </w:r>
          </w:p>
        </w:tc>
        <w:tc>
          <w:tcPr>
            <w:tcW w:w="1502"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施工服务配合</w:t>
            </w:r>
          </w:p>
        </w:tc>
        <w:tc>
          <w:tcPr>
            <w:tcW w:w="709" w:type="dxa"/>
            <w:vMerge w:val="restart"/>
            <w:tcBorders>
              <w:top w:val="nil"/>
              <w:left w:val="single" w:color="auto" w:sz="4" w:space="0"/>
              <w:bottom w:val="single" w:color="000000" w:sz="4" w:space="0"/>
              <w:right w:val="single" w:color="auto" w:sz="4" w:space="0"/>
            </w:tcBorders>
            <w:vAlign w:val="center"/>
          </w:tcPr>
          <w:p>
            <w:pPr>
              <w:jc w:val="center"/>
              <w:rPr>
                <w:rFonts w:ascii="仿宋_GB2312" w:hAnsi="宋体" w:eastAsia="仿宋_GB2312" w:cs="宋体"/>
                <w:b/>
                <w:kern w:val="0"/>
                <w:szCs w:val="21"/>
              </w:rPr>
            </w:pPr>
            <w:r>
              <w:rPr>
                <w:rFonts w:hint="eastAsia" w:ascii="仿宋_GB2312" w:hAnsi="宋体" w:eastAsia="仿宋_GB2312" w:cs="宋体"/>
                <w:b/>
                <w:kern w:val="0"/>
                <w:szCs w:val="21"/>
              </w:rPr>
              <w:t>20</w:t>
            </w: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图纸会审阶段：</w:t>
            </w:r>
            <w:r>
              <w:rPr>
                <w:rFonts w:hint="eastAsia" w:ascii="宋体" w:hAnsi="宋体" w:cs="宋体"/>
                <w:kern w:val="0"/>
                <w:szCs w:val="21"/>
              </w:rPr>
              <w:br w:type="textWrapping"/>
            </w:r>
            <w:r>
              <w:rPr>
                <w:rFonts w:hint="eastAsia" w:ascii="宋体" w:hAnsi="宋体" w:cs="宋体"/>
                <w:kern w:val="0"/>
                <w:szCs w:val="21"/>
              </w:rPr>
              <w:t>积极参加各种图纸会审，积极配合各项目参与方的工作</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1、图纸会审不到场；</w:t>
            </w:r>
            <w:r>
              <w:rPr>
                <w:rFonts w:hint="eastAsia" w:ascii="宋体" w:hAnsi="宋体" w:cs="宋体"/>
                <w:kern w:val="0"/>
                <w:szCs w:val="21"/>
              </w:rPr>
              <w:br w:type="textWrapping"/>
            </w:r>
            <w:r>
              <w:rPr>
                <w:rFonts w:hint="eastAsia" w:ascii="宋体" w:hAnsi="宋体" w:cs="宋体"/>
                <w:kern w:val="0"/>
                <w:szCs w:val="21"/>
              </w:rPr>
              <w:t>2、不积极主动配合项目各参与方的工作。</w:t>
            </w:r>
            <w:r>
              <w:rPr>
                <w:rFonts w:hint="eastAsia" w:ascii="宋体" w:hAnsi="宋体" w:cs="宋体"/>
                <w:kern w:val="0"/>
                <w:szCs w:val="21"/>
              </w:rPr>
              <w:br w:type="textWrapping"/>
            </w:r>
            <w:r>
              <w:rPr>
                <w:rFonts w:hint="eastAsia" w:ascii="宋体" w:hAnsi="宋体" w:cs="宋体"/>
                <w:kern w:val="0"/>
                <w:szCs w:val="21"/>
              </w:rPr>
              <w:t>以上情况每发生一次扣2分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6</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720" w:hRule="atLeast"/>
        </w:trPr>
        <w:tc>
          <w:tcPr>
            <w:tcW w:w="498" w:type="dxa"/>
            <w:vMerge w:val="continue"/>
            <w:tcBorders>
              <w:left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b/>
                <w:kern w:val="0"/>
                <w:szCs w:val="21"/>
              </w:rPr>
            </w:pPr>
          </w:p>
        </w:tc>
        <w:tc>
          <w:tcPr>
            <w:tcW w:w="709" w:type="dxa"/>
            <w:vMerge w:val="continue"/>
            <w:tcBorders>
              <w:top w:val="nil"/>
              <w:left w:val="single" w:color="auto" w:sz="4" w:space="0"/>
              <w:bottom w:val="single" w:color="000000" w:sz="4" w:space="0"/>
              <w:right w:val="single" w:color="auto" w:sz="4" w:space="0"/>
            </w:tcBorders>
            <w:vAlign w:val="center"/>
          </w:tcPr>
          <w:p>
            <w:pPr>
              <w:jc w:val="left"/>
              <w:rPr>
                <w:rFonts w:ascii="仿宋_GB2312" w:hAnsi="宋体" w:eastAsia="仿宋_GB2312" w:cs="宋体"/>
                <w:b/>
                <w:kern w:val="0"/>
                <w:szCs w:val="21"/>
              </w:rPr>
            </w:pP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施工交底阶段：提供业主满意的后期服务，积极配合各项目参与方的工作</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1、后期服务不到位；</w:t>
            </w:r>
            <w:r>
              <w:rPr>
                <w:rFonts w:hint="eastAsia" w:ascii="宋体" w:hAnsi="宋体" w:cs="宋体"/>
                <w:kern w:val="0"/>
                <w:szCs w:val="21"/>
              </w:rPr>
              <w:br w:type="textWrapping"/>
            </w:r>
            <w:r>
              <w:rPr>
                <w:rFonts w:hint="eastAsia" w:ascii="宋体" w:hAnsi="宋体" w:cs="宋体"/>
                <w:kern w:val="0"/>
                <w:szCs w:val="21"/>
              </w:rPr>
              <w:t>2、不积极主动配合项目各参与方的工作。</w:t>
            </w:r>
            <w:r>
              <w:rPr>
                <w:rFonts w:hint="eastAsia" w:ascii="宋体" w:hAnsi="宋体" w:cs="宋体"/>
                <w:kern w:val="0"/>
                <w:szCs w:val="21"/>
              </w:rPr>
              <w:br w:type="textWrapping"/>
            </w:r>
            <w:r>
              <w:rPr>
                <w:rFonts w:hint="eastAsia" w:ascii="宋体" w:hAnsi="宋体" w:cs="宋体"/>
                <w:kern w:val="0"/>
                <w:szCs w:val="21"/>
              </w:rPr>
              <w:t>以上情况每发生一次扣2分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1260" w:hRule="atLeast"/>
        </w:trPr>
        <w:tc>
          <w:tcPr>
            <w:tcW w:w="498" w:type="dxa"/>
            <w:vMerge w:val="continue"/>
            <w:tcBorders>
              <w:left w:val="single" w:color="auto" w:sz="4" w:space="0"/>
              <w:bottom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b/>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b/>
                <w:kern w:val="0"/>
                <w:szCs w:val="21"/>
              </w:rPr>
            </w:pP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工程实施阶段：</w:t>
            </w:r>
            <w:r>
              <w:rPr>
                <w:rFonts w:hint="eastAsia" w:ascii="宋体" w:hAnsi="宋体" w:cs="宋体"/>
                <w:kern w:val="0"/>
                <w:szCs w:val="21"/>
              </w:rPr>
              <w:br w:type="textWrapping"/>
            </w:r>
            <w:r>
              <w:rPr>
                <w:rFonts w:hint="eastAsia" w:ascii="宋体" w:hAnsi="宋体" w:cs="宋体"/>
                <w:kern w:val="0"/>
                <w:szCs w:val="21"/>
              </w:rPr>
              <w:t>A、服从甲方安排，按时参加有关工程会议，协助甲方解决各种事务性问题。                                          B、主动指导现场施工、协调施工中相关问题。                                                                    C、及时配合、处理工程变更等合同规定的其它工作。</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A、B、C中每一项没做到位，每一项每发生</w:t>
            </w:r>
            <w:r>
              <w:rPr>
                <w:rFonts w:hint="eastAsia" w:ascii="宋体" w:hAnsi="宋体" w:cs="宋体"/>
                <w:kern w:val="0"/>
                <w:szCs w:val="21"/>
              </w:rPr>
              <w:br w:type="textWrapping"/>
            </w:r>
            <w:r>
              <w:rPr>
                <w:rFonts w:hint="eastAsia" w:ascii="宋体" w:hAnsi="宋体" w:cs="宋体"/>
                <w:kern w:val="0"/>
                <w:szCs w:val="21"/>
              </w:rPr>
              <w:t>一次扣5分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270" w:hRule="atLeast"/>
        </w:trPr>
        <w:tc>
          <w:tcPr>
            <w:tcW w:w="498" w:type="dxa"/>
            <w:vMerge w:val="restart"/>
            <w:tcBorders>
              <w:top w:val="single" w:color="auto" w:sz="4" w:space="0"/>
              <w:left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九</w:t>
            </w:r>
          </w:p>
        </w:tc>
        <w:tc>
          <w:tcPr>
            <w:tcW w:w="1502" w:type="dxa"/>
            <w:vMerge w:val="restart"/>
            <w:tcBorders>
              <w:top w:val="single" w:color="auto" w:sz="4" w:space="0"/>
              <w:left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以往履约情况</w:t>
            </w:r>
          </w:p>
        </w:tc>
        <w:tc>
          <w:tcPr>
            <w:tcW w:w="709" w:type="dxa"/>
            <w:vMerge w:val="restart"/>
            <w:tcBorders>
              <w:top w:val="single" w:color="auto" w:sz="4" w:space="0"/>
              <w:left w:val="single" w:color="auto" w:sz="4" w:space="0"/>
              <w:right w:val="single" w:color="auto" w:sz="4" w:space="0"/>
            </w:tcBorders>
            <w:vAlign w:val="center"/>
          </w:tcPr>
          <w:p>
            <w:pPr>
              <w:jc w:val="center"/>
              <w:rPr>
                <w:rFonts w:ascii="仿宋_GB2312" w:hAnsi="宋体" w:eastAsia="仿宋_GB2312" w:cs="宋体"/>
                <w:b/>
                <w:kern w:val="0"/>
                <w:szCs w:val="21"/>
              </w:rPr>
            </w:pPr>
            <w:r>
              <w:rPr>
                <w:rFonts w:hint="eastAsia" w:ascii="仿宋_GB2312" w:hAnsi="宋体" w:eastAsia="仿宋_GB2312" w:cs="宋体"/>
                <w:b/>
                <w:kern w:val="0"/>
                <w:szCs w:val="21"/>
              </w:rPr>
              <w:t>7</w:t>
            </w:r>
          </w:p>
        </w:tc>
        <w:tc>
          <w:tcPr>
            <w:tcW w:w="4252"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业主履约检查通知书和履约评价报告书反馈情况及整改情况</w:t>
            </w:r>
          </w:p>
        </w:tc>
        <w:tc>
          <w:tcPr>
            <w:tcW w:w="4394"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不及时反馈业主发出的履约检查通知书和履约评价报告书；</w:t>
            </w:r>
          </w:p>
          <w:p>
            <w:pPr>
              <w:jc w:val="left"/>
              <w:rPr>
                <w:rFonts w:ascii="宋体" w:hAnsi="宋体" w:cs="宋体"/>
                <w:kern w:val="0"/>
                <w:szCs w:val="21"/>
              </w:rPr>
            </w:pPr>
            <w:r>
              <w:rPr>
                <w:rFonts w:hint="eastAsia" w:ascii="宋体" w:hAnsi="宋体" w:cs="宋体"/>
                <w:kern w:val="0"/>
                <w:szCs w:val="21"/>
              </w:rPr>
              <w:t>履约检查通知书提到的问题不积极主动进行整改；</w:t>
            </w:r>
          </w:p>
          <w:p>
            <w:pPr>
              <w:jc w:val="left"/>
              <w:rPr>
                <w:rFonts w:ascii="宋体" w:hAnsi="宋体" w:cs="宋体"/>
                <w:kern w:val="0"/>
                <w:szCs w:val="21"/>
              </w:rPr>
            </w:pPr>
            <w:r>
              <w:rPr>
                <w:rFonts w:hint="eastAsia" w:ascii="宋体" w:hAnsi="宋体" w:cs="宋体"/>
                <w:kern w:val="0"/>
                <w:szCs w:val="21"/>
              </w:rPr>
              <w:t>以上情况每发生一次扣2.5分</w:t>
            </w:r>
          </w:p>
        </w:tc>
        <w:tc>
          <w:tcPr>
            <w:tcW w:w="85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0"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225" w:hRule="atLeast"/>
        </w:trPr>
        <w:tc>
          <w:tcPr>
            <w:tcW w:w="498" w:type="dxa"/>
            <w:vMerge w:val="continue"/>
            <w:tcBorders>
              <w:left w:val="single" w:color="auto" w:sz="4" w:space="0"/>
              <w:bottom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left w:val="single" w:color="auto" w:sz="4" w:space="0"/>
              <w:bottom w:val="single" w:color="auto" w:sz="4" w:space="0"/>
              <w:right w:val="single" w:color="auto" w:sz="4" w:space="0"/>
            </w:tcBorders>
            <w:vAlign w:val="center"/>
          </w:tcPr>
          <w:p>
            <w:pPr>
              <w:jc w:val="center"/>
              <w:rPr>
                <w:rFonts w:ascii="宋体" w:hAnsi="宋体" w:cs="宋体"/>
                <w:b/>
                <w:kern w:val="0"/>
                <w:szCs w:val="21"/>
              </w:rPr>
            </w:pPr>
          </w:p>
        </w:tc>
        <w:tc>
          <w:tcPr>
            <w:tcW w:w="709" w:type="dxa"/>
            <w:vMerge w:val="continue"/>
            <w:tcBorders>
              <w:left w:val="single" w:color="auto" w:sz="4" w:space="0"/>
              <w:bottom w:val="single" w:color="auto" w:sz="4" w:space="0"/>
              <w:right w:val="single" w:color="auto" w:sz="4" w:space="0"/>
            </w:tcBorders>
            <w:vAlign w:val="center"/>
          </w:tcPr>
          <w:p>
            <w:pPr>
              <w:jc w:val="center"/>
              <w:rPr>
                <w:rFonts w:ascii="仿宋_GB2312" w:hAnsi="宋体" w:eastAsia="仿宋_GB2312" w:cs="宋体"/>
                <w:b/>
                <w:kern w:val="0"/>
                <w:szCs w:val="21"/>
              </w:rPr>
            </w:pPr>
          </w:p>
        </w:tc>
        <w:tc>
          <w:tcPr>
            <w:tcW w:w="4252"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上一期履约评价情况</w:t>
            </w:r>
          </w:p>
        </w:tc>
        <w:tc>
          <w:tcPr>
            <w:tcW w:w="4394"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上一期履约评价为良好的，得2分；上一期履约评价为合格的或未评价过的，得1分；上一期履约不合格的得0分</w:t>
            </w:r>
          </w:p>
        </w:tc>
        <w:tc>
          <w:tcPr>
            <w:tcW w:w="85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50"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225" w:hRule="atLeast"/>
        </w:trPr>
        <w:tc>
          <w:tcPr>
            <w:tcW w:w="498" w:type="dxa"/>
            <w:tcBorders>
              <w:left w:val="single" w:color="auto" w:sz="4" w:space="0"/>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十</w:t>
            </w:r>
          </w:p>
        </w:tc>
        <w:tc>
          <w:tcPr>
            <w:tcW w:w="1502" w:type="dxa"/>
            <w:tcBorders>
              <w:left w:val="single" w:color="auto" w:sz="4" w:space="0"/>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直接判定为“不合格”的情形</w:t>
            </w:r>
          </w:p>
        </w:tc>
        <w:tc>
          <w:tcPr>
            <w:tcW w:w="709" w:type="dxa"/>
            <w:tcBorders>
              <w:left w:val="single" w:color="auto" w:sz="4" w:space="0"/>
              <w:bottom w:val="single" w:color="auto" w:sz="4" w:space="0"/>
              <w:right w:val="single" w:color="auto" w:sz="4" w:space="0"/>
            </w:tcBorders>
            <w:vAlign w:val="center"/>
          </w:tcPr>
          <w:p>
            <w:pPr>
              <w:jc w:val="center"/>
              <w:rPr>
                <w:rFonts w:ascii="仿宋_GB2312" w:hAnsi="宋体" w:eastAsia="仿宋_GB2312" w:cs="宋体"/>
                <w:b/>
                <w:kern w:val="0"/>
                <w:szCs w:val="21"/>
              </w:rPr>
            </w:pPr>
          </w:p>
        </w:tc>
        <w:tc>
          <w:tcPr>
            <w:tcW w:w="4252" w:type="dxa"/>
            <w:tcBorders>
              <w:top w:val="single" w:color="auto" w:sz="4" w:space="0"/>
              <w:left w:val="nil"/>
              <w:bottom w:val="single" w:color="auto" w:sz="4" w:space="0"/>
              <w:right w:val="single" w:color="auto" w:sz="4" w:space="0"/>
            </w:tcBorders>
            <w:vAlign w:val="center"/>
          </w:tcPr>
          <w:p>
            <w:pPr>
              <w:rPr>
                <w:rFonts w:ascii="宋体" w:hAnsi="宋体" w:cs="宋体"/>
                <w:kern w:val="0"/>
                <w:szCs w:val="21"/>
              </w:rPr>
            </w:pPr>
            <w:r>
              <w:rPr>
                <w:rFonts w:hint="eastAsia" w:ascii="宋体" w:hAnsi="宋体" w:cs="宋体"/>
                <w:kern w:val="0"/>
                <w:szCs w:val="21"/>
              </w:rPr>
              <w:t>1、因设计市场主体自身原因造成施工期间变更增加造价超过施工承包合同价的10%；</w:t>
            </w:r>
          </w:p>
          <w:p>
            <w:pPr>
              <w:jc w:val="left"/>
              <w:rPr>
                <w:rFonts w:ascii="宋体" w:hAnsi="宋体" w:cs="宋体"/>
                <w:kern w:val="0"/>
                <w:szCs w:val="21"/>
              </w:rPr>
            </w:pPr>
            <w:r>
              <w:rPr>
                <w:rFonts w:hint="eastAsia" w:ascii="宋体" w:hAnsi="宋体" w:cs="宋体"/>
                <w:kern w:val="0"/>
                <w:szCs w:val="21"/>
              </w:rPr>
              <w:t>2、在合同履行中受到建设行政主管部门行政处罚的。</w:t>
            </w:r>
          </w:p>
        </w:tc>
        <w:tc>
          <w:tcPr>
            <w:tcW w:w="4394"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c>
          <w:tcPr>
            <w:tcW w:w="85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p>
        </w:tc>
        <w:tc>
          <w:tcPr>
            <w:tcW w:w="850"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505" w:hRule="atLeast"/>
        </w:trPr>
        <w:tc>
          <w:tcPr>
            <w:tcW w:w="1135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合   计</w:t>
            </w:r>
          </w:p>
        </w:tc>
        <w:tc>
          <w:tcPr>
            <w:tcW w:w="85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p>
        </w:tc>
        <w:tc>
          <w:tcPr>
            <w:tcW w:w="850"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825" w:hRule="atLeast"/>
        </w:trPr>
        <w:tc>
          <w:tcPr>
            <w:tcW w:w="13964"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atLeast"/>
              <w:rPr>
                <w:rFonts w:ascii="宋体" w:hAnsi="宋体"/>
                <w:szCs w:val="21"/>
              </w:rPr>
            </w:pPr>
            <w:r>
              <w:rPr>
                <w:rFonts w:hint="eastAsia" w:ascii="宋体" w:hAnsi="宋体" w:cs="宋体"/>
                <w:b/>
                <w:kern w:val="0"/>
                <w:szCs w:val="21"/>
              </w:rPr>
              <w:t>注：</w:t>
            </w:r>
            <w:r>
              <w:rPr>
                <w:rFonts w:hint="eastAsia" w:ascii="宋体" w:hAnsi="宋体" w:cs="宋体"/>
                <w:kern w:val="0"/>
                <w:szCs w:val="21"/>
              </w:rPr>
              <w:t>1、</w:t>
            </w:r>
            <w:r>
              <w:rPr>
                <w:rFonts w:hint="eastAsia" w:ascii="宋体" w:hAnsi="宋体"/>
                <w:szCs w:val="21"/>
              </w:rPr>
              <w:t>工程建设单位可结合其工程特点和具体要求，增加和量化具体评分指标，制定评分表，并按百分制将分项分值以百分比折算后进行调整。</w:t>
            </w:r>
          </w:p>
          <w:p>
            <w:pPr>
              <w:widowControl/>
              <w:spacing w:line="240" w:lineRule="atLeast"/>
              <w:ind w:firstLine="420" w:firstLineChars="200"/>
              <w:rPr>
                <w:rFonts w:ascii="宋体" w:hAnsi="宋体" w:cs="宋体"/>
                <w:kern w:val="0"/>
                <w:szCs w:val="21"/>
              </w:rPr>
            </w:pPr>
            <w:r>
              <w:rPr>
                <w:rFonts w:hint="eastAsia" w:ascii="宋体" w:hAnsi="宋体" w:cs="宋体"/>
                <w:kern w:val="0"/>
                <w:szCs w:val="21"/>
              </w:rPr>
              <w:t>2、</w:t>
            </w:r>
            <w:r>
              <w:rPr>
                <w:rFonts w:hint="eastAsia" w:ascii="宋体" w:hAnsi="宋体"/>
                <w:szCs w:val="21"/>
              </w:rPr>
              <w:t>规定的评分指标中，招标文件</w:t>
            </w:r>
            <w:r>
              <w:rPr>
                <w:rFonts w:hint="eastAsia" w:ascii="宋体" w:hAnsi="宋体" w:cs="宋体"/>
                <w:kern w:val="0"/>
                <w:szCs w:val="21"/>
              </w:rPr>
              <w:t>或合同</w:t>
            </w:r>
            <w:r>
              <w:rPr>
                <w:rFonts w:hint="eastAsia" w:ascii="宋体" w:hAnsi="宋体"/>
                <w:szCs w:val="21"/>
              </w:rPr>
              <w:t>无委托实施的内容，不计入评分，其分值按百分比折算后计入其他指标中或对总得分按百分比进行折算。</w:t>
            </w:r>
          </w:p>
        </w:tc>
      </w:tr>
    </w:tbl>
    <w:p/>
    <w:p>
      <w:pPr>
        <w:widowControl/>
        <w:jc w:val="left"/>
        <w:rPr>
          <w:rFonts w:ascii="仿宋" w:hAnsi="仿宋" w:eastAsia="仿宋"/>
          <w:sz w:val="32"/>
          <w:szCs w:val="32"/>
        </w:rPr>
      </w:pPr>
      <w:r>
        <w:rPr>
          <w:rFonts w:ascii="仿宋" w:hAnsi="仿宋" w:eastAsia="仿宋"/>
          <w:sz w:val="32"/>
          <w:szCs w:val="32"/>
        </w:rPr>
        <w:br w:type="page"/>
      </w:r>
    </w:p>
    <w:tbl>
      <w:tblPr>
        <w:tblStyle w:val="9"/>
        <w:tblpPr w:leftFromText="180" w:rightFromText="180" w:vertAnchor="text" w:horzAnchor="margin" w:tblpX="74" w:tblpY="79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3190"/>
        <w:gridCol w:w="3047"/>
        <w:gridCol w:w="61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668" w:type="dxa"/>
            <w:vAlign w:val="center"/>
          </w:tcPr>
          <w:p>
            <w:pPr>
              <w:spacing w:line="276" w:lineRule="auto"/>
              <w:jc w:val="center"/>
              <w:rPr>
                <w:rFonts w:ascii="宋体" w:hAnsi="宋体"/>
                <w:b/>
                <w:szCs w:val="21"/>
              </w:rPr>
            </w:pPr>
            <w:r>
              <w:rPr>
                <w:rFonts w:hint="eastAsia" w:ascii="宋体" w:hAnsi="宋体"/>
                <w:szCs w:val="21"/>
              </w:rPr>
              <w:t>工程名称</w:t>
            </w:r>
          </w:p>
        </w:tc>
        <w:tc>
          <w:tcPr>
            <w:tcW w:w="3190" w:type="dxa"/>
            <w:vAlign w:val="center"/>
          </w:tcPr>
          <w:p>
            <w:pPr>
              <w:spacing w:line="276" w:lineRule="auto"/>
              <w:rPr>
                <w:rFonts w:ascii="宋体" w:hAnsi="宋体"/>
                <w:b/>
                <w:szCs w:val="21"/>
              </w:rPr>
            </w:pPr>
          </w:p>
        </w:tc>
        <w:tc>
          <w:tcPr>
            <w:tcW w:w="3047" w:type="dxa"/>
            <w:tcBorders>
              <w:top w:val="nil"/>
            </w:tcBorders>
            <w:vAlign w:val="center"/>
          </w:tcPr>
          <w:p>
            <w:pPr>
              <w:spacing w:line="276" w:lineRule="auto"/>
              <w:jc w:val="center"/>
              <w:rPr>
                <w:rFonts w:ascii="宋体" w:hAnsi="宋体"/>
                <w:b/>
                <w:szCs w:val="21"/>
              </w:rPr>
            </w:pPr>
            <w:r>
              <w:rPr>
                <w:rFonts w:hint="eastAsia" w:ascii="宋体" w:hAnsi="宋体"/>
                <w:szCs w:val="21"/>
              </w:rPr>
              <w:t>承 包 商</w:t>
            </w:r>
          </w:p>
        </w:tc>
        <w:tc>
          <w:tcPr>
            <w:tcW w:w="6128" w:type="dxa"/>
            <w:tcBorders>
              <w:top w:val="nil"/>
            </w:tcBorders>
            <w:vAlign w:val="center"/>
          </w:tcPr>
          <w:p>
            <w:pPr>
              <w:spacing w:line="276" w:lineRule="auto"/>
              <w:rPr>
                <w:rFonts w:ascii="宋体" w:hAnsi="宋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68" w:type="dxa"/>
            <w:vAlign w:val="center"/>
          </w:tcPr>
          <w:p>
            <w:pPr>
              <w:spacing w:line="276" w:lineRule="auto"/>
              <w:jc w:val="center"/>
              <w:rPr>
                <w:rFonts w:ascii="宋体" w:hAnsi="宋体"/>
                <w:b/>
                <w:szCs w:val="21"/>
              </w:rPr>
            </w:pPr>
            <w:r>
              <w:rPr>
                <w:rFonts w:hint="eastAsia" w:ascii="宋体" w:hAnsi="宋体"/>
                <w:szCs w:val="21"/>
              </w:rPr>
              <w:t>总 得 分</w:t>
            </w:r>
          </w:p>
        </w:tc>
        <w:tc>
          <w:tcPr>
            <w:tcW w:w="3190" w:type="dxa"/>
            <w:vAlign w:val="center"/>
          </w:tcPr>
          <w:p>
            <w:pPr>
              <w:spacing w:line="276" w:lineRule="auto"/>
              <w:rPr>
                <w:rFonts w:ascii="宋体" w:hAnsi="宋体"/>
                <w:b/>
                <w:szCs w:val="21"/>
              </w:rPr>
            </w:pPr>
          </w:p>
        </w:tc>
        <w:tc>
          <w:tcPr>
            <w:tcW w:w="3047" w:type="dxa"/>
            <w:vAlign w:val="center"/>
          </w:tcPr>
          <w:p>
            <w:pPr>
              <w:spacing w:line="276" w:lineRule="auto"/>
              <w:jc w:val="center"/>
              <w:rPr>
                <w:rFonts w:ascii="宋体" w:hAnsi="宋体"/>
                <w:b/>
                <w:szCs w:val="21"/>
              </w:rPr>
            </w:pPr>
            <w:r>
              <w:rPr>
                <w:rFonts w:hint="eastAsia" w:ascii="宋体" w:hAnsi="宋体"/>
                <w:szCs w:val="21"/>
              </w:rPr>
              <w:t>评价等级</w:t>
            </w:r>
          </w:p>
        </w:tc>
        <w:tc>
          <w:tcPr>
            <w:tcW w:w="6128" w:type="dxa"/>
            <w:vAlign w:val="center"/>
          </w:tcPr>
          <w:p>
            <w:pPr>
              <w:spacing w:line="276" w:lineRule="auto"/>
              <w:ind w:firstLine="210" w:firstLineChars="100"/>
              <w:rPr>
                <w:rFonts w:ascii="宋体" w:hAnsi="宋体"/>
                <w:b/>
                <w:szCs w:val="21"/>
              </w:rPr>
            </w:pPr>
            <w:r>
              <w:rPr>
                <w:rFonts w:hint="eastAsia" w:ascii="宋体" w:hAnsi="宋体"/>
                <w:szCs w:val="21"/>
              </w:rPr>
              <w:t>□优  □良 □中  □合格   □不合格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1668" w:type="dxa"/>
            <w:vAlign w:val="center"/>
          </w:tcPr>
          <w:p>
            <w:pPr>
              <w:spacing w:line="276" w:lineRule="auto"/>
              <w:jc w:val="center"/>
              <w:rPr>
                <w:rFonts w:ascii="宋体" w:hAnsi="宋体"/>
                <w:b/>
                <w:szCs w:val="21"/>
              </w:rPr>
            </w:pPr>
            <w:r>
              <w:rPr>
                <w:rFonts w:hint="eastAsia"/>
                <w:szCs w:val="21"/>
              </w:rPr>
              <w:t>建设单位</w:t>
            </w:r>
          </w:p>
        </w:tc>
        <w:tc>
          <w:tcPr>
            <w:tcW w:w="3190" w:type="dxa"/>
            <w:vAlign w:val="center"/>
          </w:tcPr>
          <w:p>
            <w:pPr>
              <w:spacing w:line="276" w:lineRule="auto"/>
              <w:rPr>
                <w:rFonts w:ascii="宋体" w:hAnsi="宋体"/>
                <w:b/>
                <w:szCs w:val="21"/>
              </w:rPr>
            </w:pPr>
          </w:p>
        </w:tc>
        <w:tc>
          <w:tcPr>
            <w:tcW w:w="3047" w:type="dxa"/>
            <w:vAlign w:val="center"/>
          </w:tcPr>
          <w:p>
            <w:pPr>
              <w:spacing w:line="276" w:lineRule="auto"/>
              <w:jc w:val="center"/>
              <w:rPr>
                <w:rFonts w:ascii="宋体" w:hAnsi="宋体"/>
                <w:b/>
                <w:szCs w:val="21"/>
              </w:rPr>
            </w:pPr>
            <w:r>
              <w:rPr>
                <w:rFonts w:hint="eastAsia" w:ascii="宋体" w:hAnsi="宋体"/>
                <w:szCs w:val="21"/>
              </w:rPr>
              <w:t>评价时间</w:t>
            </w:r>
          </w:p>
        </w:tc>
        <w:tc>
          <w:tcPr>
            <w:tcW w:w="6128" w:type="dxa"/>
            <w:vAlign w:val="center"/>
          </w:tcPr>
          <w:p>
            <w:pPr>
              <w:wordWrap w:val="0"/>
              <w:spacing w:line="276" w:lineRule="auto"/>
              <w:jc w:val="right"/>
              <w:rPr>
                <w:rFonts w:ascii="宋体" w:hAnsi="宋体"/>
                <w:b/>
                <w:szCs w:val="21"/>
              </w:rPr>
            </w:pPr>
            <w:r>
              <w:rPr>
                <w:rFonts w:hint="eastAsia" w:ascii="宋体" w:hAnsi="宋体"/>
                <w:szCs w:val="21"/>
              </w:rPr>
              <w:t xml:space="preserve"> 年    月    日 </w:t>
            </w:r>
          </w:p>
        </w:tc>
      </w:tr>
    </w:tbl>
    <w:p>
      <w:pPr>
        <w:widowControl/>
        <w:tabs>
          <w:tab w:val="left" w:pos="1620"/>
        </w:tabs>
        <w:jc w:val="center"/>
        <w:rPr>
          <w:rFonts w:ascii="黑体" w:hAnsi="宋体" w:eastAsia="黑体" w:cs="宋体"/>
          <w:bCs/>
          <w:kern w:val="0"/>
          <w:sz w:val="32"/>
          <w:szCs w:val="32"/>
        </w:rPr>
      </w:pPr>
      <w:r>
        <w:rPr>
          <w:rFonts w:hint="eastAsia" w:ascii="黑体" w:hAnsi="宋体" w:eastAsia="黑体" w:cs="宋体"/>
          <w:bCs/>
          <w:kern w:val="0"/>
          <w:sz w:val="32"/>
          <w:szCs w:val="32"/>
        </w:rPr>
        <w:t>罗湖区建设工程市场主体履约评价表(造价咨询)</w:t>
      </w:r>
    </w:p>
    <w:p>
      <w:pPr>
        <w:tabs>
          <w:tab w:val="left" w:pos="3780"/>
        </w:tabs>
      </w:pPr>
      <w:r>
        <w:tab/>
      </w:r>
    </w:p>
    <w:tbl>
      <w:tblPr>
        <w:tblStyle w:val="9"/>
        <w:tblW w:w="0" w:type="auto"/>
        <w:tblInd w:w="93" w:type="dxa"/>
        <w:tblLayout w:type="fixed"/>
        <w:tblCellMar>
          <w:top w:w="0" w:type="dxa"/>
          <w:left w:w="108" w:type="dxa"/>
          <w:bottom w:w="0" w:type="dxa"/>
          <w:right w:w="108" w:type="dxa"/>
        </w:tblCellMar>
      </w:tblPr>
      <w:tblGrid>
        <w:gridCol w:w="498"/>
        <w:gridCol w:w="1502"/>
        <w:gridCol w:w="709"/>
        <w:gridCol w:w="4252"/>
        <w:gridCol w:w="4394"/>
        <w:gridCol w:w="851"/>
        <w:gridCol w:w="850"/>
        <w:gridCol w:w="908"/>
      </w:tblGrid>
      <w:tr>
        <w:tblPrEx>
          <w:tblCellMar>
            <w:top w:w="0" w:type="dxa"/>
            <w:left w:w="108" w:type="dxa"/>
            <w:bottom w:w="0" w:type="dxa"/>
            <w:right w:w="108" w:type="dxa"/>
          </w:tblCellMar>
        </w:tblPrEx>
        <w:trPr>
          <w:trHeight w:val="831" w:hRule="atLeast"/>
        </w:trPr>
        <w:tc>
          <w:tcPr>
            <w:tcW w:w="4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kern w:val="0"/>
                <w:szCs w:val="21"/>
              </w:rPr>
            </w:pPr>
            <w:r>
              <w:rPr>
                <w:rFonts w:hint="eastAsia" w:ascii="宋体" w:hAnsi="宋体" w:cs="宋体"/>
                <w:b/>
                <w:bCs/>
                <w:kern w:val="0"/>
                <w:szCs w:val="21"/>
              </w:rPr>
              <w:t>序</w:t>
            </w:r>
            <w:r>
              <w:rPr>
                <w:rFonts w:hint="eastAsia" w:ascii="宋体" w:hAnsi="宋体" w:cs="宋体"/>
                <w:b/>
                <w:bCs/>
                <w:kern w:val="0"/>
                <w:szCs w:val="21"/>
              </w:rPr>
              <w:br w:type="textWrapping"/>
            </w:r>
            <w:r>
              <w:rPr>
                <w:rFonts w:hint="eastAsia" w:ascii="宋体" w:hAnsi="宋体" w:cs="宋体"/>
                <w:b/>
                <w:bCs/>
                <w:kern w:val="0"/>
                <w:szCs w:val="21"/>
              </w:rPr>
              <w:t>号</w:t>
            </w:r>
          </w:p>
        </w:tc>
        <w:tc>
          <w:tcPr>
            <w:tcW w:w="150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kern w:val="0"/>
                <w:szCs w:val="21"/>
              </w:rPr>
            </w:pPr>
            <w:r>
              <w:rPr>
                <w:rFonts w:hint="eastAsia" w:ascii="宋体" w:hAnsi="宋体" w:cs="宋体"/>
                <w:b/>
                <w:bCs/>
                <w:kern w:val="0"/>
                <w:szCs w:val="21"/>
              </w:rPr>
              <w:t>内容</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bCs/>
                <w:kern w:val="0"/>
                <w:szCs w:val="21"/>
              </w:rPr>
            </w:pPr>
            <w:r>
              <w:rPr>
                <w:rFonts w:hint="eastAsia" w:ascii="宋体" w:hAnsi="宋体" w:cs="宋体"/>
                <w:b/>
                <w:bCs/>
                <w:kern w:val="0"/>
                <w:szCs w:val="21"/>
              </w:rPr>
              <w:t>单项</w:t>
            </w:r>
            <w:r>
              <w:rPr>
                <w:rFonts w:hint="eastAsia" w:ascii="宋体" w:hAnsi="宋体" w:cs="宋体"/>
                <w:b/>
                <w:bCs/>
                <w:kern w:val="0"/>
                <w:szCs w:val="21"/>
              </w:rPr>
              <w:br w:type="textWrapping"/>
            </w:r>
            <w:r>
              <w:rPr>
                <w:rFonts w:hint="eastAsia" w:ascii="宋体" w:hAnsi="宋体" w:cs="宋体"/>
                <w:b/>
                <w:bCs/>
                <w:kern w:val="0"/>
                <w:szCs w:val="21"/>
              </w:rPr>
              <w:t>分值</w:t>
            </w:r>
          </w:p>
        </w:tc>
        <w:tc>
          <w:tcPr>
            <w:tcW w:w="425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kern w:val="0"/>
                <w:szCs w:val="21"/>
              </w:rPr>
            </w:pPr>
            <w:r>
              <w:rPr>
                <w:rFonts w:hint="eastAsia" w:ascii="宋体" w:hAnsi="宋体" w:cs="宋体"/>
                <w:bCs/>
                <w:kern w:val="0"/>
                <w:szCs w:val="21"/>
              </w:rPr>
              <w:t>评价要求</w:t>
            </w:r>
          </w:p>
        </w:tc>
        <w:tc>
          <w:tcPr>
            <w:tcW w:w="43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kern w:val="0"/>
                <w:szCs w:val="21"/>
              </w:rPr>
            </w:pPr>
            <w:r>
              <w:rPr>
                <w:rFonts w:hint="eastAsia" w:ascii="宋体" w:hAnsi="宋体" w:cs="宋体"/>
                <w:bCs/>
                <w:kern w:val="0"/>
                <w:szCs w:val="21"/>
              </w:rPr>
              <w:t>评分标准</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Cs/>
                <w:kern w:val="0"/>
                <w:szCs w:val="21"/>
              </w:rPr>
            </w:pPr>
            <w:r>
              <w:rPr>
                <w:rFonts w:hint="eastAsia" w:ascii="宋体" w:hAnsi="宋体" w:cs="宋体"/>
                <w:bCs/>
                <w:kern w:val="0"/>
                <w:szCs w:val="21"/>
              </w:rPr>
              <w:t>分值</w:t>
            </w:r>
          </w:p>
        </w:tc>
        <w:tc>
          <w:tcPr>
            <w:tcW w:w="850" w:type="dxa"/>
            <w:tcBorders>
              <w:top w:val="single" w:color="auto" w:sz="4" w:space="0"/>
              <w:left w:val="nil"/>
              <w:bottom w:val="single" w:color="auto" w:sz="4" w:space="0"/>
              <w:right w:val="single" w:color="auto" w:sz="4" w:space="0"/>
            </w:tcBorders>
            <w:vAlign w:val="center"/>
          </w:tcPr>
          <w:p>
            <w:pPr>
              <w:jc w:val="center"/>
              <w:rPr>
                <w:rFonts w:ascii="宋体" w:hAnsi="宋体" w:cs="宋体"/>
                <w:bCs/>
                <w:kern w:val="0"/>
                <w:szCs w:val="21"/>
              </w:rPr>
            </w:pPr>
            <w:r>
              <w:rPr>
                <w:rFonts w:hint="eastAsia" w:ascii="宋体" w:hAnsi="宋体" w:cs="宋体"/>
                <w:bCs/>
                <w:kern w:val="0"/>
                <w:szCs w:val="21"/>
              </w:rPr>
              <w:t>应得分</w:t>
            </w:r>
          </w:p>
        </w:tc>
        <w:tc>
          <w:tcPr>
            <w:tcW w:w="908" w:type="dxa"/>
            <w:tcBorders>
              <w:top w:val="single" w:color="auto" w:sz="4" w:space="0"/>
              <w:left w:val="nil"/>
              <w:bottom w:val="single" w:color="auto" w:sz="4" w:space="0"/>
              <w:right w:val="single" w:color="auto" w:sz="4" w:space="0"/>
            </w:tcBorders>
            <w:vAlign w:val="center"/>
          </w:tcPr>
          <w:p>
            <w:pPr>
              <w:jc w:val="center"/>
              <w:rPr>
                <w:rFonts w:ascii="宋体" w:hAnsi="宋体" w:cs="宋体"/>
                <w:bCs/>
                <w:kern w:val="0"/>
                <w:szCs w:val="21"/>
              </w:rPr>
            </w:pPr>
            <w:r>
              <w:rPr>
                <w:rFonts w:hint="eastAsia" w:ascii="宋体" w:hAnsi="宋体" w:cs="宋体"/>
                <w:bCs/>
                <w:kern w:val="0"/>
                <w:szCs w:val="21"/>
              </w:rPr>
              <w:t>实得分</w:t>
            </w:r>
          </w:p>
        </w:tc>
      </w:tr>
      <w:tr>
        <w:tblPrEx>
          <w:tblCellMar>
            <w:top w:w="0" w:type="dxa"/>
            <w:left w:w="108" w:type="dxa"/>
            <w:bottom w:w="0" w:type="dxa"/>
            <w:right w:w="108" w:type="dxa"/>
          </w:tblCellMar>
        </w:tblPrEx>
        <w:trPr>
          <w:trHeight w:val="315" w:hRule="atLeast"/>
        </w:trPr>
        <w:tc>
          <w:tcPr>
            <w:tcW w:w="498" w:type="dxa"/>
            <w:vMerge w:val="restart"/>
            <w:tcBorders>
              <w:top w:val="nil"/>
              <w:left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一</w:t>
            </w:r>
          </w:p>
        </w:tc>
        <w:tc>
          <w:tcPr>
            <w:tcW w:w="1502"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项目负责</w:t>
            </w:r>
            <w:r>
              <w:rPr>
                <w:rFonts w:hint="eastAsia" w:ascii="宋体" w:hAnsi="宋体" w:cs="宋体"/>
                <w:b/>
                <w:kern w:val="0"/>
                <w:szCs w:val="21"/>
              </w:rPr>
              <w:br w:type="textWrapping"/>
            </w:r>
            <w:r>
              <w:rPr>
                <w:rFonts w:hint="eastAsia" w:ascii="宋体" w:hAnsi="宋体" w:cs="宋体"/>
                <w:b/>
                <w:kern w:val="0"/>
                <w:szCs w:val="21"/>
              </w:rPr>
              <w:t>人要求</w:t>
            </w:r>
          </w:p>
        </w:tc>
        <w:tc>
          <w:tcPr>
            <w:tcW w:w="709" w:type="dxa"/>
            <w:vMerge w:val="restart"/>
            <w:tcBorders>
              <w:top w:val="nil"/>
              <w:left w:val="single" w:color="auto" w:sz="4" w:space="0"/>
              <w:bottom w:val="single" w:color="auto" w:sz="4" w:space="0"/>
              <w:right w:val="single" w:color="auto" w:sz="4" w:space="0"/>
            </w:tcBorders>
            <w:vAlign w:val="center"/>
          </w:tcPr>
          <w:p>
            <w:pPr>
              <w:jc w:val="center"/>
              <w:rPr>
                <w:rFonts w:ascii="仿宋_GB2312" w:hAnsi="宋体" w:eastAsia="仿宋_GB2312" w:cs="宋体"/>
                <w:b/>
                <w:kern w:val="0"/>
                <w:szCs w:val="21"/>
              </w:rPr>
            </w:pPr>
            <w:r>
              <w:rPr>
                <w:rFonts w:hint="eastAsia" w:ascii="仿宋_GB2312" w:hAnsi="宋体" w:eastAsia="仿宋_GB2312" w:cs="宋体"/>
                <w:b/>
                <w:kern w:val="0"/>
                <w:szCs w:val="21"/>
              </w:rPr>
              <w:t>15</w:t>
            </w: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具有相应专业高级职称，符合招标文件要求</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低于相应专业高级职称,扣2分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4</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285" w:hRule="atLeast"/>
        </w:trPr>
        <w:tc>
          <w:tcPr>
            <w:tcW w:w="498" w:type="dxa"/>
            <w:vMerge w:val="continue"/>
            <w:tcBorders>
              <w:left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b/>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b/>
                <w:kern w:val="0"/>
                <w:szCs w:val="21"/>
              </w:rPr>
            </w:pP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人员稳定无更换</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每更换一次,扣1分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285" w:hRule="atLeast"/>
        </w:trPr>
        <w:tc>
          <w:tcPr>
            <w:tcW w:w="498" w:type="dxa"/>
            <w:vMerge w:val="continue"/>
            <w:tcBorders>
              <w:left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b/>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b/>
                <w:kern w:val="0"/>
                <w:szCs w:val="21"/>
              </w:rPr>
            </w:pP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及时发现问题和处理问题</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发现问题后未及时处理,每发生一次扣1分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285" w:hRule="atLeast"/>
        </w:trPr>
        <w:tc>
          <w:tcPr>
            <w:tcW w:w="498" w:type="dxa"/>
            <w:vMerge w:val="continue"/>
            <w:tcBorders>
              <w:left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b/>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b/>
                <w:kern w:val="0"/>
                <w:szCs w:val="21"/>
              </w:rPr>
            </w:pP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具有较强的专业协调能力</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工作协调不到位，专业能力不够，扣3分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720" w:hRule="atLeast"/>
        </w:trPr>
        <w:tc>
          <w:tcPr>
            <w:tcW w:w="498" w:type="dxa"/>
            <w:vMerge w:val="continue"/>
            <w:tcBorders>
              <w:left w:val="single" w:color="auto" w:sz="4" w:space="0"/>
              <w:bottom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b/>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b/>
                <w:kern w:val="0"/>
                <w:szCs w:val="21"/>
              </w:rPr>
            </w:pP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能与建设单位、主管部门、监理、施工等相关单位充分沟通</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1、与相关参建单位没及时沟通；</w:t>
            </w:r>
            <w:r>
              <w:rPr>
                <w:rFonts w:hint="eastAsia" w:ascii="宋体" w:hAnsi="宋体" w:cs="宋体"/>
                <w:kern w:val="0"/>
                <w:szCs w:val="21"/>
              </w:rPr>
              <w:br w:type="textWrapping"/>
            </w:r>
            <w:r>
              <w:rPr>
                <w:rFonts w:hint="eastAsia" w:ascii="宋体" w:hAnsi="宋体" w:cs="宋体"/>
                <w:kern w:val="0"/>
                <w:szCs w:val="21"/>
              </w:rPr>
              <w:t>2、不参加甲方组织的相关邀请会议。</w:t>
            </w:r>
            <w:r>
              <w:rPr>
                <w:rFonts w:hint="eastAsia" w:ascii="宋体" w:hAnsi="宋体" w:cs="宋体"/>
                <w:kern w:val="0"/>
                <w:szCs w:val="21"/>
              </w:rPr>
              <w:br w:type="textWrapping"/>
            </w:r>
            <w:r>
              <w:rPr>
                <w:rFonts w:hint="eastAsia" w:ascii="宋体" w:hAnsi="宋体" w:cs="宋体"/>
                <w:kern w:val="0"/>
                <w:szCs w:val="21"/>
              </w:rPr>
              <w:t>以上各项每发生一次扣1分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1200" w:hRule="atLeast"/>
        </w:trPr>
        <w:tc>
          <w:tcPr>
            <w:tcW w:w="498" w:type="dxa"/>
            <w:vMerge w:val="continue"/>
            <w:tcBorders>
              <w:left w:val="single" w:color="auto" w:sz="4" w:space="0"/>
              <w:bottom w:val="single" w:color="auto" w:sz="4" w:space="0"/>
              <w:right w:val="single" w:color="auto" w:sz="4" w:space="0"/>
            </w:tcBorders>
            <w:vAlign w:val="center"/>
          </w:tcPr>
          <w:p>
            <w:pPr>
              <w:jc w:val="center"/>
              <w:rPr>
                <w:rFonts w:ascii="宋体" w:hAnsi="宋体" w:cs="宋体"/>
                <w:b/>
                <w:kern w:val="0"/>
                <w:szCs w:val="21"/>
              </w:rPr>
            </w:pPr>
          </w:p>
        </w:tc>
        <w:tc>
          <w:tcPr>
            <w:tcW w:w="1502" w:type="dxa"/>
            <w:tcBorders>
              <w:top w:val="nil"/>
              <w:left w:val="nil"/>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kern w:val="0"/>
                <w:szCs w:val="21"/>
              </w:rPr>
              <w:t>专业</w:t>
            </w:r>
            <w:r>
              <w:rPr>
                <w:rFonts w:hint="eastAsia" w:ascii="宋体" w:hAnsi="宋体" w:cs="宋体"/>
                <w:b/>
                <w:kern w:val="0"/>
                <w:szCs w:val="21"/>
              </w:rPr>
              <w:t>设计人</w:t>
            </w:r>
            <w:r>
              <w:rPr>
                <w:rFonts w:hint="eastAsia" w:ascii="宋体" w:hAnsi="宋体" w:cs="宋体"/>
                <w:b/>
                <w:kern w:val="0"/>
                <w:szCs w:val="21"/>
              </w:rPr>
              <w:br w:type="textWrapping"/>
            </w:r>
            <w:r>
              <w:rPr>
                <w:rFonts w:hint="eastAsia" w:ascii="宋体" w:hAnsi="宋体" w:cs="宋体"/>
                <w:b/>
                <w:kern w:val="0"/>
                <w:szCs w:val="21"/>
              </w:rPr>
              <w:t>员配置要求</w:t>
            </w:r>
          </w:p>
        </w:tc>
        <w:tc>
          <w:tcPr>
            <w:tcW w:w="709" w:type="dxa"/>
            <w:tcBorders>
              <w:top w:val="nil"/>
              <w:left w:val="nil"/>
              <w:bottom w:val="single" w:color="auto" w:sz="4" w:space="0"/>
              <w:right w:val="single" w:color="auto" w:sz="4" w:space="0"/>
            </w:tcBorders>
            <w:vAlign w:val="center"/>
          </w:tcPr>
          <w:p>
            <w:pPr>
              <w:jc w:val="center"/>
              <w:rPr>
                <w:rFonts w:ascii="仿宋_GB2312" w:hAnsi="宋体" w:eastAsia="仿宋_GB2312" w:cs="宋体"/>
                <w:b/>
                <w:kern w:val="0"/>
                <w:szCs w:val="21"/>
              </w:rPr>
            </w:pPr>
            <w:r>
              <w:rPr>
                <w:rFonts w:hint="eastAsia" w:ascii="仿宋_GB2312" w:hAnsi="宋体" w:eastAsia="仿宋_GB2312" w:cs="宋体"/>
                <w:b/>
                <w:kern w:val="0"/>
                <w:szCs w:val="21"/>
              </w:rPr>
              <w:t>10</w:t>
            </w: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项目配备的设计人员的专业满足合同要求且各专业人员稳定</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与约定比，</w:t>
            </w:r>
            <w:r>
              <w:rPr>
                <w:rFonts w:hint="eastAsia" w:ascii="宋体" w:hAnsi="宋体" w:cs="宋体"/>
                <w:kern w:val="0"/>
                <w:szCs w:val="21"/>
              </w:rPr>
              <w:br w:type="textWrapping"/>
            </w:r>
            <w:r>
              <w:rPr>
                <w:rFonts w:hint="eastAsia" w:ascii="宋体" w:hAnsi="宋体" w:cs="宋体"/>
                <w:kern w:val="0"/>
                <w:szCs w:val="21"/>
              </w:rPr>
              <w:t>1、配备过低人员每一人扣2分；</w:t>
            </w:r>
            <w:r>
              <w:rPr>
                <w:rFonts w:hint="eastAsia" w:ascii="宋体" w:hAnsi="宋体" w:cs="宋体"/>
                <w:kern w:val="0"/>
                <w:szCs w:val="21"/>
              </w:rPr>
              <w:br w:type="textWrapping"/>
            </w:r>
            <w:r>
              <w:rPr>
                <w:rFonts w:hint="eastAsia" w:ascii="宋体" w:hAnsi="宋体" w:cs="宋体"/>
                <w:kern w:val="0"/>
                <w:szCs w:val="21"/>
              </w:rPr>
              <w:t>2、更换不比原岗位级别高的人员，每发生一次扣2分</w:t>
            </w:r>
            <w:r>
              <w:rPr>
                <w:rFonts w:hint="eastAsia" w:ascii="宋体" w:hAnsi="宋体" w:cs="宋体"/>
                <w:kern w:val="0"/>
                <w:szCs w:val="21"/>
              </w:rPr>
              <w:br w:type="textWrapping"/>
            </w:r>
            <w:r>
              <w:rPr>
                <w:rFonts w:hint="eastAsia" w:ascii="宋体" w:hAnsi="宋体" w:cs="宋体"/>
                <w:kern w:val="0"/>
                <w:szCs w:val="21"/>
              </w:rPr>
              <w:t>3、更换同级别人员，每一人次扣1分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960" w:hRule="atLeast"/>
        </w:trPr>
        <w:tc>
          <w:tcPr>
            <w:tcW w:w="498" w:type="dxa"/>
            <w:vMerge w:val="restart"/>
            <w:tcBorders>
              <w:top w:val="single" w:color="auto" w:sz="4" w:space="0"/>
              <w:left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二</w:t>
            </w:r>
          </w:p>
        </w:tc>
        <w:tc>
          <w:tcPr>
            <w:tcW w:w="150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工程量清单编制质量</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仿宋_GB2312" w:hAnsi="宋体" w:eastAsia="仿宋_GB2312" w:cs="宋体"/>
                <w:b/>
                <w:kern w:val="0"/>
                <w:szCs w:val="21"/>
              </w:rPr>
            </w:pPr>
            <w:r>
              <w:rPr>
                <w:rFonts w:hint="eastAsia" w:ascii="仿宋_GB2312" w:hAnsi="宋体" w:eastAsia="仿宋_GB2312" w:cs="宋体"/>
                <w:b/>
                <w:kern w:val="0"/>
                <w:szCs w:val="21"/>
              </w:rPr>
              <w:t>35</w:t>
            </w:r>
          </w:p>
        </w:tc>
        <w:tc>
          <w:tcPr>
            <w:tcW w:w="4252"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r>
              <w:rPr>
                <w:rFonts w:hint="eastAsia"/>
                <w:szCs w:val="21"/>
              </w:rPr>
              <w:t>适用标准及规范明确，无缺项、漏项、错项</w:t>
            </w:r>
          </w:p>
        </w:tc>
        <w:tc>
          <w:tcPr>
            <w:tcW w:w="4394"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1、分部分项造价不全，缺漏的；</w:t>
            </w:r>
            <w:r>
              <w:rPr>
                <w:rFonts w:hint="eastAsia" w:ascii="宋体" w:hAnsi="宋体" w:cs="宋体"/>
                <w:kern w:val="0"/>
                <w:szCs w:val="21"/>
              </w:rPr>
              <w:br w:type="textWrapping"/>
            </w:r>
            <w:r>
              <w:rPr>
                <w:rFonts w:hint="eastAsia" w:ascii="宋体" w:hAnsi="宋体" w:cs="宋体"/>
                <w:kern w:val="0"/>
                <w:szCs w:val="21"/>
              </w:rPr>
              <w:t>2、造价相互矛盾；</w:t>
            </w:r>
            <w:r>
              <w:rPr>
                <w:rFonts w:hint="eastAsia" w:ascii="宋体" w:hAnsi="宋体" w:cs="宋体"/>
                <w:kern w:val="0"/>
                <w:szCs w:val="21"/>
              </w:rPr>
              <w:br w:type="textWrapping"/>
            </w:r>
            <w:r>
              <w:rPr>
                <w:rFonts w:hint="eastAsia" w:ascii="宋体" w:hAnsi="宋体" w:cs="宋体"/>
                <w:kern w:val="0"/>
                <w:szCs w:val="21"/>
              </w:rPr>
              <w:t>3、无明确有效性。</w:t>
            </w:r>
            <w:r>
              <w:rPr>
                <w:rFonts w:hint="eastAsia" w:ascii="宋体" w:hAnsi="宋体" w:cs="宋体"/>
                <w:kern w:val="0"/>
                <w:szCs w:val="21"/>
              </w:rPr>
              <w:br w:type="textWrapping"/>
            </w:r>
            <w:r>
              <w:rPr>
                <w:rFonts w:hint="eastAsia" w:ascii="宋体" w:hAnsi="宋体" w:cs="宋体"/>
                <w:kern w:val="0"/>
                <w:szCs w:val="21"/>
              </w:rPr>
              <w:t>以上情况每发生一次扣1分</w:t>
            </w:r>
          </w:p>
        </w:tc>
        <w:tc>
          <w:tcPr>
            <w:tcW w:w="85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0"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1200" w:hRule="atLeast"/>
        </w:trPr>
        <w:tc>
          <w:tcPr>
            <w:tcW w:w="498" w:type="dxa"/>
            <w:vMerge w:val="continue"/>
            <w:tcBorders>
              <w:left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b/>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b/>
                <w:kern w:val="0"/>
                <w:szCs w:val="21"/>
              </w:rPr>
            </w:pPr>
          </w:p>
        </w:tc>
        <w:tc>
          <w:tcPr>
            <w:tcW w:w="4252" w:type="dxa"/>
            <w:tcBorders>
              <w:top w:val="nil"/>
              <w:left w:val="nil"/>
              <w:bottom w:val="single" w:color="auto" w:sz="4" w:space="0"/>
              <w:right w:val="single" w:color="auto" w:sz="4" w:space="0"/>
            </w:tcBorders>
            <w:vAlign w:val="center"/>
          </w:tcPr>
          <w:p>
            <w:pPr>
              <w:rPr>
                <w:szCs w:val="21"/>
              </w:rPr>
            </w:pPr>
            <w:r>
              <w:rPr>
                <w:rFonts w:hint="eastAsia"/>
                <w:szCs w:val="21"/>
              </w:rPr>
              <w:t>工程量计价准确，项目特征描述清晰，格式统一规范。</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1编制工程量清单不准确；</w:t>
            </w:r>
            <w:r>
              <w:rPr>
                <w:rFonts w:hint="eastAsia" w:ascii="宋体" w:hAnsi="宋体" w:cs="宋体"/>
                <w:kern w:val="0"/>
                <w:szCs w:val="21"/>
              </w:rPr>
              <w:br w:type="textWrapping"/>
            </w:r>
            <w:r>
              <w:rPr>
                <w:rFonts w:hint="eastAsia" w:ascii="宋体" w:hAnsi="宋体" w:cs="宋体"/>
                <w:kern w:val="0"/>
                <w:szCs w:val="21"/>
              </w:rPr>
              <w:t>2、无法进行施工招标；</w:t>
            </w:r>
          </w:p>
          <w:p>
            <w:pPr>
              <w:jc w:val="left"/>
              <w:rPr>
                <w:rFonts w:ascii="宋体" w:hAnsi="宋体" w:cs="宋体"/>
                <w:kern w:val="0"/>
                <w:szCs w:val="21"/>
              </w:rPr>
            </w:pPr>
            <w:r>
              <w:rPr>
                <w:rFonts w:hint="eastAsia" w:ascii="宋体" w:hAnsi="宋体" w:cs="宋体"/>
                <w:kern w:val="0"/>
                <w:szCs w:val="21"/>
              </w:rPr>
              <w:t>3.造成投标漏项的。</w:t>
            </w:r>
          </w:p>
          <w:p>
            <w:pPr>
              <w:jc w:val="left"/>
              <w:rPr>
                <w:rFonts w:ascii="宋体" w:hAnsi="宋体" w:cs="宋体"/>
                <w:kern w:val="0"/>
                <w:szCs w:val="21"/>
              </w:rPr>
            </w:pPr>
            <w:r>
              <w:rPr>
                <w:rFonts w:hint="eastAsia" w:ascii="宋体" w:hAnsi="宋体" w:cs="宋体"/>
                <w:kern w:val="0"/>
                <w:szCs w:val="21"/>
              </w:rPr>
              <w:t>以上情况每发生一次扣5分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480" w:hRule="atLeast"/>
        </w:trPr>
        <w:tc>
          <w:tcPr>
            <w:tcW w:w="498" w:type="dxa"/>
            <w:vMerge w:val="continue"/>
            <w:tcBorders>
              <w:left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b/>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b/>
                <w:kern w:val="0"/>
                <w:szCs w:val="21"/>
              </w:rPr>
            </w:pPr>
          </w:p>
        </w:tc>
        <w:tc>
          <w:tcPr>
            <w:tcW w:w="4252" w:type="dxa"/>
            <w:tcBorders>
              <w:top w:val="nil"/>
              <w:left w:val="nil"/>
              <w:bottom w:val="single" w:color="auto" w:sz="4" w:space="0"/>
              <w:right w:val="single" w:color="auto" w:sz="4" w:space="0"/>
            </w:tcBorders>
            <w:vAlign w:val="center"/>
          </w:tcPr>
          <w:p>
            <w:pPr>
              <w:jc w:val="left"/>
              <w:rPr>
                <w:szCs w:val="21"/>
              </w:rPr>
            </w:pPr>
            <w:r>
              <w:rPr>
                <w:rFonts w:hint="eastAsia"/>
                <w:szCs w:val="21"/>
              </w:rPr>
              <w:t>计价依据的选取符合国家及省市的相关规定，综合单价能真实反映市场实际和社会平均水平；综合单价分析清晰合理。</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综合单价高于市场平均价20%，发生一次10分。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1200" w:hRule="atLeast"/>
        </w:trPr>
        <w:tc>
          <w:tcPr>
            <w:tcW w:w="498" w:type="dxa"/>
            <w:vMerge w:val="continue"/>
            <w:tcBorders>
              <w:left w:val="single" w:color="auto" w:sz="4" w:space="0"/>
              <w:bottom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b/>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b/>
                <w:kern w:val="0"/>
                <w:szCs w:val="21"/>
              </w:rPr>
            </w:pP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szCs w:val="21"/>
              </w:rPr>
              <w:t>业务的承接签有规范书面咨询合同；业务的实施遵守有关规定；出具的成果文件有造价工程师审核签发。</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1、出具成果无造价工程师签发；</w:t>
            </w:r>
            <w:r>
              <w:rPr>
                <w:rFonts w:hint="eastAsia" w:ascii="宋体" w:hAnsi="宋体" w:cs="宋体"/>
                <w:kern w:val="0"/>
                <w:szCs w:val="21"/>
              </w:rPr>
              <w:br w:type="textWrapping"/>
            </w:r>
            <w:r>
              <w:rPr>
                <w:rFonts w:hint="eastAsia" w:ascii="宋体" w:hAnsi="宋体" w:cs="宋体"/>
                <w:kern w:val="0"/>
                <w:szCs w:val="21"/>
              </w:rPr>
              <w:t>2、业务实施有吃、拿、卡、要现象；</w:t>
            </w:r>
            <w:r>
              <w:rPr>
                <w:rFonts w:hint="eastAsia" w:ascii="宋体" w:hAnsi="宋体" w:cs="宋体"/>
                <w:kern w:val="0"/>
                <w:szCs w:val="21"/>
              </w:rPr>
              <w:br w:type="textWrapping"/>
            </w:r>
            <w:r>
              <w:rPr>
                <w:rFonts w:hint="eastAsia" w:ascii="宋体" w:hAnsi="宋体" w:cs="宋体"/>
                <w:kern w:val="0"/>
                <w:szCs w:val="21"/>
              </w:rPr>
              <w:t>以上情况每发生一次扣5分。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480" w:hRule="atLeast"/>
        </w:trPr>
        <w:tc>
          <w:tcPr>
            <w:tcW w:w="498" w:type="dxa"/>
            <w:vMerge w:val="restart"/>
            <w:tcBorders>
              <w:top w:val="nil"/>
              <w:left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三</w:t>
            </w:r>
          </w:p>
        </w:tc>
        <w:tc>
          <w:tcPr>
            <w:tcW w:w="1502" w:type="dxa"/>
            <w:vMerge w:val="restart"/>
            <w:tcBorders>
              <w:top w:val="nil"/>
              <w:left w:val="single" w:color="auto" w:sz="4" w:space="0"/>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进度</w:t>
            </w:r>
          </w:p>
        </w:tc>
        <w:tc>
          <w:tcPr>
            <w:tcW w:w="709" w:type="dxa"/>
            <w:vMerge w:val="restart"/>
            <w:tcBorders>
              <w:top w:val="nil"/>
              <w:left w:val="single" w:color="auto" w:sz="4" w:space="0"/>
              <w:bottom w:val="single" w:color="auto" w:sz="4" w:space="0"/>
              <w:right w:val="single" w:color="auto" w:sz="4" w:space="0"/>
            </w:tcBorders>
            <w:vAlign w:val="center"/>
          </w:tcPr>
          <w:p>
            <w:pPr>
              <w:jc w:val="center"/>
              <w:rPr>
                <w:rFonts w:ascii="仿宋_GB2312" w:hAnsi="宋体" w:eastAsia="仿宋_GB2312" w:cs="宋体"/>
                <w:b/>
                <w:kern w:val="0"/>
                <w:szCs w:val="21"/>
              </w:rPr>
            </w:pPr>
            <w:r>
              <w:rPr>
                <w:rFonts w:hint="eastAsia" w:ascii="仿宋_GB2312" w:hAnsi="宋体" w:eastAsia="仿宋_GB2312" w:cs="宋体"/>
                <w:b/>
                <w:kern w:val="0"/>
                <w:szCs w:val="21"/>
              </w:rPr>
              <w:t>20</w:t>
            </w: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能够及时地按照合同要求完成各阶段的工作成果文件提交时间是否满足甲方要求</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与合同比,没及时完成该阶段工作，每发生</w:t>
            </w:r>
            <w:r>
              <w:rPr>
                <w:rFonts w:hint="eastAsia" w:ascii="宋体" w:hAnsi="宋体" w:cs="宋体"/>
                <w:kern w:val="0"/>
                <w:szCs w:val="21"/>
              </w:rPr>
              <w:br w:type="textWrapping"/>
            </w:r>
            <w:r>
              <w:rPr>
                <w:rFonts w:hint="eastAsia" w:ascii="宋体" w:hAnsi="宋体" w:cs="宋体"/>
                <w:kern w:val="0"/>
                <w:szCs w:val="21"/>
              </w:rPr>
              <w:t>一次扣2分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480" w:hRule="atLeast"/>
        </w:trPr>
        <w:tc>
          <w:tcPr>
            <w:tcW w:w="498" w:type="dxa"/>
            <w:vMerge w:val="continue"/>
            <w:tcBorders>
              <w:left w:val="single" w:color="auto" w:sz="4" w:space="0"/>
              <w:bottom w:val="single" w:color="auto" w:sz="4" w:space="0"/>
              <w:right w:val="single" w:color="auto" w:sz="4" w:space="0"/>
            </w:tcBorders>
            <w:vAlign w:val="center"/>
          </w:tcPr>
          <w:p>
            <w:pPr>
              <w:jc w:val="center"/>
              <w:rPr>
                <w:rFonts w:ascii="宋体" w:hAnsi="宋体" w:cs="宋体"/>
                <w:b/>
                <w:kern w:val="0"/>
                <w:szCs w:val="21"/>
              </w:rPr>
            </w:pPr>
          </w:p>
        </w:tc>
        <w:tc>
          <w:tcPr>
            <w:tcW w:w="1502" w:type="dxa"/>
            <w:vMerge w:val="continue"/>
            <w:tcBorders>
              <w:top w:val="nil"/>
              <w:left w:val="single" w:color="auto" w:sz="4" w:space="0"/>
              <w:bottom w:val="single" w:color="auto" w:sz="4" w:space="0"/>
              <w:right w:val="single" w:color="auto" w:sz="4" w:space="0"/>
            </w:tcBorders>
            <w:vAlign w:val="center"/>
          </w:tcPr>
          <w:p>
            <w:pPr>
              <w:jc w:val="left"/>
              <w:rPr>
                <w:rFonts w:ascii="宋体" w:hAnsi="宋体" w:cs="宋体"/>
                <w:b/>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jc w:val="left"/>
              <w:rPr>
                <w:rFonts w:ascii="仿宋_GB2312" w:hAnsi="宋体" w:eastAsia="仿宋_GB2312" w:cs="宋体"/>
                <w:b/>
                <w:kern w:val="0"/>
                <w:szCs w:val="21"/>
              </w:rPr>
            </w:pPr>
          </w:p>
        </w:tc>
        <w:tc>
          <w:tcPr>
            <w:tcW w:w="4252"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各配合阶段，建设单位要求，非合同规定的内容（如汇报、信访等）</w:t>
            </w:r>
          </w:p>
        </w:tc>
        <w:tc>
          <w:tcPr>
            <w:tcW w:w="4394" w:type="dxa"/>
            <w:tcBorders>
              <w:top w:val="nil"/>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建设单位要了解项目工作情况时不配合,每发生一次扣1分</w:t>
            </w:r>
          </w:p>
        </w:tc>
        <w:tc>
          <w:tcPr>
            <w:tcW w:w="851" w:type="dxa"/>
            <w:tcBorders>
              <w:top w:val="nil"/>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0"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nil"/>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1200" w:hRule="atLeast"/>
        </w:trPr>
        <w:tc>
          <w:tcPr>
            <w:tcW w:w="498"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四</w:t>
            </w:r>
          </w:p>
        </w:tc>
        <w:tc>
          <w:tcPr>
            <w:tcW w:w="1502" w:type="dxa"/>
            <w:tcBorders>
              <w:top w:val="single" w:color="auto" w:sz="4" w:space="0"/>
              <w:left w:val="nil"/>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施工阶段配合</w:t>
            </w:r>
          </w:p>
        </w:tc>
        <w:tc>
          <w:tcPr>
            <w:tcW w:w="709"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b/>
                <w:kern w:val="0"/>
                <w:szCs w:val="21"/>
              </w:rPr>
            </w:pPr>
            <w:r>
              <w:rPr>
                <w:rFonts w:hint="eastAsia" w:ascii="仿宋_GB2312" w:hAnsi="宋体" w:eastAsia="仿宋_GB2312" w:cs="宋体"/>
                <w:b/>
                <w:kern w:val="0"/>
                <w:szCs w:val="21"/>
              </w:rPr>
              <w:t>20</w:t>
            </w:r>
          </w:p>
        </w:tc>
        <w:tc>
          <w:tcPr>
            <w:tcW w:w="4252"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及时参加甲方会议，就相关事项为甲方提出参考建议；积极配合甲方修改要求，及时调整成果文件</w:t>
            </w:r>
          </w:p>
        </w:tc>
        <w:tc>
          <w:tcPr>
            <w:tcW w:w="4394"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r>
              <w:rPr>
                <w:rFonts w:hint="eastAsia" w:ascii="宋体" w:hAnsi="宋体" w:cs="宋体"/>
                <w:kern w:val="0"/>
                <w:szCs w:val="21"/>
              </w:rPr>
              <w:t>1、没及时协调配合甲方或其它相关部门的工作；</w:t>
            </w:r>
            <w:r>
              <w:rPr>
                <w:rFonts w:hint="eastAsia" w:ascii="宋体" w:hAnsi="宋体" w:cs="宋体"/>
                <w:kern w:val="0"/>
                <w:szCs w:val="21"/>
              </w:rPr>
              <w:br w:type="textWrapping"/>
            </w:r>
            <w:r>
              <w:rPr>
                <w:rFonts w:hint="eastAsia" w:ascii="宋体" w:hAnsi="宋体" w:cs="宋体"/>
                <w:kern w:val="0"/>
                <w:szCs w:val="21"/>
              </w:rPr>
              <w:t>2、没及时沟通协调相关工作；</w:t>
            </w:r>
            <w:r>
              <w:rPr>
                <w:rFonts w:hint="eastAsia" w:ascii="宋体" w:hAnsi="宋体" w:cs="宋体"/>
                <w:kern w:val="0"/>
                <w:szCs w:val="21"/>
              </w:rPr>
              <w:br w:type="textWrapping"/>
            </w:r>
            <w:r>
              <w:rPr>
                <w:rFonts w:hint="eastAsia" w:ascii="宋体" w:hAnsi="宋体" w:cs="宋体"/>
                <w:kern w:val="0"/>
                <w:szCs w:val="21"/>
              </w:rPr>
              <w:t>3、没按期完成各项工作。</w:t>
            </w:r>
            <w:r>
              <w:rPr>
                <w:rFonts w:hint="eastAsia" w:ascii="宋体" w:hAnsi="宋体" w:cs="宋体"/>
                <w:kern w:val="0"/>
                <w:szCs w:val="21"/>
              </w:rPr>
              <w:br w:type="textWrapping"/>
            </w:r>
            <w:r>
              <w:rPr>
                <w:rFonts w:hint="eastAsia" w:ascii="宋体" w:hAnsi="宋体" w:cs="宋体"/>
                <w:kern w:val="0"/>
                <w:szCs w:val="21"/>
              </w:rPr>
              <w:t>以上情况每发生一次扣2分</w:t>
            </w:r>
          </w:p>
        </w:tc>
        <w:tc>
          <w:tcPr>
            <w:tcW w:w="85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r>
              <w:rPr>
                <w:rFonts w:hint="eastAsia" w:ascii="仿宋_GB2312" w:hAnsi="宋体" w:eastAsia="仿宋_GB2312" w:cs="宋体"/>
                <w:kern w:val="0"/>
                <w:szCs w:val="21"/>
              </w:rPr>
              <w:t>20</w:t>
            </w:r>
          </w:p>
        </w:tc>
        <w:tc>
          <w:tcPr>
            <w:tcW w:w="850"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225" w:hRule="atLeast"/>
        </w:trPr>
        <w:tc>
          <w:tcPr>
            <w:tcW w:w="498" w:type="dxa"/>
            <w:tcBorders>
              <w:left w:val="single" w:color="auto" w:sz="4" w:space="0"/>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五</w:t>
            </w:r>
          </w:p>
        </w:tc>
        <w:tc>
          <w:tcPr>
            <w:tcW w:w="1502" w:type="dxa"/>
            <w:tcBorders>
              <w:left w:val="single" w:color="auto" w:sz="4" w:space="0"/>
              <w:bottom w:val="single" w:color="auto" w:sz="4" w:space="0"/>
              <w:right w:val="single" w:color="auto" w:sz="4" w:space="0"/>
            </w:tcBorders>
            <w:vAlign w:val="center"/>
          </w:tcPr>
          <w:p>
            <w:pPr>
              <w:jc w:val="center"/>
              <w:rPr>
                <w:rFonts w:ascii="宋体" w:hAnsi="宋体" w:cs="宋体"/>
                <w:b/>
                <w:kern w:val="0"/>
                <w:szCs w:val="21"/>
              </w:rPr>
            </w:pPr>
            <w:r>
              <w:rPr>
                <w:rFonts w:hint="eastAsia" w:ascii="宋体" w:hAnsi="宋体" w:cs="宋体"/>
                <w:b/>
                <w:kern w:val="0"/>
                <w:szCs w:val="21"/>
              </w:rPr>
              <w:t>直接判定为“不合格”的情形</w:t>
            </w:r>
          </w:p>
        </w:tc>
        <w:tc>
          <w:tcPr>
            <w:tcW w:w="709" w:type="dxa"/>
            <w:tcBorders>
              <w:left w:val="single" w:color="auto" w:sz="4" w:space="0"/>
              <w:bottom w:val="single" w:color="auto" w:sz="4" w:space="0"/>
              <w:right w:val="single" w:color="auto" w:sz="4" w:space="0"/>
            </w:tcBorders>
            <w:vAlign w:val="center"/>
          </w:tcPr>
          <w:p>
            <w:pPr>
              <w:jc w:val="center"/>
              <w:rPr>
                <w:rFonts w:ascii="仿宋_GB2312" w:hAnsi="宋体" w:eastAsia="仿宋_GB2312" w:cs="宋体"/>
                <w:b/>
                <w:kern w:val="0"/>
                <w:szCs w:val="21"/>
              </w:rPr>
            </w:pPr>
          </w:p>
        </w:tc>
        <w:tc>
          <w:tcPr>
            <w:tcW w:w="4252" w:type="dxa"/>
            <w:tcBorders>
              <w:top w:val="single" w:color="auto" w:sz="4" w:space="0"/>
              <w:left w:val="nil"/>
              <w:bottom w:val="single" w:color="auto" w:sz="4" w:space="0"/>
              <w:right w:val="single" w:color="auto" w:sz="4" w:space="0"/>
            </w:tcBorders>
            <w:vAlign w:val="center"/>
          </w:tcPr>
          <w:p>
            <w:pPr>
              <w:rPr>
                <w:rFonts w:ascii="宋体" w:hAnsi="宋体" w:cs="宋体"/>
                <w:kern w:val="0"/>
                <w:szCs w:val="21"/>
              </w:rPr>
            </w:pPr>
            <w:r>
              <w:rPr>
                <w:rFonts w:hint="eastAsia" w:ascii="宋体" w:hAnsi="宋体" w:cs="宋体"/>
                <w:kern w:val="0"/>
                <w:szCs w:val="21"/>
              </w:rPr>
              <w:t>1、因造价咨询市场主体自身原因造成施工期间变更增加造价超过施工承包合同价的10%；</w:t>
            </w:r>
          </w:p>
          <w:p>
            <w:pPr>
              <w:jc w:val="left"/>
              <w:rPr>
                <w:rFonts w:ascii="宋体" w:hAnsi="宋体" w:cs="宋体"/>
                <w:kern w:val="0"/>
                <w:szCs w:val="21"/>
              </w:rPr>
            </w:pPr>
            <w:r>
              <w:rPr>
                <w:rFonts w:hint="eastAsia" w:ascii="宋体" w:hAnsi="宋体" w:cs="宋体"/>
                <w:kern w:val="0"/>
                <w:szCs w:val="21"/>
              </w:rPr>
              <w:t>2、在合同履行中受到建设行政主管部门行政处罚的。</w:t>
            </w:r>
          </w:p>
        </w:tc>
        <w:tc>
          <w:tcPr>
            <w:tcW w:w="4394"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c>
          <w:tcPr>
            <w:tcW w:w="85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p>
        </w:tc>
        <w:tc>
          <w:tcPr>
            <w:tcW w:w="850"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505" w:hRule="atLeast"/>
        </w:trPr>
        <w:tc>
          <w:tcPr>
            <w:tcW w:w="1135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kern w:val="0"/>
                <w:szCs w:val="21"/>
              </w:rPr>
            </w:pPr>
            <w:r>
              <w:rPr>
                <w:rFonts w:hint="eastAsia" w:ascii="宋体" w:hAnsi="宋体" w:cs="宋体"/>
                <w:kern w:val="0"/>
                <w:szCs w:val="21"/>
              </w:rPr>
              <w:t>合   计</w:t>
            </w:r>
          </w:p>
        </w:tc>
        <w:tc>
          <w:tcPr>
            <w:tcW w:w="851" w:type="dxa"/>
            <w:tcBorders>
              <w:top w:val="single" w:color="auto" w:sz="4" w:space="0"/>
              <w:left w:val="nil"/>
              <w:bottom w:val="single" w:color="auto" w:sz="4" w:space="0"/>
              <w:right w:val="single" w:color="auto" w:sz="4" w:space="0"/>
            </w:tcBorders>
            <w:vAlign w:val="center"/>
          </w:tcPr>
          <w:p>
            <w:pPr>
              <w:jc w:val="center"/>
              <w:rPr>
                <w:rFonts w:ascii="仿宋_GB2312" w:hAnsi="宋体" w:eastAsia="仿宋_GB2312" w:cs="宋体"/>
                <w:kern w:val="0"/>
                <w:szCs w:val="21"/>
              </w:rPr>
            </w:pPr>
          </w:p>
        </w:tc>
        <w:tc>
          <w:tcPr>
            <w:tcW w:w="850"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c>
          <w:tcPr>
            <w:tcW w:w="908" w:type="dxa"/>
            <w:tcBorders>
              <w:top w:val="single" w:color="auto" w:sz="4" w:space="0"/>
              <w:left w:val="nil"/>
              <w:bottom w:val="single" w:color="auto" w:sz="4" w:space="0"/>
              <w:right w:val="single" w:color="auto" w:sz="4" w:space="0"/>
            </w:tcBorders>
            <w:vAlign w:val="center"/>
          </w:tcPr>
          <w:p>
            <w:pPr>
              <w:jc w:val="left"/>
              <w:rPr>
                <w:rFonts w:ascii="宋体" w:hAnsi="宋体" w:cs="宋体"/>
                <w:kern w:val="0"/>
                <w:szCs w:val="21"/>
              </w:rPr>
            </w:pPr>
          </w:p>
        </w:tc>
      </w:tr>
      <w:tr>
        <w:tblPrEx>
          <w:tblCellMar>
            <w:top w:w="0" w:type="dxa"/>
            <w:left w:w="108" w:type="dxa"/>
            <w:bottom w:w="0" w:type="dxa"/>
            <w:right w:w="108" w:type="dxa"/>
          </w:tblCellMar>
        </w:tblPrEx>
        <w:trPr>
          <w:trHeight w:val="825" w:hRule="atLeast"/>
        </w:trPr>
        <w:tc>
          <w:tcPr>
            <w:tcW w:w="13964"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atLeast"/>
              <w:rPr>
                <w:rFonts w:ascii="宋体" w:hAnsi="宋体"/>
                <w:szCs w:val="21"/>
              </w:rPr>
            </w:pPr>
            <w:r>
              <w:rPr>
                <w:rFonts w:hint="eastAsia" w:ascii="宋体" w:hAnsi="宋体" w:cs="宋体"/>
                <w:b/>
                <w:kern w:val="0"/>
                <w:szCs w:val="21"/>
              </w:rPr>
              <w:t>注：</w:t>
            </w:r>
            <w:r>
              <w:rPr>
                <w:rFonts w:hint="eastAsia" w:ascii="宋体" w:hAnsi="宋体" w:cs="宋体"/>
                <w:kern w:val="0"/>
                <w:szCs w:val="21"/>
              </w:rPr>
              <w:t>1、</w:t>
            </w:r>
            <w:r>
              <w:rPr>
                <w:rFonts w:hint="eastAsia" w:ascii="宋体" w:hAnsi="宋体"/>
                <w:szCs w:val="21"/>
              </w:rPr>
              <w:t>工程建设单位可结合其工程特点和具体要求，增加和量化具体评分指标，制定评分表，并按百分制将分项分值以百分比折算后进行调整。</w:t>
            </w:r>
          </w:p>
          <w:p>
            <w:pPr>
              <w:widowControl/>
              <w:spacing w:line="240" w:lineRule="atLeast"/>
              <w:ind w:firstLine="420" w:firstLineChars="200"/>
              <w:rPr>
                <w:rFonts w:ascii="宋体" w:hAnsi="宋体" w:cs="宋体"/>
                <w:kern w:val="0"/>
                <w:szCs w:val="21"/>
              </w:rPr>
            </w:pPr>
            <w:r>
              <w:rPr>
                <w:rFonts w:hint="eastAsia" w:ascii="宋体" w:hAnsi="宋体" w:cs="宋体"/>
                <w:kern w:val="0"/>
                <w:szCs w:val="21"/>
              </w:rPr>
              <w:t>2、</w:t>
            </w:r>
            <w:r>
              <w:rPr>
                <w:rFonts w:hint="eastAsia" w:ascii="宋体" w:hAnsi="宋体"/>
                <w:szCs w:val="21"/>
              </w:rPr>
              <w:t>规定的评分指标中，招标文件</w:t>
            </w:r>
            <w:r>
              <w:rPr>
                <w:rFonts w:hint="eastAsia" w:ascii="宋体" w:hAnsi="宋体" w:cs="宋体"/>
                <w:kern w:val="0"/>
                <w:szCs w:val="21"/>
              </w:rPr>
              <w:t>或合同</w:t>
            </w:r>
            <w:r>
              <w:rPr>
                <w:rFonts w:hint="eastAsia" w:ascii="宋体" w:hAnsi="宋体"/>
                <w:szCs w:val="21"/>
              </w:rPr>
              <w:t>无委托实施的内容，不计入评分，其分值按百分比折算后计入其他指标中或对总得分按百分比进行折算。</w:t>
            </w:r>
          </w:p>
        </w:tc>
      </w:tr>
    </w:tbl>
    <w:p/>
    <w:p/>
    <w:p>
      <w:pPr>
        <w:widowControl/>
        <w:jc w:val="left"/>
        <w:rPr>
          <w:rFonts w:ascii="仿宋" w:hAnsi="仿宋" w:eastAsia="仿宋"/>
          <w:sz w:val="32"/>
          <w:szCs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auto"/>
    <w:pitch w:val="default"/>
    <w:sig w:usb0="A00002BF" w:usb1="184F6CFA" w:usb2="00000012" w:usb3="00000000" w:csb0="00040001"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ind w:left="315" w:leftChars="150" w:right="315" w:rightChars="150"/>
      <w:rPr>
        <w:rStyle w:val="11"/>
        <w:rFonts w:ascii="宋体" w:hAnsi="宋体"/>
        <w:sz w:val="28"/>
        <w:szCs w:val="28"/>
      </w:rPr>
    </w:pPr>
    <w:r>
      <w:rPr>
        <w:rStyle w:val="11"/>
        <w:rFonts w:hint="eastAsia" w:ascii="宋体" w:hAnsi="宋体"/>
        <w:sz w:val="28"/>
        <w:szCs w:val="28"/>
      </w:rPr>
      <w:t xml:space="preserve">— </w:t>
    </w:r>
    <w:r>
      <w:rPr>
        <w:rStyle w:val="11"/>
        <w:rFonts w:ascii="宋体" w:hAnsi="宋体"/>
        <w:sz w:val="28"/>
        <w:szCs w:val="28"/>
      </w:rPr>
      <w:fldChar w:fldCharType="begin"/>
    </w:r>
    <w:r>
      <w:rPr>
        <w:rStyle w:val="11"/>
        <w:rFonts w:ascii="宋体" w:hAnsi="宋体"/>
        <w:sz w:val="28"/>
        <w:szCs w:val="28"/>
      </w:rPr>
      <w:instrText xml:space="preserve">PAGE  </w:instrText>
    </w:r>
    <w:r>
      <w:rPr>
        <w:rStyle w:val="11"/>
        <w:rFonts w:ascii="宋体" w:hAnsi="宋体"/>
        <w:sz w:val="28"/>
        <w:szCs w:val="28"/>
      </w:rPr>
      <w:fldChar w:fldCharType="separate"/>
    </w:r>
    <w:r>
      <w:rPr>
        <w:rStyle w:val="11"/>
        <w:rFonts w:ascii="宋体" w:hAnsi="宋体"/>
        <w:sz w:val="28"/>
        <w:szCs w:val="28"/>
      </w:rPr>
      <w:t>5</w:t>
    </w:r>
    <w:r>
      <w:rPr>
        <w:rStyle w:val="11"/>
        <w:rFonts w:ascii="宋体" w:hAnsi="宋体"/>
        <w:sz w:val="28"/>
        <w:szCs w:val="28"/>
      </w:rPr>
      <w:fldChar w:fldCharType="end"/>
    </w:r>
    <w:r>
      <w:rPr>
        <w:rStyle w:val="11"/>
        <w:rFonts w:hint="eastAsia" w:ascii="宋体" w:hAnsi="宋体"/>
        <w:sz w:val="28"/>
        <w:szCs w:val="28"/>
      </w:rPr>
      <w:t xml:space="preserve"> —</w:t>
    </w: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7E028B0"/>
    <w:multiLevelType w:val="multilevel"/>
    <w:tmpl w:val="47E028B0"/>
    <w:lvl w:ilvl="0" w:tentative="0">
      <w:start w:val="1"/>
      <w:numFmt w:val="japaneseCounting"/>
      <w:lvlText w:val="第%1章"/>
      <w:lvlJc w:val="left"/>
      <w:pPr>
        <w:ind w:left="1395" w:hanging="139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FkYjFlMWVlYzZjMThhYmJiNGIyZTM3OTU5YzVjYTgifQ=="/>
  </w:docVars>
  <w:rsids>
    <w:rsidRoot w:val="00F12B72"/>
    <w:rsid w:val="000042AB"/>
    <w:rsid w:val="0000609D"/>
    <w:rsid w:val="0003661C"/>
    <w:rsid w:val="00051A24"/>
    <w:rsid w:val="00061328"/>
    <w:rsid w:val="00062244"/>
    <w:rsid w:val="00070A28"/>
    <w:rsid w:val="000723C6"/>
    <w:rsid w:val="00074AAE"/>
    <w:rsid w:val="00096796"/>
    <w:rsid w:val="000A110A"/>
    <w:rsid w:val="000F46B3"/>
    <w:rsid w:val="00101B1C"/>
    <w:rsid w:val="00181677"/>
    <w:rsid w:val="001A15DA"/>
    <w:rsid w:val="001E710B"/>
    <w:rsid w:val="001E7330"/>
    <w:rsid w:val="002009A4"/>
    <w:rsid w:val="00234DA3"/>
    <w:rsid w:val="002374F7"/>
    <w:rsid w:val="002407FA"/>
    <w:rsid w:val="00265D3F"/>
    <w:rsid w:val="00270E79"/>
    <w:rsid w:val="0028357E"/>
    <w:rsid w:val="00285C4F"/>
    <w:rsid w:val="00291F36"/>
    <w:rsid w:val="002A2973"/>
    <w:rsid w:val="002B3EDC"/>
    <w:rsid w:val="002C24F6"/>
    <w:rsid w:val="00302D45"/>
    <w:rsid w:val="00325D73"/>
    <w:rsid w:val="00337F64"/>
    <w:rsid w:val="00341EB0"/>
    <w:rsid w:val="00361874"/>
    <w:rsid w:val="00391EAF"/>
    <w:rsid w:val="00392FBE"/>
    <w:rsid w:val="003B3CFA"/>
    <w:rsid w:val="003F7520"/>
    <w:rsid w:val="00441494"/>
    <w:rsid w:val="004425A6"/>
    <w:rsid w:val="00443C42"/>
    <w:rsid w:val="004754F2"/>
    <w:rsid w:val="00490DE5"/>
    <w:rsid w:val="004D1B5E"/>
    <w:rsid w:val="005002C1"/>
    <w:rsid w:val="00503033"/>
    <w:rsid w:val="005170C2"/>
    <w:rsid w:val="00532E22"/>
    <w:rsid w:val="00542ABD"/>
    <w:rsid w:val="00575997"/>
    <w:rsid w:val="00585237"/>
    <w:rsid w:val="005D0E7D"/>
    <w:rsid w:val="005F0A45"/>
    <w:rsid w:val="00607FEF"/>
    <w:rsid w:val="00611265"/>
    <w:rsid w:val="006168D6"/>
    <w:rsid w:val="006335CF"/>
    <w:rsid w:val="006913AD"/>
    <w:rsid w:val="006C2D22"/>
    <w:rsid w:val="006E395B"/>
    <w:rsid w:val="006E4D5E"/>
    <w:rsid w:val="00727042"/>
    <w:rsid w:val="00766ABC"/>
    <w:rsid w:val="007C1B36"/>
    <w:rsid w:val="007C1FD2"/>
    <w:rsid w:val="007C4341"/>
    <w:rsid w:val="007F01AE"/>
    <w:rsid w:val="007F2FC4"/>
    <w:rsid w:val="007F4A9C"/>
    <w:rsid w:val="00822432"/>
    <w:rsid w:val="00824E1E"/>
    <w:rsid w:val="00870763"/>
    <w:rsid w:val="00874022"/>
    <w:rsid w:val="008814D1"/>
    <w:rsid w:val="008878FC"/>
    <w:rsid w:val="008A7C9A"/>
    <w:rsid w:val="008D57BD"/>
    <w:rsid w:val="008E4F91"/>
    <w:rsid w:val="008F3F46"/>
    <w:rsid w:val="00900B53"/>
    <w:rsid w:val="00907980"/>
    <w:rsid w:val="00991FB6"/>
    <w:rsid w:val="009A1700"/>
    <w:rsid w:val="009A43A8"/>
    <w:rsid w:val="009F22E7"/>
    <w:rsid w:val="00A04040"/>
    <w:rsid w:val="00A04F59"/>
    <w:rsid w:val="00A40F16"/>
    <w:rsid w:val="00A45D13"/>
    <w:rsid w:val="00A77447"/>
    <w:rsid w:val="00A95605"/>
    <w:rsid w:val="00A973D8"/>
    <w:rsid w:val="00AB0BC3"/>
    <w:rsid w:val="00AD4F49"/>
    <w:rsid w:val="00AE25E5"/>
    <w:rsid w:val="00AF694E"/>
    <w:rsid w:val="00B15F52"/>
    <w:rsid w:val="00BB00A1"/>
    <w:rsid w:val="00BB5923"/>
    <w:rsid w:val="00BC0ECE"/>
    <w:rsid w:val="00BC1554"/>
    <w:rsid w:val="00BF02D5"/>
    <w:rsid w:val="00BF25D2"/>
    <w:rsid w:val="00C24F7A"/>
    <w:rsid w:val="00C31AFF"/>
    <w:rsid w:val="00C350CE"/>
    <w:rsid w:val="00C410F8"/>
    <w:rsid w:val="00C615D3"/>
    <w:rsid w:val="00C666AD"/>
    <w:rsid w:val="00C97674"/>
    <w:rsid w:val="00CB71B3"/>
    <w:rsid w:val="00CD08C5"/>
    <w:rsid w:val="00CE106A"/>
    <w:rsid w:val="00CE6845"/>
    <w:rsid w:val="00D5204F"/>
    <w:rsid w:val="00D622B7"/>
    <w:rsid w:val="00D65938"/>
    <w:rsid w:val="00DB2B7F"/>
    <w:rsid w:val="00DB3F9D"/>
    <w:rsid w:val="00DC246C"/>
    <w:rsid w:val="00DF6CC2"/>
    <w:rsid w:val="00E1448D"/>
    <w:rsid w:val="00E2408D"/>
    <w:rsid w:val="00E307BA"/>
    <w:rsid w:val="00E51DDB"/>
    <w:rsid w:val="00E63287"/>
    <w:rsid w:val="00E96E3A"/>
    <w:rsid w:val="00ED1BEB"/>
    <w:rsid w:val="00ED64CF"/>
    <w:rsid w:val="00F12B72"/>
    <w:rsid w:val="00F273F4"/>
    <w:rsid w:val="00F27447"/>
    <w:rsid w:val="00F449AF"/>
    <w:rsid w:val="00F4569D"/>
    <w:rsid w:val="00FF178B"/>
    <w:rsid w:val="11731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20"/>
    <w:qFormat/>
    <w:uiPriority w:val="9"/>
    <w:pPr>
      <w:spacing w:line="360" w:lineRule="auto"/>
      <w:jc w:val="center"/>
      <w:outlineLvl w:val="1"/>
    </w:pPr>
    <w:rPr>
      <w:rFonts w:ascii="黑体" w:hAnsi="黑体" w:eastAsia="黑体" w:cs="Times New Roman"/>
      <w:sz w:val="32"/>
      <w:szCs w:val="24"/>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5"/>
    <w:semiHidden/>
    <w:unhideWhenUsed/>
    <w:uiPriority w:val="99"/>
    <w:pPr>
      <w:spacing w:after="120"/>
    </w:pPr>
  </w:style>
  <w:style w:type="paragraph" w:styleId="4">
    <w:name w:val="Body Text Indent"/>
    <w:basedOn w:val="1"/>
    <w:link w:val="14"/>
    <w:uiPriority w:val="0"/>
    <w:pPr>
      <w:adjustRightInd w:val="0"/>
      <w:ind w:right="-694" w:firstLine="525"/>
    </w:pPr>
    <w:rPr>
      <w:rFonts w:ascii="Times New Roman" w:hAnsi="Times New Roman" w:eastAsia="宋体" w:cs="Times New Roman"/>
      <w:szCs w:val="20"/>
    </w:rPr>
  </w:style>
  <w:style w:type="paragraph" w:styleId="5">
    <w:name w:val="Balloon Text"/>
    <w:basedOn w:val="1"/>
    <w:link w:val="18"/>
    <w:semiHidden/>
    <w:unhideWhenUsed/>
    <w:uiPriority w:val="99"/>
    <w:rPr>
      <w:sz w:val="18"/>
      <w:szCs w:val="18"/>
    </w:rPr>
  </w:style>
  <w:style w:type="paragraph" w:styleId="6">
    <w:name w:val="footer"/>
    <w:basedOn w:val="1"/>
    <w:link w:val="13"/>
    <w:unhideWhenUsed/>
    <w:uiPriority w:val="0"/>
    <w:pPr>
      <w:tabs>
        <w:tab w:val="center" w:pos="4153"/>
        <w:tab w:val="right" w:pos="8306"/>
      </w:tabs>
      <w:snapToGrid w:val="0"/>
      <w:jc w:val="left"/>
    </w:pPr>
    <w:rPr>
      <w:sz w:val="18"/>
      <w:szCs w:val="18"/>
    </w:rPr>
  </w:style>
  <w:style w:type="paragraph" w:styleId="7">
    <w:name w:val="header"/>
    <w:basedOn w:val="1"/>
    <w:link w:val="12"/>
    <w:semiHidden/>
    <w:unhideWhenUsed/>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qFormat/>
    <w:uiPriority w:val="0"/>
    <w:pPr>
      <w:pageBreakBefore/>
      <w:adjustRightInd w:val="0"/>
      <w:snapToGrid w:val="0"/>
      <w:jc w:val="left"/>
      <w:outlineLvl w:val="0"/>
    </w:pPr>
    <w:rPr>
      <w:rFonts w:ascii="Cambria" w:hAnsi="Cambria" w:eastAsia="仿宋_GB2312"/>
      <w:bCs/>
      <w:sz w:val="32"/>
      <w:szCs w:val="32"/>
    </w:rPr>
  </w:style>
  <w:style w:type="character" w:styleId="11">
    <w:name w:val="page number"/>
    <w:basedOn w:val="10"/>
    <w:qFormat/>
    <w:uiPriority w:val="0"/>
  </w:style>
  <w:style w:type="character" w:customStyle="1" w:styleId="12">
    <w:name w:val="页眉 Char"/>
    <w:basedOn w:val="10"/>
    <w:link w:val="7"/>
    <w:semiHidden/>
    <w:uiPriority w:val="99"/>
    <w:rPr>
      <w:sz w:val="18"/>
      <w:szCs w:val="18"/>
    </w:rPr>
  </w:style>
  <w:style w:type="character" w:customStyle="1" w:styleId="13">
    <w:name w:val="页脚 Char"/>
    <w:basedOn w:val="10"/>
    <w:link w:val="6"/>
    <w:semiHidden/>
    <w:uiPriority w:val="99"/>
    <w:rPr>
      <w:sz w:val="18"/>
      <w:szCs w:val="18"/>
    </w:rPr>
  </w:style>
  <w:style w:type="character" w:customStyle="1" w:styleId="14">
    <w:name w:val="正文文本缩进 Char"/>
    <w:basedOn w:val="10"/>
    <w:link w:val="4"/>
    <w:uiPriority w:val="0"/>
    <w:rPr>
      <w:rFonts w:ascii="Times New Roman" w:hAnsi="Times New Roman" w:eastAsia="宋体" w:cs="Times New Roman"/>
      <w:szCs w:val="20"/>
    </w:rPr>
  </w:style>
  <w:style w:type="character" w:customStyle="1" w:styleId="15">
    <w:name w:val="正文文本 Char"/>
    <w:basedOn w:val="10"/>
    <w:link w:val="3"/>
    <w:semiHidden/>
    <w:uiPriority w:val="99"/>
  </w:style>
  <w:style w:type="character" w:customStyle="1" w:styleId="16">
    <w:name w:val="标题 Char"/>
    <w:basedOn w:val="10"/>
    <w:link w:val="8"/>
    <w:uiPriority w:val="0"/>
    <w:rPr>
      <w:rFonts w:ascii="Cambria" w:hAnsi="Cambria" w:eastAsia="仿宋_GB2312"/>
      <w:bCs/>
      <w:sz w:val="32"/>
      <w:szCs w:val="32"/>
    </w:rPr>
  </w:style>
  <w:style w:type="character" w:customStyle="1" w:styleId="17">
    <w:name w:val="标题 Char1"/>
    <w:basedOn w:val="10"/>
    <w:link w:val="8"/>
    <w:uiPriority w:val="10"/>
    <w:rPr>
      <w:rFonts w:eastAsia="宋体" w:asciiTheme="majorHAnsi" w:hAnsiTheme="majorHAnsi" w:cstheme="majorBidi"/>
      <w:b/>
      <w:bCs/>
      <w:sz w:val="32"/>
      <w:szCs w:val="32"/>
    </w:rPr>
  </w:style>
  <w:style w:type="character" w:customStyle="1" w:styleId="18">
    <w:name w:val="批注框文本 Char"/>
    <w:basedOn w:val="10"/>
    <w:link w:val="5"/>
    <w:semiHidden/>
    <w:uiPriority w:val="99"/>
    <w:rPr>
      <w:sz w:val="18"/>
      <w:szCs w:val="18"/>
    </w:rPr>
  </w:style>
  <w:style w:type="paragraph" w:customStyle="1" w:styleId="19">
    <w:name w:val="Revision"/>
    <w:hidden/>
    <w:semiHidden/>
    <w:uiPriority w:val="99"/>
    <w:rPr>
      <w:rFonts w:asciiTheme="minorHAnsi" w:hAnsiTheme="minorHAnsi" w:eastAsiaTheme="minorEastAsia" w:cstheme="minorBidi"/>
      <w:kern w:val="2"/>
      <w:sz w:val="21"/>
      <w:szCs w:val="22"/>
      <w:lang w:val="en-US" w:eastAsia="zh-CN" w:bidi="ar-SA"/>
    </w:rPr>
  </w:style>
  <w:style w:type="character" w:customStyle="1" w:styleId="20">
    <w:name w:val="标题 2 Char"/>
    <w:basedOn w:val="10"/>
    <w:link w:val="2"/>
    <w:uiPriority w:val="9"/>
    <w:rPr>
      <w:rFonts w:ascii="黑体" w:hAnsi="黑体" w:eastAsia="黑体" w:cs="Times New Roman"/>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34</Pages>
  <Words>19020</Words>
  <Characters>19294</Characters>
  <Lines>180</Lines>
  <Paragraphs>50</Paragraphs>
  <TotalTime>439</TotalTime>
  <ScaleCrop>false</ScaleCrop>
  <LinksUpToDate>false</LinksUpToDate>
  <CharactersWithSpaces>23469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2016-09-25T11:42:00Z</dcterms:created>
  <dc:creator>WJL</dc:creator>
  <cp:lastModifiedBy>←,.?!→❀</cp:lastModifiedBy>
  <dcterms:modified xsi:type="dcterms:W3CDTF">2024-05-28T07:34:50Z</dcterms:modified>
  <cp:revision>165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663AEB0460C24CF4864FF566A5380BA2_12</vt:lpwstr>
  </property>
</Properties>
</file>