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79" w:lineRule="exact"/>
        <w:jc w:val="center"/>
        <w:rPr>
          <w:rFonts w:ascii="黑体" w:hAnsi="黑体" w:eastAsia="黑体" w:cs="黑体"/>
          <w:b/>
          <w:sz w:val="36"/>
          <w:szCs w:val="36"/>
        </w:rPr>
      </w:pPr>
      <w:r>
        <w:rPr>
          <w:rFonts w:hint="eastAsia" w:ascii="黑体" w:hAnsi="黑体" w:eastAsia="黑体" w:cs="黑体"/>
          <w:b/>
          <w:sz w:val="36"/>
          <w:szCs w:val="36"/>
        </w:rPr>
        <w:t>深圳市罗湖区政府投资建设工程预选企业库</w:t>
      </w:r>
    </w:p>
    <w:p>
      <w:pPr>
        <w:snapToGrid w:val="0"/>
        <w:spacing w:line="579" w:lineRule="exact"/>
        <w:jc w:val="center"/>
        <w:rPr>
          <w:rFonts w:ascii="黑体" w:hAnsi="黑体" w:eastAsia="黑体" w:cs="黑体"/>
          <w:b/>
          <w:sz w:val="36"/>
          <w:szCs w:val="36"/>
        </w:rPr>
      </w:pPr>
      <w:r>
        <w:rPr>
          <w:rFonts w:hint="eastAsia" w:ascii="黑体" w:hAnsi="黑体" w:eastAsia="黑体" w:cs="黑体"/>
          <w:b/>
          <w:sz w:val="36"/>
          <w:szCs w:val="36"/>
        </w:rPr>
        <w:t>管理暂行办法</w:t>
      </w:r>
    </w:p>
    <w:p>
      <w:pPr>
        <w:adjustRightInd w:val="0"/>
        <w:snapToGrid w:val="0"/>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jc w:val="center"/>
        <w:rPr>
          <w:rFonts w:ascii="黑体" w:hAnsi="黑体" w:eastAsia="黑体" w:cs="黑体"/>
          <w:b/>
          <w:sz w:val="36"/>
          <w:szCs w:val="36"/>
        </w:rPr>
      </w:pPr>
    </w:p>
    <w:p>
      <w:pPr>
        <w:adjustRightInd w:val="0"/>
        <w:snapToGrid w:val="0"/>
        <w:spacing w:line="579" w:lineRule="exact"/>
        <w:jc w:val="center"/>
        <w:rPr>
          <w:rFonts w:ascii="黑体" w:hAnsi="黑体" w:eastAsia="黑体" w:cs="黑体"/>
          <w:b/>
          <w:sz w:val="32"/>
          <w:szCs w:val="32"/>
        </w:rPr>
      </w:pPr>
      <w:r>
        <w:rPr>
          <w:rFonts w:hint="eastAsia" w:ascii="黑体" w:hAnsi="黑体" w:eastAsia="黑体" w:cs="黑体"/>
          <w:b/>
          <w:sz w:val="32"/>
          <w:szCs w:val="32"/>
        </w:rPr>
        <w:t>第一章  总  则</w:t>
      </w:r>
    </w:p>
    <w:p>
      <w:pPr>
        <w:adjustRightInd w:val="0"/>
        <w:snapToGrid w:val="0"/>
        <w:spacing w:line="579" w:lineRule="exact"/>
        <w:jc w:val="center"/>
        <w:rPr>
          <w:rFonts w:ascii="仿宋" w:hAnsi="仿宋" w:eastAsia="仿宋"/>
          <w:sz w:val="32"/>
          <w:szCs w:val="32"/>
        </w:rPr>
      </w:pPr>
    </w:p>
    <w:p>
      <w:pPr>
        <w:rPr>
          <w:rFonts w:ascii="仿宋" w:hAnsi="仿宋" w:eastAsia="仿宋"/>
          <w:sz w:val="32"/>
          <w:szCs w:val="32"/>
        </w:rPr>
      </w:pPr>
      <w:r>
        <w:rPr>
          <w:rFonts w:hint="eastAsia" w:ascii="仿宋" w:hAnsi="仿宋" w:eastAsia="仿宋"/>
          <w:b/>
          <w:sz w:val="32"/>
          <w:szCs w:val="32"/>
        </w:rPr>
        <w:t>　</w:t>
      </w:r>
      <w:r>
        <w:rPr>
          <w:rFonts w:hint="eastAsia" w:ascii="黑体" w:hAnsi="黑体" w:eastAsia="黑体" w:cs="黑体"/>
          <w:b/>
          <w:sz w:val="32"/>
          <w:szCs w:val="32"/>
        </w:rPr>
        <w:t>　第一条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为切实维护政府投资建设工程招标投标活动的公开、公平和公正，进一步加强区政府投资建设工程管理，</w:t>
      </w:r>
      <w:r>
        <w:rPr>
          <w:rFonts w:hint="eastAsia" w:ascii="仿宋_GB2312" w:eastAsia="仿宋_GB2312"/>
          <w:sz w:val="32"/>
          <w:szCs w:val="32"/>
        </w:rPr>
        <w:t>保证工程质量和投资效益，</w:t>
      </w:r>
      <w:r>
        <w:rPr>
          <w:rFonts w:hint="eastAsia" w:ascii="仿宋_GB2312" w:hAnsi="仿宋_GB2312" w:eastAsia="仿宋_GB2312" w:cs="仿宋_GB2312"/>
          <w:sz w:val="32"/>
          <w:szCs w:val="32"/>
        </w:rPr>
        <w:t>根据《深圳经济特区建设工程施工招标投标条例》、《关于建设工程招标投标改革的若干规定》（深府[2015]73号）、《深圳市罗湖区建设工程招标投标管理</w:t>
      </w:r>
      <w:r>
        <w:rPr>
          <w:rFonts w:hint="eastAsia" w:ascii="仿宋_GB2312" w:hAnsi="仿宋_GB2312" w:eastAsia="仿宋_GB2312" w:cs="仿宋_GB2312"/>
          <w:bCs/>
          <w:sz w:val="32"/>
          <w:szCs w:val="32"/>
        </w:rPr>
        <w:t>暂行</w:t>
      </w:r>
      <w:r>
        <w:rPr>
          <w:rFonts w:hint="eastAsia" w:ascii="仿宋_GB2312" w:hAnsi="仿宋_GB2312" w:eastAsia="仿宋_GB2312" w:cs="仿宋_GB2312"/>
          <w:sz w:val="32"/>
          <w:szCs w:val="32"/>
        </w:rPr>
        <w:t>办法》（罗府办[2017]号）等相关规定，结合罗湖区实际，制定本办法。</w:t>
      </w:r>
    </w:p>
    <w:p>
      <w:pPr>
        <w:ind w:firstLine="645"/>
        <w:rPr>
          <w:rFonts w:ascii="仿宋_GB2312" w:hAnsi="仿宋_GB2312" w:eastAsia="仿宋_GB2312" w:cs="仿宋_GB2312"/>
          <w:sz w:val="32"/>
          <w:szCs w:val="32"/>
        </w:rPr>
      </w:pPr>
      <w:r>
        <w:rPr>
          <w:rFonts w:hint="eastAsia" w:ascii="黑体" w:hAnsi="黑体" w:eastAsia="黑体" w:cs="黑体"/>
          <w:b/>
          <w:sz w:val="32"/>
          <w:szCs w:val="32"/>
        </w:rPr>
        <w:t>第二条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区政府</w:t>
      </w:r>
      <w:r>
        <w:rPr>
          <w:rFonts w:ascii="仿宋_GB2312" w:hAnsi="仿宋_GB2312" w:eastAsia="仿宋_GB2312" w:cs="仿宋_GB2312"/>
          <w:sz w:val="32"/>
          <w:szCs w:val="32"/>
        </w:rPr>
        <w:t>投资</w:t>
      </w:r>
      <w:r>
        <w:rPr>
          <w:rFonts w:hint="eastAsia" w:ascii="仿宋_GB2312" w:hAnsi="仿宋_GB2312" w:eastAsia="仿宋_GB2312" w:cs="仿宋_GB2312"/>
          <w:sz w:val="32"/>
          <w:szCs w:val="32"/>
        </w:rPr>
        <w:t>建设工程根据实际情况，可采用预选招标方法选出若干组别的预选企业形成预选企业库。</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预选招标是指招标人一次集中招标确定不少于2家且有效期不超过2年的预选企业。</w:t>
      </w:r>
    </w:p>
    <w:p>
      <w:pPr>
        <w:ind w:firstLine="645"/>
        <w:rPr>
          <w:rFonts w:ascii="仿宋_GB2312" w:hAnsi="仿宋_GB2312" w:eastAsia="仿宋_GB2312" w:cs="仿宋_GB2312"/>
          <w:sz w:val="32"/>
          <w:szCs w:val="32"/>
        </w:rPr>
      </w:pPr>
      <w:r>
        <w:rPr>
          <w:rFonts w:hint="eastAsia" w:ascii="黑体" w:hAnsi="黑体" w:eastAsia="黑体" w:cs="黑体"/>
          <w:b/>
          <w:sz w:val="32"/>
          <w:szCs w:val="32"/>
        </w:rPr>
        <w:t>第三条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ascii="仿宋_GB2312" w:hAnsi="仿宋_GB2312" w:eastAsia="仿宋_GB2312" w:cs="仿宋_GB2312"/>
          <w:sz w:val="32"/>
          <w:szCs w:val="32"/>
        </w:rPr>
        <w:t>依法必须进行招标</w:t>
      </w:r>
      <w:r>
        <w:rPr>
          <w:rFonts w:hint="eastAsia" w:ascii="仿宋_GB2312" w:hAnsi="仿宋_GB2312" w:eastAsia="仿宋_GB2312" w:cs="仿宋_GB2312"/>
          <w:sz w:val="32"/>
          <w:szCs w:val="32"/>
        </w:rPr>
        <w:t>的建设工程采用预选招标建库，主要适用于抢险救灾工程、修缮工程以及经常发生的货物、服务招标。</w:t>
      </w:r>
    </w:p>
    <w:p>
      <w:pPr>
        <w:ind w:firstLine="645"/>
        <w:rPr>
          <w:rFonts w:ascii="仿宋_GB2312" w:hAnsi="仿宋_GB2312" w:eastAsia="仿宋_GB2312" w:cs="仿宋_GB2312"/>
          <w:sz w:val="32"/>
          <w:szCs w:val="32"/>
        </w:rPr>
      </w:pPr>
      <w:r>
        <w:rPr>
          <w:rFonts w:hint="eastAsia" w:ascii="黑体" w:hAnsi="黑体" w:eastAsia="黑体" w:cs="黑体"/>
          <w:b/>
          <w:sz w:val="32"/>
          <w:szCs w:val="32"/>
        </w:rPr>
        <w:t>第四条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区政府投资建设工程预选企业库（以下简称“区预选企业库”）分类设立不同组别。具体组别的预选企业数量根据上两年度使用情况确定，应满足各建设单位的工作需要，并按分类组别实行总量控制，招标方案由建设单位报区政府投资建设工程领导小组会议审定。</w:t>
      </w:r>
    </w:p>
    <w:p>
      <w:pPr>
        <w:ind w:firstLine="645"/>
        <w:rPr>
          <w:rFonts w:ascii="仿宋_GB2312" w:hAnsi="仿宋_GB2312" w:eastAsia="仿宋_GB2312" w:cs="仿宋_GB2312"/>
          <w:bCs/>
          <w:sz w:val="32"/>
          <w:szCs w:val="32"/>
        </w:rPr>
      </w:pPr>
      <w:r>
        <w:rPr>
          <w:rFonts w:hint="eastAsia" w:ascii="黑体" w:hAnsi="黑体" w:eastAsia="黑体" w:cs="黑体"/>
          <w:b/>
          <w:sz w:val="32"/>
          <w:szCs w:val="32"/>
        </w:rPr>
        <w:t>第五条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预选企业库实行动态管理。预选企业库组别的有效期不超过2年，组别</w:t>
      </w:r>
      <w:r>
        <w:rPr>
          <w:rFonts w:hint="eastAsia" w:ascii="仿宋_GB2312" w:hAnsi="宋体" w:eastAsia="仿宋_GB2312" w:cs="宋体"/>
          <w:sz w:val="32"/>
          <w:szCs w:val="32"/>
        </w:rPr>
        <w:t>预选企业的生效日期均从签订</w:t>
      </w:r>
      <w:r>
        <w:rPr>
          <w:rFonts w:hint="eastAsia" w:ascii="仿宋_GB2312" w:eastAsia="仿宋_GB2312" w:hAnsiTheme="majorEastAsia"/>
          <w:sz w:val="32"/>
          <w:szCs w:val="32"/>
        </w:rPr>
        <w:t>入库服务协议</w:t>
      </w:r>
      <w:r>
        <w:rPr>
          <w:rFonts w:hint="eastAsia" w:ascii="仿宋_GB2312" w:hAnsi="宋体" w:eastAsia="仿宋_GB2312" w:cs="宋体"/>
          <w:sz w:val="32"/>
          <w:szCs w:val="32"/>
        </w:rPr>
        <w:t>之日起算</w:t>
      </w:r>
      <w:r>
        <w:rPr>
          <w:rFonts w:hint="eastAsia" w:ascii="仿宋_GB2312" w:hAnsi="仿宋_GB2312" w:eastAsia="仿宋_GB2312" w:cs="仿宋_GB2312"/>
          <w:sz w:val="32"/>
          <w:szCs w:val="32"/>
        </w:rPr>
        <w:t>，失效日期以入库服务协议约定为准。</w:t>
      </w:r>
    </w:p>
    <w:p>
      <w:pPr>
        <w:ind w:firstLine="660"/>
        <w:rPr>
          <w:rFonts w:ascii="仿宋" w:hAnsi="仿宋" w:eastAsia="仿宋"/>
          <w:sz w:val="32"/>
          <w:szCs w:val="32"/>
        </w:rPr>
      </w:pPr>
      <w:r>
        <w:rPr>
          <w:rFonts w:hint="eastAsia" w:ascii="黑体" w:hAnsi="黑体" w:eastAsia="黑体" w:cs="黑体"/>
          <w:b/>
          <w:sz w:val="32"/>
          <w:szCs w:val="32"/>
        </w:rPr>
        <w:t>第六条</w:t>
      </w:r>
      <w:r>
        <w:rPr>
          <w:rFonts w:hint="eastAsia" w:ascii="黑体" w:hAnsi="黑体" w:eastAsia="黑体" w:cs="黑体"/>
          <w:sz w:val="32"/>
          <w:szCs w:val="32"/>
        </w:rPr>
        <w:t xml:space="preserve"> </w:t>
      </w:r>
      <w:r>
        <w:rPr>
          <w:rFonts w:hint="eastAsia" w:ascii="仿宋" w:hAnsi="仿宋" w:eastAsia="仿宋" w:cs="Times New Roman"/>
          <w:sz w:val="32"/>
          <w:szCs w:val="32"/>
        </w:rPr>
        <w:t xml:space="preserve"> </w:t>
      </w:r>
      <w:r>
        <w:rPr>
          <w:rFonts w:hint="eastAsia" w:ascii="仿宋_GB2312" w:hAnsi="仿宋_GB2312" w:eastAsia="仿宋_GB2312" w:cs="仿宋_GB2312"/>
          <w:sz w:val="32"/>
          <w:szCs w:val="32"/>
        </w:rPr>
        <w:t>区预选企业库相关组别由建设单位负责设立，签订入库服务协议后纳入区预选企业库进行管理。区预选企业库的使用平台由区招投标中心负责提供和保障。区有关行政管理部门在各自职责范围内依法对预选企业进行监管。</w:t>
      </w:r>
    </w:p>
    <w:p>
      <w:pPr>
        <w:ind w:firstLine="660"/>
        <w:jc w:val="center"/>
        <w:rPr>
          <w:rFonts w:ascii="仿宋" w:hAnsi="仿宋" w:eastAsia="仿宋"/>
          <w:sz w:val="32"/>
          <w:szCs w:val="32"/>
        </w:rPr>
      </w:pPr>
    </w:p>
    <w:p>
      <w:pPr>
        <w:adjustRightInd w:val="0"/>
        <w:snapToGrid w:val="0"/>
        <w:spacing w:line="579" w:lineRule="exact"/>
        <w:jc w:val="center"/>
        <w:rPr>
          <w:rFonts w:ascii="黑体" w:hAnsi="黑体" w:eastAsia="黑体" w:cs="黑体"/>
          <w:b/>
          <w:sz w:val="32"/>
          <w:szCs w:val="32"/>
        </w:rPr>
      </w:pPr>
      <w:r>
        <w:rPr>
          <w:rFonts w:hint="eastAsia" w:ascii="黑体" w:hAnsi="黑体" w:eastAsia="黑体" w:cs="黑体"/>
          <w:b/>
          <w:sz w:val="32"/>
          <w:szCs w:val="32"/>
        </w:rPr>
        <w:t>第二章  预选企业库的使用</w:t>
      </w:r>
    </w:p>
    <w:p>
      <w:pPr>
        <w:ind w:firstLine="660"/>
        <w:jc w:val="center"/>
        <w:rPr>
          <w:rFonts w:ascii="仿宋" w:hAnsi="仿宋" w:eastAsia="仿宋"/>
          <w:sz w:val="32"/>
          <w:szCs w:val="32"/>
        </w:rPr>
      </w:pPr>
    </w:p>
    <w:p>
      <w:pPr>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第七条</w:t>
      </w:r>
      <w:r>
        <w:rPr>
          <w:rFonts w:hint="eastAsia" w:ascii="仿宋" w:hAnsi="仿宋" w:eastAsia="仿宋"/>
          <w:b/>
          <w:sz w:val="32"/>
          <w:szCs w:val="32"/>
        </w:rPr>
        <w:t xml:space="preserve">  </w:t>
      </w:r>
      <w:r>
        <w:rPr>
          <w:rFonts w:hint="eastAsia" w:ascii="仿宋_GB2312" w:hAnsi="仿宋_GB2312" w:eastAsia="仿宋_GB2312" w:cs="仿宋_GB2312"/>
          <w:sz w:val="32"/>
          <w:szCs w:val="32"/>
        </w:rPr>
        <w:t>确定后续具体项目中标价格的方法以建设单位提交的预算价为基准，预算价在50万以下的小额建设工程，中标价相对预算价下浮5%；预算价在50万元（含）至100万元（不含）的小额建设工程，中标价相对预算价下浮8%；预算价在100万元（含）至200万元（不含）的小额建设工程，中标价相对预算价下浮10%。</w:t>
      </w:r>
    </w:p>
    <w:p>
      <w:pPr>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 xml:space="preserve">第八条  </w:t>
      </w:r>
      <w:r>
        <w:rPr>
          <w:rFonts w:hint="eastAsia" w:ascii="仿宋_GB2312" w:hAnsi="仿宋_GB2312" w:eastAsia="仿宋_GB2312" w:cs="仿宋_GB2312"/>
          <w:sz w:val="32"/>
          <w:szCs w:val="32"/>
        </w:rPr>
        <w:t>建设单位申请使用预选企业库提交下列资料：</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（一）施工类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1.区政府投资建设工程招标信息采集表（原件，一式两份，见附件）；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2.资金来源证明（复印件，一份，加盖建设单位公章）；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3.预算审核报告和预算清单（复印件，一份，预算审核报告加盖建设单位公章，预算清单加盖建设单位骑缝章）；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4.招标方案（主要包括招标公告和</w:t>
      </w:r>
      <w:r>
        <w:rPr>
          <w:rFonts w:ascii="仿宋_GB2312" w:hAnsi="仿宋_GB2312" w:eastAsia="仿宋_GB2312" w:cs="仿宋_GB2312"/>
          <w:sz w:val="32"/>
          <w:szCs w:val="32"/>
        </w:rPr>
        <w:t>合同的标的、价款、质量、履行期限等主要条款</w:t>
      </w:r>
      <w:r>
        <w:rPr>
          <w:rFonts w:hint="eastAsia" w:ascii="仿宋_GB2312" w:hAnsi="仿宋_GB2312" w:eastAsia="仿宋_GB2312" w:cs="仿宋_GB2312"/>
          <w:sz w:val="32"/>
          <w:szCs w:val="32"/>
        </w:rPr>
        <w:t>，网上申报时上传电子版）；</w:t>
      </w:r>
    </w:p>
    <w:p>
      <w:pPr>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eastAsia="仿宋_GB2312"/>
          <w:sz w:val="32"/>
          <w:szCs w:val="32"/>
        </w:rPr>
        <w:t>建设单位法定代表人证明书、法人授权委托书、法定代表人和被授权人身份证复印件（以上材料均须加盖公章）</w:t>
      </w:r>
      <w:r>
        <w:rPr>
          <w:rFonts w:hint="eastAsia" w:ascii="仿宋_GB2312" w:hAnsi="仿宋_GB2312" w:eastAsia="仿宋_GB2312" w:cs="仿宋_GB2312"/>
          <w:sz w:val="32"/>
          <w:szCs w:val="32"/>
        </w:rPr>
        <w:t>。</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（二）服务类</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区政府投资建设工程招标信息采集表（原件，一式两份，见附件）；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2.资金来源证明（复印件，加盖建设单位公章）；</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3.招标方案（主要包括招标公告和</w:t>
      </w:r>
      <w:r>
        <w:rPr>
          <w:rFonts w:ascii="仿宋_GB2312" w:hAnsi="仿宋_GB2312" w:eastAsia="仿宋_GB2312" w:cs="仿宋_GB2312"/>
          <w:sz w:val="32"/>
          <w:szCs w:val="32"/>
        </w:rPr>
        <w:t>合同的标的、价款、质量、履行期限等主要条款</w:t>
      </w:r>
      <w:r>
        <w:rPr>
          <w:rFonts w:hint="eastAsia" w:ascii="仿宋_GB2312" w:hAnsi="仿宋_GB2312" w:eastAsia="仿宋_GB2312" w:cs="仿宋_GB2312"/>
          <w:sz w:val="32"/>
          <w:szCs w:val="32"/>
        </w:rPr>
        <w:t>，网上申报时上传电子版）；</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eastAsia="仿宋_GB2312"/>
          <w:sz w:val="32"/>
          <w:szCs w:val="32"/>
        </w:rPr>
        <w:t>建设单位法定代表人证明书、法人授权委托书、法定代表人和被授权人身份证复印件（以上材料均须加盖公章）</w:t>
      </w:r>
      <w:r>
        <w:rPr>
          <w:rFonts w:hint="eastAsia" w:ascii="仿宋_GB2312" w:hAnsi="仿宋_GB2312" w:eastAsia="仿宋_GB2312" w:cs="仿宋_GB2312"/>
          <w:sz w:val="32"/>
          <w:szCs w:val="32"/>
        </w:rPr>
        <w:t>。</w:t>
      </w:r>
    </w:p>
    <w:p>
      <w:pPr>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第九条</w:t>
      </w:r>
      <w:r>
        <w:rPr>
          <w:rFonts w:hint="eastAsia" w:ascii="仿宋" w:hAnsi="仿宋" w:eastAsia="仿宋" w:cs="Times New Roman"/>
          <w:b/>
          <w:sz w:val="32"/>
          <w:szCs w:val="32"/>
        </w:rPr>
        <w:t xml:space="preserve">  </w:t>
      </w:r>
      <w:r>
        <w:rPr>
          <w:rFonts w:hint="eastAsia" w:ascii="仿宋_GB2312" w:hAnsi="仿宋_GB2312" w:eastAsia="仿宋_GB2312" w:cs="仿宋_GB2312"/>
          <w:sz w:val="32"/>
          <w:szCs w:val="32"/>
        </w:rPr>
        <w:t>招标人使用预选企业库的程序如下：</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（一）项目申报招标及抽签环节。</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 建设单位在交易平台网上申报招标项目和</w:t>
      </w:r>
      <w:r>
        <w:rPr>
          <w:rFonts w:hint="eastAsia" w:ascii="仿宋_GB2312" w:eastAsia="仿宋_GB2312"/>
          <w:sz w:val="32"/>
          <w:szCs w:val="32"/>
        </w:rPr>
        <w:t>办理抽签事项</w:t>
      </w:r>
      <w:r>
        <w:rPr>
          <w:rFonts w:hint="eastAsia" w:ascii="仿宋_GB2312" w:hAnsi="仿宋_GB2312" w:eastAsia="仿宋_GB2312" w:cs="仿宋_GB2312"/>
          <w:sz w:val="32"/>
          <w:szCs w:val="32"/>
        </w:rPr>
        <w:t>，发布招标公告不少于3个工作日。预选企业进行投标响应报名，不需编制投标文件。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 区招投标中心应协助建设单位在发布公告后负责通知相应组别的所有预选企业参加投标报名，无法联系和无正当理由不参加投标等情形应在招标结束后报告区建设部门。经通知到位，无正当理由不参加投标达到2次及以上的取消预选企业资格。预选企业在网上报名的视为认同招标方案的合同实质性条款，网上报名合格的预选企业按照招标公告要求到区招投标中心办理签到、抽签手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3.开标前，区招投标中心核对相应组别中的预选企业是否需要回避。</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 开标后，由建设单位代表在区招投标中心见证下直接抽签确定中标候选人。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（二）建设单位可以对中标候选人进行履约能力审查。</w:t>
      </w:r>
      <w:r>
        <w:rPr>
          <w:rFonts w:ascii="仿宋_GB2312" w:hAnsi="仿宋_GB2312" w:eastAsia="仿宋_GB2312" w:cs="仿宋_GB2312"/>
          <w:sz w:val="32"/>
          <w:szCs w:val="32"/>
        </w:rPr>
        <w:t>在发出中标通知书前由</w:t>
      </w:r>
      <w:r>
        <w:rPr>
          <w:rFonts w:hint="eastAsia" w:ascii="仿宋_GB2312" w:hAnsi="仿宋_GB2312" w:eastAsia="仿宋_GB2312" w:cs="仿宋_GB2312"/>
          <w:sz w:val="32"/>
          <w:szCs w:val="32"/>
        </w:rPr>
        <w:t>建设单位对</w:t>
      </w:r>
      <w:r>
        <w:rPr>
          <w:rFonts w:ascii="仿宋_GB2312" w:hAnsi="仿宋_GB2312" w:eastAsia="仿宋_GB2312" w:cs="仿宋_GB2312"/>
          <w:sz w:val="32"/>
          <w:szCs w:val="32"/>
        </w:rPr>
        <w:t>中标候选人</w:t>
      </w:r>
      <w:r>
        <w:rPr>
          <w:rFonts w:hint="eastAsia" w:ascii="仿宋_GB2312" w:hAnsi="仿宋_GB2312" w:eastAsia="仿宋_GB2312" w:cs="仿宋_GB2312"/>
          <w:sz w:val="32"/>
          <w:szCs w:val="32"/>
        </w:rPr>
        <w:t>的</w:t>
      </w:r>
      <w:r>
        <w:rPr>
          <w:rFonts w:ascii="仿宋_GB2312" w:hAnsi="仿宋_GB2312" w:eastAsia="仿宋_GB2312" w:cs="仿宋_GB2312"/>
          <w:sz w:val="32"/>
          <w:szCs w:val="32"/>
        </w:rPr>
        <w:t>经营、财务状况或者违法行为</w:t>
      </w:r>
      <w:r>
        <w:rPr>
          <w:rFonts w:hint="eastAsia" w:ascii="仿宋_GB2312" w:hAnsi="仿宋_GB2312" w:eastAsia="仿宋_GB2312" w:cs="仿宋_GB2312"/>
          <w:sz w:val="32"/>
          <w:szCs w:val="32"/>
        </w:rPr>
        <w:t>等进行审查</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建设单位</w:t>
      </w:r>
      <w:r>
        <w:rPr>
          <w:rFonts w:ascii="仿宋_GB2312" w:hAnsi="仿宋_GB2312" w:eastAsia="仿宋_GB2312" w:cs="仿宋_GB2312"/>
          <w:sz w:val="32"/>
          <w:szCs w:val="32"/>
        </w:rPr>
        <w:t>认为中标候选人经营、财务状况发生较大变化或者存在违法行为可能影响其履约能力的，应当</w:t>
      </w:r>
      <w:r>
        <w:rPr>
          <w:rFonts w:hint="eastAsia" w:ascii="仿宋_GB2312" w:hAnsi="仿宋_GB2312" w:eastAsia="仿宋_GB2312" w:cs="仿宋_GB2312"/>
          <w:sz w:val="32"/>
          <w:szCs w:val="32"/>
        </w:rPr>
        <w:t>组建资格审查</w:t>
      </w:r>
      <w:r>
        <w:rPr>
          <w:rFonts w:ascii="仿宋_GB2312" w:hAnsi="仿宋_GB2312" w:eastAsia="仿宋_GB2312" w:cs="仿宋_GB2312"/>
          <w:sz w:val="32"/>
          <w:szCs w:val="32"/>
        </w:rPr>
        <w:t>委员会</w:t>
      </w:r>
      <w:r>
        <w:rPr>
          <w:rFonts w:hint="eastAsia" w:ascii="仿宋_GB2312" w:hAnsi="仿宋_GB2312" w:eastAsia="仿宋_GB2312" w:cs="仿宋_GB2312"/>
          <w:sz w:val="32"/>
          <w:szCs w:val="32"/>
        </w:rPr>
        <w:t>进行</w:t>
      </w:r>
      <w:r>
        <w:rPr>
          <w:rFonts w:ascii="仿宋_GB2312" w:hAnsi="仿宋_GB2312" w:eastAsia="仿宋_GB2312" w:cs="仿宋_GB2312"/>
          <w:sz w:val="32"/>
          <w:szCs w:val="32"/>
        </w:rPr>
        <w:t>审查确认</w:t>
      </w:r>
      <w:r>
        <w:rPr>
          <w:rFonts w:hint="eastAsia" w:ascii="仿宋_GB2312" w:hAnsi="仿宋_GB2312" w:eastAsia="仿宋_GB2312" w:cs="仿宋_GB2312"/>
          <w:sz w:val="32"/>
          <w:szCs w:val="32"/>
        </w:rPr>
        <w:t>，结果抄送区建设部门。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（三）中标结果不需要公示，直接发布中标公告。区招投标中心应统一制作防伪的中标通知书，提供给招标人或者在网站提供界面由招标人自助打印。招标人在中标通知书上盖章后发放。</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（四）建设单位应当与中标人按照招标方案签订书面合同。合同条款不得违反法律、法规等强制性规定，以及平等、自愿、公平和诚实信用原则。</w:t>
      </w:r>
      <w:r>
        <w:rPr>
          <w:rFonts w:ascii="仿宋_GB2312" w:hAnsi="仿宋_GB2312" w:eastAsia="仿宋_GB2312" w:cs="仿宋_GB2312"/>
          <w:sz w:val="32"/>
          <w:szCs w:val="32"/>
        </w:rPr>
        <w:t>不得再行订立背离合同实质性内容的其他协议</w:t>
      </w:r>
      <w:r>
        <w:rPr>
          <w:rFonts w:hint="eastAsia" w:ascii="仿宋_GB2312" w:hAnsi="仿宋_GB2312" w:eastAsia="仿宋_GB2312" w:cs="仿宋_GB2312"/>
          <w:sz w:val="32"/>
          <w:szCs w:val="32"/>
        </w:rPr>
        <w:t>。中标的预选企业无正当理由不得拒绝签订合同。</w:t>
      </w:r>
    </w:p>
    <w:p>
      <w:pPr>
        <w:ind w:firstLine="640" w:firstLineChars="200"/>
        <w:jc w:val="left"/>
        <w:rPr>
          <w:rFonts w:ascii="仿宋_GB2312" w:eastAsia="仿宋_GB2312"/>
          <w:sz w:val="32"/>
          <w:szCs w:val="32"/>
        </w:rPr>
      </w:pPr>
      <w:r>
        <w:rPr>
          <w:rFonts w:hint="eastAsia" w:ascii="仿宋_GB2312" w:hAnsi="仿宋_GB2312" w:eastAsia="仿宋_GB2312" w:cs="仿宋_GB2312"/>
          <w:sz w:val="32"/>
          <w:szCs w:val="32"/>
        </w:rPr>
        <w:t>（五）建设单位自中标通知书发出之日起5个工作日内签订书面合同，并将</w:t>
      </w:r>
      <w:r>
        <w:rPr>
          <w:rFonts w:hint="eastAsia" w:ascii="仿宋_GB2312" w:eastAsia="仿宋_GB2312"/>
          <w:sz w:val="32"/>
          <w:szCs w:val="32"/>
        </w:rPr>
        <w:t>招标投标完成情况抄送区建设部门，同时提交以下材料：</w:t>
      </w:r>
    </w:p>
    <w:p>
      <w:pPr>
        <w:ind w:firstLine="640" w:firstLineChars="200"/>
        <w:jc w:val="left"/>
        <w:rPr>
          <w:rFonts w:ascii="仿宋_GB2312" w:eastAsia="仿宋_GB2312"/>
          <w:sz w:val="32"/>
          <w:szCs w:val="32"/>
        </w:rPr>
      </w:pPr>
      <w:r>
        <w:rPr>
          <w:rFonts w:hint="eastAsia" w:ascii="仿宋_GB2312" w:eastAsia="仿宋_GB2312"/>
          <w:sz w:val="32"/>
          <w:szCs w:val="32"/>
        </w:rPr>
        <w:t>1.招标方案</w:t>
      </w:r>
    </w:p>
    <w:p>
      <w:pPr>
        <w:ind w:firstLine="640" w:firstLineChars="200"/>
        <w:jc w:val="left"/>
        <w:rPr>
          <w:rFonts w:ascii="仿宋_GB2312" w:eastAsia="仿宋_GB2312"/>
          <w:sz w:val="32"/>
          <w:szCs w:val="32"/>
        </w:rPr>
      </w:pPr>
      <w:r>
        <w:rPr>
          <w:rFonts w:hint="eastAsia" w:ascii="仿宋_GB2312" w:eastAsia="仿宋_GB2312"/>
          <w:sz w:val="32"/>
          <w:szCs w:val="32"/>
        </w:rPr>
        <w:t>2.招投标情况报告（原件）；</w:t>
      </w:r>
    </w:p>
    <w:p>
      <w:pPr>
        <w:ind w:firstLine="640" w:firstLineChars="200"/>
        <w:jc w:val="left"/>
        <w:rPr>
          <w:rFonts w:ascii="仿宋_GB2312" w:eastAsia="仿宋_GB2312"/>
          <w:sz w:val="32"/>
          <w:szCs w:val="32"/>
        </w:rPr>
      </w:pPr>
      <w:r>
        <w:rPr>
          <w:rFonts w:hint="eastAsia" w:ascii="仿宋_GB2312" w:eastAsia="仿宋_GB2312"/>
          <w:sz w:val="32"/>
          <w:szCs w:val="32"/>
        </w:rPr>
        <w:t>3.抽签签到表；</w:t>
      </w:r>
    </w:p>
    <w:p>
      <w:pPr>
        <w:ind w:firstLine="640" w:firstLineChars="200"/>
        <w:jc w:val="left"/>
        <w:rPr>
          <w:rFonts w:ascii="仿宋_GB2312" w:eastAsia="仿宋_GB2312"/>
          <w:sz w:val="32"/>
          <w:szCs w:val="32"/>
        </w:rPr>
      </w:pPr>
      <w:r>
        <w:rPr>
          <w:rFonts w:hint="eastAsia" w:ascii="仿宋_GB2312" w:eastAsia="仿宋_GB2312"/>
          <w:sz w:val="32"/>
          <w:szCs w:val="32"/>
        </w:rPr>
        <w:t>4.抽签情况汇总表；</w:t>
      </w:r>
    </w:p>
    <w:p>
      <w:pPr>
        <w:ind w:firstLine="640" w:firstLineChars="200"/>
        <w:jc w:val="left"/>
        <w:rPr>
          <w:rFonts w:ascii="仿宋_GB2312" w:eastAsia="仿宋_GB2312"/>
          <w:sz w:val="32"/>
          <w:szCs w:val="32"/>
        </w:rPr>
      </w:pPr>
      <w:r>
        <w:rPr>
          <w:rFonts w:hint="eastAsia" w:ascii="仿宋_GB2312" w:eastAsia="仿宋_GB2312"/>
          <w:sz w:val="32"/>
          <w:szCs w:val="32"/>
        </w:rPr>
        <w:t>5.中标合同。</w:t>
      </w:r>
    </w:p>
    <w:p>
      <w:pPr>
        <w:ind w:firstLine="645"/>
        <w:rPr>
          <w:rFonts w:ascii="仿宋_GB2312" w:hAnsi="仿宋_GB2312" w:eastAsia="仿宋_GB2312" w:cs="仿宋_GB2312"/>
          <w:sz w:val="32"/>
          <w:szCs w:val="32"/>
        </w:rPr>
      </w:pPr>
      <w:r>
        <w:rPr>
          <w:rFonts w:ascii="黑体" w:hAnsi="黑体" w:eastAsia="黑体" w:cs="黑体"/>
          <w:b/>
          <w:sz w:val="32"/>
          <w:szCs w:val="32"/>
        </w:rPr>
        <w:t>第</w:t>
      </w:r>
      <w:r>
        <w:rPr>
          <w:rFonts w:hint="eastAsia" w:ascii="黑体" w:hAnsi="黑体" w:eastAsia="黑体" w:cs="黑体"/>
          <w:b/>
          <w:sz w:val="32"/>
          <w:szCs w:val="32"/>
        </w:rPr>
        <w:t>十</w:t>
      </w:r>
      <w:r>
        <w:rPr>
          <w:rFonts w:ascii="黑体" w:hAnsi="黑体" w:eastAsia="黑体" w:cs="黑体"/>
          <w:b/>
          <w:sz w:val="32"/>
          <w:szCs w:val="32"/>
        </w:rPr>
        <w:t>条</w:t>
      </w:r>
      <w:r>
        <w:rPr>
          <w:rFonts w:hint="eastAsia" w:ascii="仿宋" w:hAnsi="仿宋" w:eastAsia="仿宋"/>
          <w:sz w:val="32"/>
          <w:szCs w:val="32"/>
        </w:rPr>
        <w:t xml:space="preserve">  </w:t>
      </w:r>
      <w:r>
        <w:rPr>
          <w:rFonts w:ascii="仿宋_GB2312" w:hAnsi="宋体" w:eastAsia="仿宋_GB2312" w:cs="宋体"/>
          <w:sz w:val="32"/>
          <w:szCs w:val="32"/>
        </w:rPr>
        <w:t>抢险救灾工程（地面坍塌</w:t>
      </w:r>
      <w:r>
        <w:rPr>
          <w:rFonts w:hint="eastAsia" w:ascii="仿宋_GB2312" w:hAnsi="宋体" w:eastAsia="仿宋_GB2312" w:cs="宋体"/>
          <w:sz w:val="32"/>
          <w:szCs w:val="32"/>
        </w:rPr>
        <w:t>、地质灾害</w:t>
      </w:r>
      <w:r>
        <w:rPr>
          <w:rFonts w:ascii="仿宋_GB2312" w:hAnsi="宋体" w:eastAsia="仿宋_GB2312" w:cs="宋体"/>
          <w:sz w:val="32"/>
          <w:szCs w:val="32"/>
        </w:rPr>
        <w:t>）</w:t>
      </w:r>
      <w:r>
        <w:rPr>
          <w:rFonts w:hint="eastAsia" w:ascii="仿宋_GB2312" w:hAnsi="宋体" w:eastAsia="仿宋_GB2312" w:cs="宋体"/>
          <w:sz w:val="32"/>
          <w:szCs w:val="32"/>
        </w:rPr>
        <w:t>组别可以</w:t>
      </w:r>
      <w:r>
        <w:rPr>
          <w:rFonts w:hint="eastAsia" w:ascii="仿宋_GB2312" w:hAnsi="仿宋_GB2312" w:eastAsia="仿宋_GB2312" w:cs="仿宋_GB2312"/>
          <w:sz w:val="32"/>
          <w:szCs w:val="32"/>
        </w:rPr>
        <w:t>按照抢险救灾工程认定部门（区三防指挥部）的要求使用，进行抽签的应在区招投标中心平台进行。</w:t>
      </w:r>
    </w:p>
    <w:p>
      <w:pPr>
        <w:ind w:firstLine="645"/>
        <w:rPr>
          <w:rFonts w:ascii="仿宋_GB2312" w:hAnsi="宋体" w:eastAsia="仿宋_GB2312" w:cs="宋体"/>
          <w:sz w:val="32"/>
          <w:szCs w:val="32"/>
        </w:rPr>
      </w:pPr>
      <w:r>
        <w:rPr>
          <w:rFonts w:hint="eastAsia" w:ascii="黑体" w:hAnsi="黑体" w:eastAsia="黑体" w:cs="黑体"/>
          <w:b/>
          <w:sz w:val="32"/>
          <w:szCs w:val="32"/>
        </w:rPr>
        <w:t>第十一条</w:t>
      </w:r>
      <w:r>
        <w:rPr>
          <w:rFonts w:hint="eastAsia" w:ascii="仿宋" w:hAnsi="仿宋" w:eastAsia="仿宋"/>
          <w:sz w:val="32"/>
          <w:szCs w:val="32"/>
        </w:rPr>
        <w:t xml:space="preserve">  </w:t>
      </w:r>
      <w:r>
        <w:rPr>
          <w:rFonts w:hint="eastAsia" w:ascii="仿宋_GB2312" w:hAnsi="宋体" w:eastAsia="仿宋_GB2312" w:cs="宋体"/>
          <w:sz w:val="32"/>
          <w:szCs w:val="32"/>
        </w:rPr>
        <w:t>工程造价咨询组别按照《关于使用“</w:t>
      </w:r>
      <w:r>
        <w:rPr>
          <w:rFonts w:ascii="仿宋_GB2312" w:hAnsi="宋体" w:eastAsia="仿宋_GB2312" w:cs="宋体"/>
          <w:sz w:val="32"/>
          <w:szCs w:val="32"/>
        </w:rPr>
        <w:t>2017-2019</w:t>
      </w:r>
      <w:r>
        <w:rPr>
          <w:rFonts w:hint="eastAsia" w:ascii="仿宋_GB2312" w:hAnsi="宋体" w:eastAsia="仿宋_GB2312" w:cs="宋体"/>
          <w:sz w:val="32"/>
          <w:szCs w:val="32"/>
        </w:rPr>
        <w:t>年度罗湖区建设工程造价咨询服务预选企业库”的通知》（深罗审函〔</w:t>
      </w:r>
      <w:r>
        <w:rPr>
          <w:rFonts w:ascii="仿宋_GB2312" w:hAnsi="宋体" w:eastAsia="仿宋_GB2312" w:cs="宋体"/>
          <w:sz w:val="32"/>
          <w:szCs w:val="32"/>
        </w:rPr>
        <w:t>2017</w:t>
      </w:r>
      <w:r>
        <w:rPr>
          <w:rFonts w:hint="eastAsia" w:ascii="仿宋_GB2312" w:hAnsi="宋体" w:eastAsia="仿宋_GB2312" w:cs="宋体"/>
          <w:sz w:val="32"/>
          <w:szCs w:val="32"/>
        </w:rPr>
        <w:t>〕</w:t>
      </w:r>
      <w:r>
        <w:rPr>
          <w:rFonts w:ascii="仿宋_GB2312" w:hAnsi="宋体" w:eastAsia="仿宋_GB2312" w:cs="宋体"/>
          <w:sz w:val="32"/>
          <w:szCs w:val="32"/>
        </w:rPr>
        <w:t>2</w:t>
      </w:r>
      <w:r>
        <w:rPr>
          <w:rFonts w:hint="eastAsia" w:ascii="仿宋_GB2312" w:hAnsi="宋体" w:eastAsia="仿宋_GB2312" w:cs="宋体"/>
          <w:sz w:val="32"/>
          <w:szCs w:val="32"/>
        </w:rPr>
        <w:t>号）要求使用，使用规定由建库单位（区审计局和区政府采购中心）负责解释。</w:t>
      </w:r>
    </w:p>
    <w:p>
      <w:pPr>
        <w:spacing w:line="360" w:lineRule="auto"/>
        <w:ind w:firstLine="642" w:firstLineChars="200"/>
        <w:jc w:val="left"/>
        <w:rPr>
          <w:rFonts w:ascii="仿宋_GB2312" w:hAnsi="宋体" w:eastAsia="仿宋_GB2312" w:cs="宋体"/>
          <w:sz w:val="32"/>
          <w:szCs w:val="32"/>
        </w:rPr>
      </w:pPr>
      <w:r>
        <w:rPr>
          <w:rFonts w:hint="eastAsia" w:ascii="黑体" w:hAnsi="黑体" w:eastAsia="黑体" w:cs="黑体"/>
          <w:b/>
          <w:sz w:val="32"/>
          <w:szCs w:val="32"/>
        </w:rPr>
        <w:t xml:space="preserve">第十二条 </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ascii="仿宋_GB2312" w:hAnsi="宋体" w:eastAsia="仿宋_GB2312" w:cs="宋体"/>
          <w:sz w:val="32"/>
          <w:szCs w:val="32"/>
        </w:rPr>
        <w:t>未达到罗湖区集中采购限额标准</w:t>
      </w:r>
      <w:r>
        <w:rPr>
          <w:rFonts w:hint="eastAsia" w:ascii="仿宋_GB2312" w:hAnsi="宋体" w:eastAsia="仿宋_GB2312" w:cs="宋体"/>
          <w:sz w:val="32"/>
          <w:szCs w:val="32"/>
        </w:rPr>
        <w:t>的小额建设工程，在预选企业库内有符合资质要求组别的，可在预选企业组别有效期内提出申请使用,区招投标中心应当提供使用平台</w:t>
      </w:r>
      <w:r>
        <w:rPr>
          <w:rFonts w:ascii="仿宋_GB2312" w:hAnsi="宋体" w:eastAsia="仿宋_GB2312" w:cs="宋体"/>
          <w:sz w:val="32"/>
          <w:szCs w:val="32"/>
        </w:rPr>
        <w:t>。</w:t>
      </w:r>
    </w:p>
    <w:p>
      <w:pPr>
        <w:spacing w:line="360" w:lineRule="auto"/>
        <w:ind w:firstLine="642" w:firstLineChars="200"/>
        <w:jc w:val="left"/>
        <w:rPr>
          <w:rFonts w:ascii="仿宋_GB2312" w:eastAsia="仿宋_GB2312"/>
          <w:sz w:val="32"/>
          <w:szCs w:val="32"/>
        </w:rPr>
      </w:pPr>
      <w:r>
        <w:rPr>
          <w:rFonts w:hint="eastAsia" w:ascii="黑体" w:hAnsi="黑体" w:eastAsia="黑体" w:cs="黑体"/>
          <w:b/>
          <w:sz w:val="32"/>
          <w:szCs w:val="32"/>
        </w:rPr>
        <w:t xml:space="preserve">第十三条 </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宋体" w:eastAsia="仿宋_GB2312" w:cs="宋体"/>
          <w:sz w:val="32"/>
          <w:szCs w:val="32"/>
        </w:rPr>
        <w:t>预选企业有效期均不超过2年，有效期满即失效，</w:t>
      </w:r>
      <w:r>
        <w:rPr>
          <w:rFonts w:hint="eastAsia" w:ascii="仿宋_GB2312" w:eastAsia="仿宋_GB2312"/>
          <w:sz w:val="32"/>
          <w:szCs w:val="32"/>
        </w:rPr>
        <w:t>建设单位不得以任何形式将区预选企业库相应预选企业的有效期延长，不得擅自在区预选企业库基础上建库中库，包括在区预选库里抽取部分承包商建立超出有效期的库中库等。各单位自建的同类别预选库应停止使用。</w:t>
      </w:r>
    </w:p>
    <w:p>
      <w:pPr>
        <w:ind w:firstLine="645"/>
        <w:jc w:val="center"/>
        <w:rPr>
          <w:rFonts w:ascii="仿宋" w:hAnsi="仿宋" w:eastAsia="仿宋"/>
          <w:sz w:val="32"/>
          <w:szCs w:val="32"/>
        </w:rPr>
      </w:pPr>
    </w:p>
    <w:p>
      <w:pPr>
        <w:adjustRightInd w:val="0"/>
        <w:snapToGrid w:val="0"/>
        <w:spacing w:line="579" w:lineRule="exact"/>
        <w:jc w:val="center"/>
        <w:rPr>
          <w:rFonts w:ascii="黑体" w:hAnsi="黑体" w:eastAsia="黑体" w:cs="黑体"/>
          <w:b/>
          <w:sz w:val="32"/>
          <w:szCs w:val="32"/>
        </w:rPr>
      </w:pPr>
      <w:r>
        <w:rPr>
          <w:rFonts w:hint="eastAsia" w:ascii="黑体" w:hAnsi="黑体" w:eastAsia="黑体" w:cs="黑体"/>
          <w:b/>
          <w:sz w:val="32"/>
          <w:szCs w:val="32"/>
        </w:rPr>
        <w:t>第三章  预选企业库的管理和监督</w:t>
      </w:r>
    </w:p>
    <w:p>
      <w:pPr>
        <w:adjustRightInd w:val="0"/>
        <w:snapToGrid w:val="0"/>
        <w:spacing w:line="579" w:lineRule="exact"/>
        <w:jc w:val="center"/>
        <w:rPr>
          <w:rFonts w:ascii="仿宋" w:hAnsi="仿宋" w:eastAsia="仿宋" w:cs="Times New Roman"/>
          <w:sz w:val="32"/>
          <w:szCs w:val="32"/>
        </w:rPr>
      </w:pPr>
    </w:p>
    <w:p>
      <w:pPr>
        <w:rPr>
          <w:rFonts w:ascii="仿宋_GB2312" w:hAnsi="仿宋_GB2312" w:eastAsia="仿宋_GB2312" w:cs="仿宋_GB2312"/>
          <w:sz w:val="32"/>
          <w:szCs w:val="32"/>
        </w:rPr>
      </w:pPr>
      <w:r>
        <w:rPr>
          <w:rFonts w:hint="eastAsia" w:ascii="仿宋" w:hAnsi="仿宋" w:eastAsia="仿宋"/>
          <w:b/>
          <w:sz w:val="32"/>
          <w:szCs w:val="32"/>
        </w:rPr>
        <w:t>　</w:t>
      </w:r>
      <w:r>
        <w:rPr>
          <w:rFonts w:hint="eastAsia" w:ascii="仿宋" w:hAnsi="仿宋" w:eastAsia="仿宋" w:cs="Times New Roman"/>
          <w:b/>
          <w:sz w:val="32"/>
          <w:szCs w:val="32"/>
        </w:rPr>
        <w:t>　</w:t>
      </w:r>
      <w:r>
        <w:rPr>
          <w:rFonts w:hint="eastAsia" w:ascii="黑体" w:hAnsi="黑体" w:eastAsia="黑体" w:cs="黑体"/>
          <w:b/>
          <w:sz w:val="32"/>
          <w:szCs w:val="32"/>
        </w:rPr>
        <w:t>第十四条</w:t>
      </w:r>
      <w:r>
        <w:rPr>
          <w:rFonts w:hint="eastAsia" w:ascii="仿宋" w:hAnsi="仿宋" w:eastAsia="仿宋" w:cs="Times New Roman"/>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加入区预选企业库的企业应履行下列义务：</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（一）遵守国家法律、法规和政策，遵守社会公德，自觉维护建筑市场秩序；</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（二）按照规定的程序和要求认真负责地参与政府投资建设工程的投标竞争；</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（三）遵守诚实信用原则，认真履行合同，积极推动工程保质保量按期完工，积极配合建设单位完成工程结算、决算等后续工作；</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（四）不参与串通投标、围标、转包、挂靠等违法行为，不以行贿、受贿等非法手段谋取利益。</w:t>
      </w:r>
    </w:p>
    <w:p>
      <w:pPr>
        <w:rPr>
          <w:rFonts w:ascii="仿宋_GB2312" w:hAnsi="仿宋_GB2312" w:eastAsia="仿宋_GB2312" w:cs="仿宋_GB2312"/>
          <w:sz w:val="32"/>
          <w:szCs w:val="32"/>
        </w:rPr>
      </w:pPr>
      <w:r>
        <w:rPr>
          <w:rFonts w:hint="eastAsia" w:ascii="仿宋" w:hAnsi="仿宋" w:eastAsia="仿宋" w:cs="Times New Roman"/>
          <w:b/>
          <w:sz w:val="32"/>
          <w:szCs w:val="32"/>
        </w:rPr>
        <w:t>　</w:t>
      </w:r>
      <w:r>
        <w:rPr>
          <w:rFonts w:hint="eastAsia" w:ascii="黑体" w:hAnsi="黑体" w:eastAsia="黑体" w:cs="黑体"/>
          <w:b/>
          <w:sz w:val="32"/>
          <w:szCs w:val="32"/>
        </w:rPr>
        <w:t>　第十五条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凡有下列情形之一的，取消预选企业资格，且不得进入下一期预选企业：</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（一）因拖欠3人以上工人工资被投诉至建设单位或有关行政主管部门，并被查证属实的；</w:t>
      </w:r>
    </w:p>
    <w:p>
      <w:pPr>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（二）因拖欠分包商工程款被有关行政主管部门通报的；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（三）有行贿、受贿、串通投标、转包、违法分包、挂靠或暴力抗法等行为，被依法处罚的；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（四）承接违法建筑的相关业务并经查实的；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（五）在罗湖区承接的项目不履行企业义务的；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（六）无正当理由不履行或不按期履行承包合同的；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（七）拒绝参加有关行政主管部门组织的地面塌陷、危险边坡等抢险救灾工程或不服从抢险救灾工程建设单位指挥、未在规定时间内到达现场或未在规定时间内有效开展工作的；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（八）企业因罗湖辖区内的项目被市、区建设部门处以行政处罚的；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（九）被建设主管部门暂停投标资格的；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（十）投标、成果文件、工程结算或竣工财务结算等提交的有关资料弄虚作假的，或送审工程造价超过工程结算价25%的；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（十一）有效期内，在获得中标资格后，不认真履行企业义务，不积极配合建设单位开展工作，被建设单位履约评价为“差”达到1次或“一般”达到2次的;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（十二）因非不可抗力原因，不履行合同相关约定，不配合建设单位按时完成工程竣工结算的;</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（十三）无正当理由拒绝签订合同达到2次及以上的；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（十四）发生一般性以上工程质量和安全事故，受到行政主管部门处罚的；</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（十五）经通知到位，无正当理由不参加预选企业库投标达到2次及以上的。</w:t>
      </w:r>
    </w:p>
    <w:p>
      <w:pPr>
        <w:ind w:firstLine="642" w:firstLineChars="200"/>
        <w:rPr>
          <w:rFonts w:ascii="仿宋_GB2312" w:hAnsi="仿宋_GB2312" w:eastAsia="仿宋_GB2312" w:cs="仿宋_GB2312"/>
          <w:sz w:val="32"/>
          <w:szCs w:val="32"/>
        </w:rPr>
      </w:pPr>
      <w:r>
        <w:rPr>
          <w:rFonts w:hint="eastAsia" w:ascii="黑体" w:hAnsi="黑体" w:eastAsia="黑体" w:cs="黑体"/>
          <w:b/>
          <w:sz w:val="32"/>
          <w:szCs w:val="32"/>
        </w:rPr>
        <w:t>第十六条</w:t>
      </w:r>
      <w:r>
        <w:rPr>
          <w:rFonts w:hint="eastAsia" w:ascii="黑体" w:hAnsi="黑体" w:eastAsia="黑体" w:cs="黑体"/>
          <w:sz w:val="32"/>
          <w:szCs w:val="32"/>
        </w:rPr>
        <w:t xml:space="preserve"> </w:t>
      </w:r>
      <w:r>
        <w:rPr>
          <w:rFonts w:hint="eastAsia" w:ascii="仿宋" w:hAnsi="仿宋" w:eastAsia="仿宋"/>
          <w:sz w:val="32"/>
          <w:szCs w:val="32"/>
        </w:rPr>
        <w:t xml:space="preserve"> </w:t>
      </w:r>
      <w:r>
        <w:rPr>
          <w:rFonts w:hint="eastAsia" w:ascii="仿宋_GB2312" w:hAnsi="仿宋_GB2312" w:eastAsia="仿宋_GB2312" w:cs="仿宋_GB2312"/>
          <w:sz w:val="32"/>
          <w:szCs w:val="32"/>
        </w:rPr>
        <w:t>预选企业有不履行义务、违反相关建设工程法律法规等行为的，招标人应及时向区建设部门报告，由区建设部门根据相关法律法规及本办法规定进行处理。建设单位应公正地向区建设部门和区招投标中心提交所有参与该工程建设市场主体的履约评价，作为后续监管及下一批预选企业招标的依据之一。</w:t>
      </w:r>
      <w:r>
        <w:rPr>
          <w:rFonts w:hint="eastAsia" w:ascii="仿宋_GB2312" w:hAnsi="仿宋" w:eastAsia="仿宋_GB2312"/>
          <w:sz w:val="32"/>
          <w:szCs w:val="32"/>
        </w:rPr>
        <w:t>建设单位一般情况下应当</w:t>
      </w:r>
      <w:r>
        <w:rPr>
          <w:rFonts w:hint="eastAsia" w:ascii="仿宋_GB2312" w:hAnsi="仿宋_GB2312" w:eastAsia="仿宋_GB2312" w:cs="仿宋_GB2312"/>
          <w:sz w:val="32"/>
          <w:szCs w:val="32"/>
        </w:rPr>
        <w:t>在项目结束并完成工程竣工财务决算后10个工作日内作出履约评价，在项目结束前招标人有充足理由认为评价结果为不合格的，可以在项目实施过程中进行履约评价。</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预选企业不承接项目累计达到两次及以上的由区招投标中心核实，核实情况经招标人确认后报区建设部门。</w:t>
      </w:r>
    </w:p>
    <w:p>
      <w:pPr>
        <w:rPr>
          <w:rFonts w:ascii="仿宋" w:hAnsi="仿宋" w:eastAsia="仿宋"/>
          <w:sz w:val="32"/>
          <w:szCs w:val="32"/>
        </w:rPr>
      </w:pPr>
      <w:r>
        <w:rPr>
          <w:rFonts w:hint="eastAsia" w:ascii="黑体" w:hAnsi="黑体" w:eastAsia="黑体" w:cs="黑体"/>
          <w:sz w:val="32"/>
          <w:szCs w:val="32"/>
        </w:rPr>
        <w:t>　　</w:t>
      </w:r>
      <w:r>
        <w:rPr>
          <w:rFonts w:hint="eastAsia" w:ascii="黑体" w:hAnsi="黑体" w:eastAsia="黑体" w:cs="黑体"/>
          <w:b/>
          <w:sz w:val="32"/>
          <w:szCs w:val="32"/>
        </w:rPr>
        <w:t>第十七条</w:t>
      </w:r>
      <w:r>
        <w:rPr>
          <w:rFonts w:hint="eastAsia" w:ascii="黑体" w:hAnsi="黑体" w:eastAsia="黑体" w:cs="黑体"/>
          <w:sz w:val="32"/>
          <w:szCs w:val="32"/>
        </w:rPr>
        <w:t xml:space="preserve"> </w:t>
      </w:r>
      <w:r>
        <w:rPr>
          <w:rFonts w:hint="eastAsia" w:ascii="仿宋" w:hAnsi="仿宋" w:eastAsia="仿宋" w:cs="Times New Roman"/>
          <w:sz w:val="32"/>
          <w:szCs w:val="32"/>
        </w:rPr>
        <w:t xml:space="preserve"> </w:t>
      </w:r>
      <w:r>
        <w:rPr>
          <w:rFonts w:hint="eastAsia" w:ascii="仿宋_GB2312" w:hAnsi="仿宋_GB2312" w:eastAsia="仿宋_GB2312" w:cs="仿宋_GB2312"/>
          <w:sz w:val="32"/>
          <w:szCs w:val="32"/>
        </w:rPr>
        <w:t>区建设部门对企业的履约情况进行抽查，抽查内容包括工程质量、安全及合同执行情况等，发现问题的，将根据相关法律法规及本规定进行处理。</w:t>
      </w:r>
    </w:p>
    <w:p>
      <w:pPr>
        <w:rPr>
          <w:rFonts w:ascii="仿宋" w:hAnsi="仿宋" w:eastAsia="仿宋"/>
          <w:sz w:val="32"/>
          <w:szCs w:val="32"/>
        </w:rPr>
      </w:pPr>
      <w:r>
        <w:rPr>
          <w:rFonts w:hint="eastAsia" w:ascii="仿宋" w:hAnsi="仿宋" w:eastAsia="仿宋"/>
          <w:sz w:val="32"/>
          <w:szCs w:val="32"/>
        </w:rPr>
        <w:t>　</w:t>
      </w:r>
      <w:r>
        <w:rPr>
          <w:rFonts w:hint="eastAsia" w:ascii="黑体" w:hAnsi="黑体" w:eastAsia="黑体" w:cs="黑体"/>
          <w:sz w:val="32"/>
          <w:szCs w:val="32"/>
        </w:rPr>
        <w:t>　</w:t>
      </w:r>
      <w:r>
        <w:rPr>
          <w:rFonts w:hint="eastAsia" w:ascii="黑体" w:hAnsi="黑体" w:eastAsia="黑体" w:cs="黑体"/>
          <w:b/>
          <w:sz w:val="32"/>
          <w:szCs w:val="32"/>
        </w:rPr>
        <w:t>第十八条</w:t>
      </w:r>
      <w:r>
        <w:rPr>
          <w:rFonts w:hint="eastAsia" w:ascii="仿宋" w:hAnsi="仿宋" w:eastAsia="仿宋" w:cs="Times New Roman"/>
          <w:sz w:val="32"/>
          <w:szCs w:val="32"/>
        </w:rPr>
        <w:t xml:space="preserve">  </w:t>
      </w:r>
      <w:r>
        <w:rPr>
          <w:rFonts w:hint="eastAsia" w:ascii="仿宋_GB2312" w:hAnsi="仿宋_GB2312" w:eastAsia="仿宋_GB2312" w:cs="仿宋_GB2312"/>
          <w:sz w:val="32"/>
          <w:szCs w:val="32"/>
        </w:rPr>
        <w:t>因违反相关法律法规及本办法规定而被取消预选企业资格的预选企业数量超过相应组别的20%时，按照本办法规定补充相应组别预选企业数量，新补充入库的预选企业有效期的失效日与该预选企业库组别一致。</w:t>
      </w:r>
    </w:p>
    <w:p>
      <w:pPr>
        <w:jc w:val="center"/>
        <w:rPr>
          <w:rFonts w:ascii="仿宋" w:hAnsi="仿宋" w:eastAsia="仿宋"/>
          <w:sz w:val="32"/>
          <w:szCs w:val="32"/>
        </w:rPr>
      </w:pPr>
    </w:p>
    <w:p>
      <w:pPr>
        <w:adjustRightInd w:val="0"/>
        <w:snapToGrid w:val="0"/>
        <w:spacing w:line="579" w:lineRule="exact"/>
        <w:jc w:val="center"/>
        <w:rPr>
          <w:rFonts w:ascii="黑体" w:hAnsi="黑体" w:eastAsia="黑体" w:cs="黑体"/>
          <w:b/>
          <w:sz w:val="32"/>
          <w:szCs w:val="32"/>
        </w:rPr>
      </w:pPr>
      <w:r>
        <w:rPr>
          <w:rFonts w:hint="eastAsia" w:ascii="黑体" w:hAnsi="黑体" w:eastAsia="黑体" w:cs="黑体"/>
          <w:b/>
          <w:sz w:val="32"/>
          <w:szCs w:val="32"/>
        </w:rPr>
        <w:t>第五章  附则</w:t>
      </w:r>
    </w:p>
    <w:p>
      <w:pPr>
        <w:adjustRightInd w:val="0"/>
        <w:snapToGrid w:val="0"/>
        <w:spacing w:line="579" w:lineRule="exact"/>
        <w:jc w:val="center"/>
        <w:rPr>
          <w:rFonts w:ascii="仿宋" w:hAnsi="仿宋" w:eastAsia="仿宋" w:cs="Times New Roman"/>
          <w:sz w:val="32"/>
          <w:szCs w:val="32"/>
        </w:rPr>
      </w:pPr>
    </w:p>
    <w:p>
      <w:pPr>
        <w:ind w:firstLine="642" w:firstLineChars="200"/>
        <w:rPr>
          <w:rFonts w:ascii="仿宋" w:hAnsi="仿宋" w:eastAsia="仿宋" w:cs="Helvetica"/>
          <w:sz w:val="32"/>
          <w:szCs w:val="32"/>
        </w:rPr>
      </w:pPr>
      <w:r>
        <w:rPr>
          <w:rFonts w:hint="eastAsia" w:ascii="黑体" w:hAnsi="黑体" w:eastAsia="黑体" w:cs="黑体"/>
          <w:b/>
          <w:sz w:val="32"/>
          <w:szCs w:val="32"/>
        </w:rPr>
        <w:t xml:space="preserve">第十九条 </w:t>
      </w:r>
      <w:r>
        <w:rPr>
          <w:rFonts w:hint="eastAsia" w:ascii="仿宋" w:hAnsi="仿宋" w:eastAsia="仿宋"/>
          <w:sz w:val="32"/>
          <w:szCs w:val="32"/>
        </w:rPr>
        <w:t xml:space="preserve"> </w:t>
      </w:r>
      <w:r>
        <w:rPr>
          <w:rFonts w:hint="eastAsia" w:ascii="仿宋_GB2312" w:hAnsi="仿宋_GB2312" w:eastAsia="仿宋_GB2312" w:cs="仿宋_GB2312"/>
          <w:sz w:val="32"/>
          <w:szCs w:val="32"/>
        </w:rPr>
        <w:t>本办法由深圳市罗湖区住房和建设局负责解释。</w:t>
      </w:r>
    </w:p>
    <w:p>
      <w:pPr>
        <w:ind w:firstLine="642" w:firstLineChars="200"/>
        <w:rPr>
          <w:rFonts w:ascii="仿宋" w:hAnsi="仿宋" w:eastAsia="仿宋"/>
          <w:sz w:val="32"/>
          <w:szCs w:val="32"/>
        </w:rPr>
      </w:pPr>
      <w:r>
        <w:rPr>
          <w:rFonts w:hint="eastAsia" w:ascii="黑体" w:hAnsi="黑体" w:eastAsia="黑体" w:cs="黑体"/>
          <w:b/>
          <w:sz w:val="32"/>
          <w:szCs w:val="32"/>
        </w:rPr>
        <w:t>第二十条</w:t>
      </w:r>
      <w:r>
        <w:rPr>
          <w:rFonts w:hint="eastAsia" w:ascii="黑体" w:hAnsi="黑体" w:eastAsia="黑体" w:cs="黑体"/>
          <w:sz w:val="32"/>
          <w:szCs w:val="32"/>
        </w:rPr>
        <w:t xml:space="preserve"> </w:t>
      </w:r>
      <w:r>
        <w:rPr>
          <w:rFonts w:hint="eastAsia" w:ascii="仿宋" w:hAnsi="仿宋" w:eastAsia="仿宋" w:cs="Times New Roman"/>
          <w:sz w:val="32"/>
          <w:szCs w:val="32"/>
        </w:rPr>
        <w:t xml:space="preserve"> </w:t>
      </w:r>
      <w:r>
        <w:rPr>
          <w:rFonts w:hint="eastAsia" w:ascii="仿宋_GB2312" w:hAnsi="仿宋_GB2312" w:eastAsia="仿宋_GB2312" w:cs="仿宋_GB2312"/>
          <w:sz w:val="32"/>
          <w:szCs w:val="32"/>
        </w:rPr>
        <w:t>本办法自2017年3月1日起实施，有效期两年。《深圳市罗湖区政府投资小额建设工程预选承包商管理规定（试行）》（罗府办[2015]7号）、《罗湖区政府投资小额建设工程预选承包商库使用办法（暂行）》（罗住建[2014]273号）同时废止。</w:t>
      </w:r>
    </w:p>
    <w:p>
      <w:pPr>
        <w:rPr>
          <w:rFonts w:ascii="仿宋" w:hAnsi="仿宋" w:eastAsia="仿宋"/>
          <w:sz w:val="32"/>
          <w:szCs w:val="32"/>
        </w:rPr>
      </w:pPr>
    </w:p>
    <w:p>
      <w:pPr>
        <w:ind w:firstLine="630"/>
        <w:rPr>
          <w:rFonts w:ascii="仿宋_GB2312" w:hAnsi="仿宋_GB2312" w:eastAsia="仿宋_GB2312" w:cs="仿宋_GB2312"/>
          <w:sz w:val="32"/>
          <w:szCs w:val="32"/>
        </w:rPr>
      </w:pPr>
      <w:r>
        <w:rPr>
          <w:rFonts w:hint="eastAsia" w:ascii="仿宋_GB2312" w:hAnsi="仿宋_GB2312" w:eastAsia="仿宋_GB2312" w:cs="仿宋_GB2312"/>
          <w:sz w:val="32"/>
          <w:szCs w:val="32"/>
        </w:rPr>
        <w:t>附件：区政府投资建设工程招标信息采集表</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p>
    <w:p>
      <w:pPr>
        <w:adjustRightInd w:val="0"/>
        <w:snapToGrid w:val="0"/>
        <w:jc w:val="left"/>
        <w:rPr>
          <w:rFonts w:ascii="黑体" w:eastAsia="黑体"/>
          <w:bCs/>
          <w:spacing w:val="20"/>
          <w:sz w:val="30"/>
          <w:szCs w:val="30"/>
        </w:rPr>
      </w:pPr>
      <w:bookmarkStart w:id="0" w:name="_GoBack"/>
      <w:bookmarkEnd w:id="0"/>
    </w:p>
    <w:p>
      <w:pPr>
        <w:adjustRightInd w:val="0"/>
        <w:snapToGrid w:val="0"/>
        <w:jc w:val="left"/>
        <w:rPr>
          <w:rFonts w:ascii="黑体" w:eastAsia="黑体"/>
          <w:bCs/>
          <w:spacing w:val="20"/>
          <w:sz w:val="30"/>
          <w:szCs w:val="30"/>
        </w:rPr>
      </w:pPr>
      <w:r>
        <w:rPr>
          <w:rFonts w:hint="eastAsia" w:ascii="黑体" w:eastAsia="黑体"/>
          <w:bCs/>
          <w:spacing w:val="20"/>
          <w:sz w:val="30"/>
          <w:szCs w:val="30"/>
        </w:rPr>
        <w:t>附件1</w:t>
      </w:r>
    </w:p>
    <w:p>
      <w:pPr>
        <w:adjustRightInd w:val="0"/>
        <w:snapToGrid w:val="0"/>
        <w:spacing w:afterLines="50"/>
        <w:jc w:val="center"/>
        <w:rPr>
          <w:rFonts w:ascii="黑体" w:eastAsia="黑体"/>
          <w:b/>
          <w:bCs/>
          <w:spacing w:val="24"/>
          <w:sz w:val="36"/>
          <w:szCs w:val="36"/>
        </w:rPr>
      </w:pPr>
      <w:r>
        <w:rPr>
          <w:rFonts w:hint="eastAsia" w:ascii="黑体" w:eastAsia="黑体"/>
          <w:b/>
          <w:bCs/>
          <w:spacing w:val="24"/>
          <w:sz w:val="36"/>
          <w:szCs w:val="36"/>
        </w:rPr>
        <w:t>区政府投资建设工程招标信息采集表</w:t>
      </w:r>
    </w:p>
    <w:tbl>
      <w:tblPr>
        <w:tblStyle w:val="4"/>
        <w:tblW w:w="972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
        <w:gridCol w:w="1080"/>
        <w:gridCol w:w="2160"/>
        <w:gridCol w:w="720"/>
        <w:gridCol w:w="31"/>
        <w:gridCol w:w="1889"/>
        <w:gridCol w:w="237"/>
        <w:gridCol w:w="1083"/>
        <w:gridCol w:w="2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项目名称</w:t>
            </w:r>
          </w:p>
        </w:tc>
        <w:tc>
          <w:tcPr>
            <w:tcW w:w="8160" w:type="dxa"/>
            <w:gridSpan w:val="7"/>
            <w:shd w:val="clear" w:color="auto" w:fill="auto"/>
            <w:vAlign w:val="center"/>
          </w:tcPr>
          <w:p>
            <w:pPr>
              <w:adjustRightInd w:val="0"/>
              <w:snapToGrid w:val="0"/>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招标工程名称</w:t>
            </w:r>
          </w:p>
        </w:tc>
        <w:tc>
          <w:tcPr>
            <w:tcW w:w="8160" w:type="dxa"/>
            <w:gridSpan w:val="7"/>
            <w:shd w:val="clear" w:color="auto" w:fill="auto"/>
            <w:vAlign w:val="center"/>
          </w:tcPr>
          <w:p>
            <w:pPr>
              <w:adjustRightInd w:val="0"/>
              <w:snapToGrid w:val="0"/>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招标工程编号</w:t>
            </w:r>
          </w:p>
        </w:tc>
        <w:tc>
          <w:tcPr>
            <w:tcW w:w="8160" w:type="dxa"/>
            <w:gridSpan w:val="7"/>
            <w:shd w:val="clear" w:color="auto" w:fill="auto"/>
            <w:vAlign w:val="center"/>
          </w:tcPr>
          <w:p>
            <w:pPr>
              <w:adjustRightInd w:val="0"/>
              <w:snapToGrid w:val="0"/>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80" w:type="dxa"/>
            <w:vMerge w:val="restart"/>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招标人</w:t>
            </w:r>
          </w:p>
        </w:tc>
        <w:tc>
          <w:tcPr>
            <w:tcW w:w="1080" w:type="dxa"/>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单位名称</w:t>
            </w:r>
          </w:p>
        </w:tc>
        <w:tc>
          <w:tcPr>
            <w:tcW w:w="4800" w:type="dxa"/>
            <w:gridSpan w:val="4"/>
            <w:shd w:val="clear" w:color="auto" w:fill="auto"/>
            <w:vAlign w:val="center"/>
          </w:tcPr>
          <w:p>
            <w:pPr>
              <w:pStyle w:val="10"/>
              <w:adjustRightInd w:val="0"/>
              <w:snapToGrid w:val="0"/>
              <w:jc w:val="right"/>
              <w:rPr>
                <w:rFonts w:ascii="楷体_GB2312" w:hAnsi="宋体" w:eastAsia="楷体_GB2312"/>
                <w:b/>
                <w:sz w:val="21"/>
                <w:szCs w:val="21"/>
              </w:rPr>
            </w:pPr>
            <w:r>
              <w:rPr>
                <w:rFonts w:hint="eastAsia" w:ascii="楷体_GB2312" w:hAnsi="宋体" w:eastAsia="楷体_GB2312"/>
                <w:b/>
                <w:sz w:val="21"/>
                <w:szCs w:val="21"/>
              </w:rPr>
              <w:t>（公章）</w:t>
            </w:r>
          </w:p>
        </w:tc>
        <w:tc>
          <w:tcPr>
            <w:tcW w:w="1320" w:type="dxa"/>
            <w:gridSpan w:val="2"/>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法定代表人</w:t>
            </w:r>
          </w:p>
        </w:tc>
        <w:tc>
          <w:tcPr>
            <w:tcW w:w="2040" w:type="dxa"/>
            <w:shd w:val="clear" w:color="auto" w:fill="auto"/>
            <w:vAlign w:val="center"/>
          </w:tcPr>
          <w:p>
            <w:pPr>
              <w:pStyle w:val="10"/>
              <w:adjustRightInd w:val="0"/>
              <w:snapToGrid w:val="0"/>
              <w:jc w:val="both"/>
              <w:rPr>
                <w:rFonts w:hAnsi="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80" w:type="dxa"/>
            <w:vMerge w:val="continue"/>
            <w:shd w:val="clear" w:color="auto" w:fill="auto"/>
            <w:vAlign w:val="center"/>
          </w:tcPr>
          <w:p>
            <w:pPr>
              <w:pStyle w:val="10"/>
              <w:adjustRightInd w:val="0"/>
              <w:snapToGrid w:val="0"/>
              <w:rPr>
                <w:rFonts w:hAnsi="宋体" w:cs="宋体"/>
                <w:b/>
                <w:sz w:val="21"/>
                <w:szCs w:val="21"/>
              </w:rPr>
            </w:pPr>
          </w:p>
        </w:tc>
        <w:tc>
          <w:tcPr>
            <w:tcW w:w="1080" w:type="dxa"/>
            <w:shd w:val="clear" w:color="auto" w:fill="auto"/>
            <w:vAlign w:val="center"/>
          </w:tcPr>
          <w:p>
            <w:pPr>
              <w:pStyle w:val="10"/>
              <w:adjustRightInd w:val="0"/>
              <w:snapToGrid w:val="0"/>
              <w:rPr>
                <w:rFonts w:hAnsi="宋体" w:cs="宋体"/>
                <w:b/>
                <w:sz w:val="21"/>
                <w:szCs w:val="21"/>
              </w:rPr>
            </w:pPr>
            <w:r>
              <w:rPr>
                <w:rFonts w:hint="eastAsia" w:hAnsi="宋体" w:cs="宋体"/>
                <w:b/>
                <w:sz w:val="21"/>
                <w:szCs w:val="21"/>
              </w:rPr>
              <w:t>联 系 人</w:t>
            </w:r>
          </w:p>
        </w:tc>
        <w:tc>
          <w:tcPr>
            <w:tcW w:w="2160" w:type="dxa"/>
            <w:shd w:val="clear" w:color="auto" w:fill="auto"/>
            <w:vAlign w:val="center"/>
          </w:tcPr>
          <w:p>
            <w:pPr>
              <w:pStyle w:val="10"/>
              <w:adjustRightInd w:val="0"/>
              <w:snapToGrid w:val="0"/>
              <w:jc w:val="both"/>
              <w:rPr>
                <w:rFonts w:ascii="楷体_GB2312" w:hAnsi="宋体" w:eastAsia="楷体_GB2312"/>
                <w:sz w:val="21"/>
                <w:szCs w:val="21"/>
              </w:rPr>
            </w:pPr>
          </w:p>
        </w:tc>
        <w:tc>
          <w:tcPr>
            <w:tcW w:w="720" w:type="dxa"/>
            <w:shd w:val="clear" w:color="auto" w:fill="auto"/>
            <w:vAlign w:val="center"/>
          </w:tcPr>
          <w:p>
            <w:pPr>
              <w:pStyle w:val="10"/>
              <w:adjustRightInd w:val="0"/>
              <w:snapToGrid w:val="0"/>
              <w:rPr>
                <w:rFonts w:ascii="楷体_GB2312" w:hAnsi="宋体" w:eastAsia="楷体_GB2312"/>
                <w:sz w:val="21"/>
                <w:szCs w:val="21"/>
              </w:rPr>
            </w:pPr>
            <w:r>
              <w:rPr>
                <w:rFonts w:hint="eastAsia" w:hAnsi="宋体"/>
                <w:b/>
                <w:sz w:val="21"/>
                <w:szCs w:val="21"/>
              </w:rPr>
              <w:t>手机</w:t>
            </w:r>
          </w:p>
        </w:tc>
        <w:tc>
          <w:tcPr>
            <w:tcW w:w="1920" w:type="dxa"/>
            <w:gridSpan w:val="2"/>
            <w:shd w:val="clear" w:color="auto" w:fill="auto"/>
            <w:vAlign w:val="center"/>
          </w:tcPr>
          <w:p>
            <w:pPr>
              <w:pStyle w:val="10"/>
              <w:adjustRightInd w:val="0"/>
              <w:snapToGrid w:val="0"/>
              <w:jc w:val="both"/>
              <w:rPr>
                <w:rFonts w:ascii="楷体_GB2312" w:hAnsi="宋体" w:eastAsia="楷体_GB2312"/>
                <w:sz w:val="21"/>
                <w:szCs w:val="21"/>
              </w:rPr>
            </w:pPr>
          </w:p>
        </w:tc>
        <w:tc>
          <w:tcPr>
            <w:tcW w:w="1320" w:type="dxa"/>
            <w:gridSpan w:val="2"/>
            <w:shd w:val="clear" w:color="auto" w:fill="auto"/>
            <w:vAlign w:val="center"/>
          </w:tcPr>
          <w:p>
            <w:pPr>
              <w:pStyle w:val="10"/>
              <w:adjustRightInd w:val="0"/>
              <w:snapToGrid w:val="0"/>
              <w:rPr>
                <w:rFonts w:ascii="黑体" w:hAnsi="黑体" w:eastAsia="黑体" w:cs="黑体"/>
                <w:b/>
                <w:sz w:val="21"/>
                <w:szCs w:val="21"/>
              </w:rPr>
            </w:pPr>
            <w:r>
              <w:rPr>
                <w:rFonts w:hint="eastAsia" w:hAnsi="宋体" w:cs="宋体"/>
                <w:b/>
                <w:sz w:val="21"/>
                <w:szCs w:val="21"/>
              </w:rPr>
              <w:t>固定电话</w:t>
            </w:r>
          </w:p>
        </w:tc>
        <w:tc>
          <w:tcPr>
            <w:tcW w:w="2040" w:type="dxa"/>
            <w:shd w:val="clear" w:color="auto" w:fill="auto"/>
            <w:vAlign w:val="center"/>
          </w:tcPr>
          <w:p>
            <w:pPr>
              <w:pStyle w:val="10"/>
              <w:adjustRightInd w:val="0"/>
              <w:snapToGrid w:val="0"/>
              <w:jc w:val="both"/>
              <w:rPr>
                <w:rFonts w:ascii="楷体_GB2312" w:hAnsi="宋体" w:eastAsia="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工程地址</w:t>
            </w:r>
          </w:p>
        </w:tc>
        <w:tc>
          <w:tcPr>
            <w:tcW w:w="8160" w:type="dxa"/>
            <w:gridSpan w:val="7"/>
            <w:shd w:val="clear" w:color="auto" w:fill="auto"/>
            <w:vAlign w:val="center"/>
          </w:tcPr>
          <w:p>
            <w:pPr>
              <w:adjustRightInd w:val="0"/>
              <w:snapToGrid w:val="0"/>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gridSpan w:val="2"/>
            <w:shd w:val="clear" w:color="auto" w:fill="auto"/>
            <w:vAlign w:val="center"/>
          </w:tcPr>
          <w:p>
            <w:pPr>
              <w:pStyle w:val="10"/>
              <w:adjustRightInd w:val="0"/>
              <w:snapToGrid w:val="0"/>
              <w:spacing w:beforeLines="50"/>
              <w:rPr>
                <w:rFonts w:hAnsi="宋体"/>
                <w:b/>
                <w:sz w:val="21"/>
                <w:szCs w:val="21"/>
              </w:rPr>
            </w:pPr>
            <w:r>
              <w:rPr>
                <w:rFonts w:hint="eastAsia" w:hAnsi="宋体"/>
                <w:b/>
                <w:sz w:val="21"/>
                <w:szCs w:val="21"/>
              </w:rPr>
              <w:br w:type="page"/>
            </w:r>
            <w:r>
              <w:rPr>
                <w:rFonts w:hint="eastAsia" w:hAnsi="宋体"/>
                <w:b/>
                <w:sz w:val="21"/>
                <w:szCs w:val="21"/>
              </w:rPr>
              <w:br w:type="page"/>
            </w:r>
            <w:r>
              <w:rPr>
                <w:rFonts w:hint="eastAsia" w:hAnsi="宋体"/>
                <w:b/>
                <w:sz w:val="21"/>
                <w:szCs w:val="21"/>
              </w:rPr>
              <w:br w:type="page"/>
            </w:r>
            <w:r>
              <w:rPr>
                <w:rFonts w:hint="eastAsia" w:hAnsi="宋体"/>
                <w:b/>
                <w:sz w:val="21"/>
                <w:szCs w:val="21"/>
              </w:rPr>
              <w:t>工程类型</w:t>
            </w:r>
          </w:p>
        </w:tc>
        <w:tc>
          <w:tcPr>
            <w:tcW w:w="8160" w:type="dxa"/>
            <w:gridSpan w:val="7"/>
            <w:shd w:val="clear" w:color="auto" w:fill="auto"/>
            <w:vAlign w:val="center"/>
          </w:tcPr>
          <w:p>
            <w:pPr>
              <w:adjustRightInd w:val="0"/>
              <w:snapToGrid w:val="0"/>
              <w:spacing w:beforeLines="50"/>
              <w:rPr>
                <w:rFonts w:ascii="楷体_GB2312" w:hAnsi="宋体" w:eastAsia="楷体_GB2312"/>
                <w:szCs w:val="21"/>
              </w:rPr>
            </w:pPr>
            <w:r>
              <w:rPr>
                <w:rFonts w:hint="eastAsia" w:ascii="楷体_GB2312" w:hAnsi="宋体" w:eastAsia="楷体_GB2312"/>
                <w:szCs w:val="21"/>
              </w:rPr>
              <w:t xml:space="preserve">□招标代理     □造价咨询     □勘察         □设计        □施工  </w:t>
            </w:r>
          </w:p>
          <w:p>
            <w:pPr>
              <w:adjustRightInd w:val="0"/>
              <w:snapToGrid w:val="0"/>
              <w:spacing w:beforeLines="50"/>
              <w:rPr>
                <w:rFonts w:ascii="宋体" w:hAnsi="宋体"/>
                <w:szCs w:val="21"/>
              </w:rPr>
            </w:pPr>
            <w:r>
              <w:rPr>
                <w:rFonts w:hint="eastAsia" w:ascii="楷体_GB2312" w:hAnsi="宋体" w:eastAsia="楷体_GB2312"/>
                <w:szCs w:val="21"/>
              </w:rPr>
              <w:t>□工程监理     □设备采购     □其他</w:t>
            </w:r>
            <w:r>
              <w:rPr>
                <w:rFonts w:hint="eastAsia" w:ascii="楷体_GB2312" w:hAnsi="宋体" w:eastAsia="楷体_GB2312"/>
                <w:szCs w:val="21"/>
                <w:u w:val="single"/>
              </w:rPr>
              <w:t xml:space="preserve">              </w:t>
            </w:r>
            <w:r>
              <w:rPr>
                <w:rFonts w:hint="eastAsia" w:ascii="楷体_GB2312" w:hAnsi="宋体" w:eastAsia="楷体_GB2312"/>
                <w:szCs w:val="21"/>
              </w:rPr>
              <w:t>（在相应类型方框内打勾）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计划总投资额</w:t>
            </w:r>
          </w:p>
        </w:tc>
        <w:tc>
          <w:tcPr>
            <w:tcW w:w="2911" w:type="dxa"/>
            <w:gridSpan w:val="3"/>
            <w:shd w:val="clear" w:color="auto" w:fill="auto"/>
            <w:vAlign w:val="center"/>
          </w:tcPr>
          <w:p>
            <w:pPr>
              <w:pStyle w:val="10"/>
              <w:adjustRightInd w:val="0"/>
              <w:snapToGrid w:val="0"/>
              <w:jc w:val="both"/>
              <w:rPr>
                <w:rFonts w:ascii="楷体_GB2312" w:hAnsi="宋体" w:eastAsia="楷体_GB2312"/>
                <w:szCs w:val="21"/>
              </w:rPr>
            </w:pPr>
            <w:r>
              <w:rPr>
                <w:rFonts w:hint="eastAsia" w:ascii="楷体_GB2312" w:hAnsi="宋体" w:eastAsia="楷体_GB2312"/>
                <w:szCs w:val="21"/>
              </w:rPr>
              <w:t xml:space="preserve">                  </w:t>
            </w:r>
            <w:r>
              <w:rPr>
                <w:rFonts w:hint="eastAsia" w:ascii="楷体_GB2312" w:hAnsi="宋体" w:eastAsia="楷体_GB2312"/>
                <w:sz w:val="21"/>
                <w:szCs w:val="21"/>
              </w:rPr>
              <w:t>（元）</w:t>
            </w:r>
          </w:p>
        </w:tc>
        <w:tc>
          <w:tcPr>
            <w:tcW w:w="2126" w:type="dxa"/>
            <w:gridSpan w:val="2"/>
            <w:shd w:val="clear" w:color="auto" w:fill="auto"/>
            <w:vAlign w:val="center"/>
          </w:tcPr>
          <w:p>
            <w:pPr>
              <w:pStyle w:val="10"/>
              <w:adjustRightInd w:val="0"/>
              <w:snapToGrid w:val="0"/>
              <w:rPr>
                <w:rFonts w:hAnsi="宋体"/>
                <w:b/>
                <w:sz w:val="21"/>
                <w:szCs w:val="21"/>
              </w:rPr>
            </w:pPr>
            <w:r>
              <w:rPr>
                <w:rFonts w:hint="eastAsia"/>
                <w:b/>
                <w:sz w:val="21"/>
                <w:szCs w:val="21"/>
              </w:rPr>
              <w:t>本次招标部分估价</w:t>
            </w:r>
          </w:p>
        </w:tc>
        <w:tc>
          <w:tcPr>
            <w:tcW w:w="3123" w:type="dxa"/>
            <w:gridSpan w:val="2"/>
            <w:shd w:val="clear" w:color="auto" w:fill="auto"/>
            <w:vAlign w:val="center"/>
          </w:tcPr>
          <w:p>
            <w:pPr>
              <w:adjustRightInd w:val="0"/>
              <w:snapToGrid w:val="0"/>
              <w:rPr>
                <w:rFonts w:ascii="楷体_GB2312" w:hAnsi="宋体" w:eastAsia="楷体_GB2312"/>
                <w:szCs w:val="21"/>
              </w:rPr>
            </w:pPr>
            <w:r>
              <w:rPr>
                <w:rFonts w:hint="eastAsia" w:ascii="楷体_GB2312" w:hAnsi="宋体" w:eastAsia="楷体_GB2312"/>
                <w:szCs w:val="21"/>
              </w:rPr>
              <w:t xml:space="preserve">              （元）【注释①】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下浮率</w:t>
            </w:r>
          </w:p>
        </w:tc>
        <w:tc>
          <w:tcPr>
            <w:tcW w:w="2911" w:type="dxa"/>
            <w:gridSpan w:val="3"/>
            <w:shd w:val="clear" w:color="auto" w:fill="auto"/>
            <w:vAlign w:val="center"/>
          </w:tcPr>
          <w:p>
            <w:pPr>
              <w:adjustRightInd w:val="0"/>
              <w:snapToGrid w:val="0"/>
              <w:ind w:firstLine="1680" w:firstLineChars="800"/>
              <w:rPr>
                <w:rFonts w:ascii="楷体_GB2312" w:hAnsi="宋体" w:eastAsia="楷体_GB2312"/>
                <w:szCs w:val="21"/>
              </w:rPr>
            </w:pPr>
            <w:r>
              <w:rPr>
                <w:rFonts w:hint="eastAsia" w:ascii="楷体_GB2312" w:hAnsi="宋体" w:eastAsia="楷体_GB2312"/>
                <w:szCs w:val="21"/>
              </w:rPr>
              <w:t>【注释②】</w:t>
            </w:r>
          </w:p>
        </w:tc>
        <w:tc>
          <w:tcPr>
            <w:tcW w:w="2126" w:type="dxa"/>
            <w:gridSpan w:val="2"/>
            <w:shd w:val="clear" w:color="auto" w:fill="auto"/>
            <w:vAlign w:val="center"/>
          </w:tcPr>
          <w:p>
            <w:pPr>
              <w:pStyle w:val="10"/>
              <w:adjustRightInd w:val="0"/>
              <w:snapToGrid w:val="0"/>
              <w:rPr>
                <w:b/>
                <w:sz w:val="21"/>
                <w:szCs w:val="21"/>
              </w:rPr>
            </w:pPr>
            <w:r>
              <w:rPr>
                <w:rFonts w:hint="eastAsia"/>
                <w:b/>
                <w:sz w:val="21"/>
                <w:szCs w:val="21"/>
              </w:rPr>
              <w:t>中标（合同）金额</w:t>
            </w:r>
          </w:p>
        </w:tc>
        <w:tc>
          <w:tcPr>
            <w:tcW w:w="3123" w:type="dxa"/>
            <w:gridSpan w:val="2"/>
            <w:shd w:val="clear" w:color="auto" w:fill="auto"/>
            <w:vAlign w:val="center"/>
          </w:tcPr>
          <w:p>
            <w:pPr>
              <w:adjustRightInd w:val="0"/>
              <w:snapToGrid w:val="0"/>
              <w:ind w:firstLine="1890" w:firstLineChars="900"/>
              <w:rPr>
                <w:rFonts w:ascii="楷体_GB2312" w:hAnsi="宋体" w:eastAsia="楷体_GB2312"/>
                <w:szCs w:val="21"/>
              </w:rPr>
            </w:pPr>
            <w:r>
              <w:rPr>
                <w:rFonts w:hint="eastAsia" w:ascii="楷体_GB2312" w:hAnsi="宋体" w:eastAsia="楷体_GB2312"/>
                <w:szCs w:val="21"/>
              </w:rPr>
              <w:t>【注释</w:t>
            </w:r>
            <w:r>
              <w:rPr>
                <w:rFonts w:hint="eastAsia" w:ascii="仿宋_GB2312" w:hAnsi="宋体" w:eastAsia="仿宋_GB2312"/>
              </w:rPr>
              <w:t>③</w:t>
            </w:r>
            <w:r>
              <w:rPr>
                <w:rFonts w:hint="eastAsia" w:ascii="楷体_GB2312" w:hAnsi="宋体" w:eastAsia="楷体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60"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工期（日历天）</w:t>
            </w:r>
          </w:p>
        </w:tc>
        <w:tc>
          <w:tcPr>
            <w:tcW w:w="2911" w:type="dxa"/>
            <w:gridSpan w:val="3"/>
            <w:shd w:val="clear" w:color="auto" w:fill="auto"/>
            <w:vAlign w:val="center"/>
          </w:tcPr>
          <w:p>
            <w:pPr>
              <w:pStyle w:val="10"/>
              <w:adjustRightInd w:val="0"/>
              <w:snapToGrid w:val="0"/>
              <w:jc w:val="both"/>
              <w:rPr>
                <w:rFonts w:ascii="楷体_GB2312" w:hAnsi="宋体" w:eastAsia="楷体_GB2312"/>
                <w:sz w:val="21"/>
                <w:szCs w:val="21"/>
              </w:rPr>
            </w:pPr>
          </w:p>
        </w:tc>
        <w:tc>
          <w:tcPr>
            <w:tcW w:w="2126"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计划开工日期</w:t>
            </w:r>
          </w:p>
        </w:tc>
        <w:tc>
          <w:tcPr>
            <w:tcW w:w="3123" w:type="dxa"/>
            <w:gridSpan w:val="2"/>
            <w:shd w:val="clear" w:color="auto" w:fill="auto"/>
            <w:vAlign w:val="center"/>
          </w:tcPr>
          <w:p>
            <w:pPr>
              <w:pStyle w:val="10"/>
              <w:adjustRightInd w:val="0"/>
              <w:snapToGrid w:val="0"/>
              <w:jc w:val="both"/>
              <w:rPr>
                <w:rFonts w:ascii="楷体_GB2312" w:hAnsi="宋体" w:eastAsia="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560" w:type="dxa"/>
            <w:gridSpan w:val="2"/>
            <w:shd w:val="clear" w:color="auto" w:fill="auto"/>
            <w:vAlign w:val="center"/>
          </w:tcPr>
          <w:p>
            <w:pPr>
              <w:pStyle w:val="10"/>
              <w:adjustRightInd w:val="0"/>
              <w:snapToGrid w:val="0"/>
              <w:rPr>
                <w:rFonts w:hAnsi="宋体"/>
                <w:b/>
                <w:sz w:val="21"/>
                <w:szCs w:val="21"/>
              </w:rPr>
            </w:pPr>
            <w:r>
              <w:rPr>
                <w:rFonts w:hint="eastAsia" w:hAnsi="宋体"/>
                <w:b/>
                <w:sz w:val="21"/>
                <w:szCs w:val="21"/>
              </w:rPr>
              <w:t>资金来源</w:t>
            </w:r>
          </w:p>
          <w:p>
            <w:pPr>
              <w:pStyle w:val="10"/>
              <w:adjustRightInd w:val="0"/>
              <w:snapToGrid w:val="0"/>
              <w:rPr>
                <w:rFonts w:hAnsi="宋体"/>
                <w:b/>
                <w:sz w:val="21"/>
                <w:szCs w:val="21"/>
              </w:rPr>
            </w:pPr>
            <w:r>
              <w:rPr>
                <w:rFonts w:hint="eastAsia" w:hAnsi="宋体"/>
                <w:b/>
                <w:sz w:val="21"/>
                <w:szCs w:val="21"/>
              </w:rPr>
              <w:t>构 成</w:t>
            </w:r>
          </w:p>
        </w:tc>
        <w:tc>
          <w:tcPr>
            <w:tcW w:w="8160" w:type="dxa"/>
            <w:gridSpan w:val="7"/>
            <w:shd w:val="clear" w:color="auto" w:fill="auto"/>
            <w:vAlign w:val="center"/>
          </w:tcPr>
          <w:p>
            <w:pPr>
              <w:adjustRightInd w:val="0"/>
              <w:snapToGrid w:val="0"/>
              <w:spacing w:beforeLines="50"/>
              <w:rPr>
                <w:rFonts w:ascii="楷体_GB2312" w:hAnsi="宋体" w:eastAsia="楷体_GB2312"/>
                <w:szCs w:val="21"/>
              </w:rPr>
            </w:pPr>
            <w:r>
              <w:rPr>
                <w:rFonts w:hint="eastAsia" w:ascii="楷体_GB2312" w:hAnsi="宋体" w:eastAsia="楷体_GB2312"/>
                <w:szCs w:val="21"/>
              </w:rPr>
              <w:t>□国有资金</w:t>
            </w:r>
            <w:r>
              <w:rPr>
                <w:rFonts w:hint="eastAsia" w:ascii="楷体_GB2312" w:hAnsi="宋体" w:eastAsia="楷体_GB2312"/>
                <w:szCs w:val="21"/>
                <w:u w:val="single"/>
              </w:rPr>
              <w:t xml:space="preserve">   </w:t>
            </w:r>
            <w:r>
              <w:rPr>
                <w:rFonts w:hint="eastAsia" w:ascii="楷体_GB2312" w:hAnsi="宋体" w:eastAsia="楷体_GB2312"/>
                <w:szCs w:val="21"/>
              </w:rPr>
              <w:t>%   □集体经济资金</w:t>
            </w:r>
            <w:r>
              <w:rPr>
                <w:rFonts w:hint="eastAsia" w:ascii="楷体_GB2312" w:hAnsi="宋体" w:eastAsia="楷体_GB2312"/>
                <w:szCs w:val="21"/>
                <w:u w:val="single"/>
              </w:rPr>
              <w:t xml:space="preserve">     </w:t>
            </w:r>
            <w:r>
              <w:rPr>
                <w:rFonts w:hint="eastAsia" w:ascii="楷体_GB2312" w:hAnsi="宋体" w:eastAsia="楷体_GB2312"/>
                <w:szCs w:val="21"/>
              </w:rPr>
              <w:t>%   □自有资金</w:t>
            </w:r>
            <w:r>
              <w:rPr>
                <w:rFonts w:hint="eastAsia" w:ascii="楷体_GB2312" w:hAnsi="宋体" w:eastAsia="楷体_GB2312"/>
                <w:szCs w:val="21"/>
                <w:u w:val="single"/>
              </w:rPr>
              <w:t xml:space="preserve">    </w:t>
            </w:r>
            <w:r>
              <w:rPr>
                <w:rFonts w:hint="eastAsia" w:ascii="楷体_GB2312" w:hAnsi="宋体" w:eastAsia="楷体_GB2312"/>
                <w:szCs w:val="21"/>
              </w:rPr>
              <w:t>%   □外商投资</w:t>
            </w:r>
            <w:r>
              <w:rPr>
                <w:rFonts w:hint="eastAsia" w:ascii="楷体_GB2312" w:hAnsi="宋体" w:eastAsia="楷体_GB2312"/>
                <w:szCs w:val="21"/>
                <w:u w:val="single"/>
              </w:rPr>
              <w:t xml:space="preserve">    </w:t>
            </w:r>
            <w:r>
              <w:rPr>
                <w:rFonts w:hint="eastAsia" w:ascii="楷体_GB2312" w:hAnsi="宋体" w:eastAsia="楷体_GB2312"/>
                <w:szCs w:val="21"/>
              </w:rPr>
              <w:t>%</w:t>
            </w:r>
          </w:p>
          <w:p>
            <w:pPr>
              <w:adjustRightInd w:val="0"/>
              <w:snapToGrid w:val="0"/>
              <w:spacing w:beforeLines="50"/>
              <w:rPr>
                <w:rFonts w:ascii="楷体_GB2312" w:hAnsi="宋体" w:eastAsia="楷体_GB2312"/>
                <w:szCs w:val="21"/>
              </w:rPr>
            </w:pPr>
            <w:r>
              <w:rPr>
                <w:rFonts w:hint="eastAsia" w:ascii="楷体_GB2312" w:hAnsi="宋体" w:eastAsia="楷体_GB2312"/>
                <w:szCs w:val="21"/>
              </w:rPr>
              <w:t>□政府投资</w:t>
            </w:r>
            <w:r>
              <w:rPr>
                <w:rFonts w:hint="eastAsia" w:ascii="楷体_GB2312" w:hAnsi="宋体" w:eastAsia="楷体_GB2312"/>
                <w:szCs w:val="21"/>
                <w:u w:val="single"/>
              </w:rPr>
              <w:t xml:space="preserve">   </w:t>
            </w:r>
            <w:r>
              <w:rPr>
                <w:rFonts w:hint="eastAsia" w:ascii="楷体_GB2312" w:hAnsi="宋体" w:eastAsia="楷体_GB2312"/>
                <w:szCs w:val="21"/>
              </w:rPr>
              <w:t>%   □私（民）营资金</w:t>
            </w:r>
            <w:r>
              <w:rPr>
                <w:rFonts w:hint="eastAsia" w:ascii="楷体_GB2312" w:hAnsi="宋体" w:eastAsia="楷体_GB2312"/>
                <w:szCs w:val="21"/>
                <w:u w:val="single"/>
              </w:rPr>
              <w:t xml:space="preserve">   </w:t>
            </w:r>
            <w:r>
              <w:rPr>
                <w:rFonts w:hint="eastAsia" w:ascii="楷体_GB2312" w:hAnsi="宋体" w:eastAsia="楷体_GB2312"/>
                <w:szCs w:val="21"/>
              </w:rPr>
              <w:t>%   □其他资金</w:t>
            </w:r>
            <w:r>
              <w:rPr>
                <w:rFonts w:hint="eastAsia" w:ascii="楷体_GB2312" w:hAnsi="宋体" w:eastAsia="楷体_GB2312"/>
                <w:szCs w:val="21"/>
                <w:u w:val="single"/>
              </w:rPr>
              <w:t xml:space="preserve">    </w:t>
            </w:r>
            <w:r>
              <w:rPr>
                <w:rFonts w:hint="eastAsia" w:ascii="楷体_GB2312" w:hAnsi="宋体" w:eastAsia="楷体_GB231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trPr>
        <w:tc>
          <w:tcPr>
            <w:tcW w:w="1560" w:type="dxa"/>
            <w:gridSpan w:val="2"/>
            <w:shd w:val="clear" w:color="auto" w:fill="auto"/>
            <w:vAlign w:val="center"/>
          </w:tcPr>
          <w:p>
            <w:pPr>
              <w:pStyle w:val="10"/>
              <w:rPr>
                <w:rFonts w:hAnsi="宋体"/>
                <w:b/>
                <w:sz w:val="21"/>
                <w:szCs w:val="21"/>
              </w:rPr>
            </w:pPr>
            <w:r>
              <w:rPr>
                <w:rFonts w:hint="eastAsia" w:hAnsi="宋体"/>
                <w:b/>
                <w:sz w:val="21"/>
                <w:szCs w:val="21"/>
              </w:rPr>
              <w:t>招标内容</w:t>
            </w:r>
          </w:p>
        </w:tc>
        <w:tc>
          <w:tcPr>
            <w:tcW w:w="8160" w:type="dxa"/>
            <w:gridSpan w:val="7"/>
            <w:shd w:val="clear" w:color="auto" w:fill="auto"/>
            <w:vAlign w:val="center"/>
          </w:tcPr>
          <w:p>
            <w:pPr>
              <w:pStyle w:val="10"/>
              <w:jc w:val="both"/>
              <w:rPr>
                <w:rFonts w:ascii="楷体_GB2312" w:hAnsi="宋体" w:eastAsia="楷体_GB2312"/>
                <w:sz w:val="21"/>
                <w:szCs w:val="21"/>
              </w:rPr>
            </w:pPr>
          </w:p>
          <w:p>
            <w:pPr>
              <w:pStyle w:val="10"/>
              <w:jc w:val="both"/>
              <w:rPr>
                <w:rFonts w:ascii="楷体_GB2312" w:hAnsi="宋体" w:eastAsia="楷体_GB2312"/>
                <w:sz w:val="21"/>
                <w:szCs w:val="21"/>
              </w:rPr>
            </w:pPr>
          </w:p>
          <w:p>
            <w:pPr>
              <w:pStyle w:val="10"/>
              <w:jc w:val="both"/>
              <w:rPr>
                <w:rFonts w:ascii="楷体_GB2312" w:hAnsi="宋体" w:eastAsia="楷体_GB2312"/>
                <w:sz w:val="21"/>
                <w:szCs w:val="21"/>
              </w:rPr>
            </w:pPr>
          </w:p>
          <w:p>
            <w:pPr>
              <w:pStyle w:val="10"/>
              <w:jc w:val="both"/>
              <w:rPr>
                <w:rFonts w:ascii="楷体_GB2312" w:hAnsi="宋体" w:eastAsia="楷体_GB2312"/>
                <w:sz w:val="21"/>
                <w:szCs w:val="21"/>
              </w:rPr>
            </w:pPr>
          </w:p>
          <w:p>
            <w:pPr>
              <w:pStyle w:val="10"/>
              <w:jc w:val="both"/>
              <w:rPr>
                <w:rFonts w:ascii="楷体_GB2312" w:hAnsi="宋体" w:eastAsia="楷体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trPr>
        <w:tc>
          <w:tcPr>
            <w:tcW w:w="1560" w:type="dxa"/>
            <w:gridSpan w:val="2"/>
            <w:shd w:val="clear" w:color="auto" w:fill="auto"/>
            <w:vAlign w:val="center"/>
          </w:tcPr>
          <w:p>
            <w:pPr>
              <w:spacing w:line="240" w:lineRule="atLeast"/>
              <w:jc w:val="center"/>
              <w:rPr>
                <w:rFonts w:ascii="宋体" w:hAnsi="宋体"/>
                <w:b/>
                <w:szCs w:val="21"/>
              </w:rPr>
            </w:pPr>
            <w:r>
              <w:rPr>
                <w:rFonts w:hint="eastAsia" w:ascii="宋体" w:hAnsi="宋体"/>
                <w:b/>
                <w:szCs w:val="21"/>
              </w:rPr>
              <w:t>本项目已确定的其它承包单位</w:t>
            </w:r>
          </w:p>
        </w:tc>
        <w:tc>
          <w:tcPr>
            <w:tcW w:w="8160" w:type="dxa"/>
            <w:gridSpan w:val="7"/>
            <w:shd w:val="clear" w:color="auto" w:fill="auto"/>
            <w:vAlign w:val="center"/>
          </w:tcPr>
          <w:p>
            <w:pPr>
              <w:adjustRightInd w:val="0"/>
              <w:snapToGrid w:val="0"/>
              <w:spacing w:beforeLines="30" w:line="340" w:lineRule="exact"/>
              <w:rPr>
                <w:rFonts w:ascii="楷体_GB2312" w:hAnsi="宋体" w:eastAsia="楷体_GB2312"/>
                <w:szCs w:val="21"/>
              </w:rPr>
            </w:pPr>
            <w:r>
              <w:rPr>
                <w:rFonts w:hint="eastAsia" w:ascii="楷体_GB2312" w:hAnsi="宋体" w:eastAsia="楷体_GB2312"/>
                <w:szCs w:val="21"/>
              </w:rPr>
              <w:t>招标代理：</w:t>
            </w:r>
            <w:r>
              <w:rPr>
                <w:rFonts w:hint="eastAsia" w:ascii="楷体_GB2312" w:hAnsi="宋体" w:eastAsia="楷体_GB2312"/>
                <w:szCs w:val="21"/>
                <w:u w:val="single"/>
              </w:rPr>
              <w:t xml:space="preserve">                                </w:t>
            </w:r>
          </w:p>
          <w:p>
            <w:pPr>
              <w:adjustRightInd w:val="0"/>
              <w:snapToGrid w:val="0"/>
              <w:spacing w:beforeLines="30" w:line="340" w:lineRule="exact"/>
              <w:rPr>
                <w:rFonts w:ascii="楷体_GB2312" w:hAnsi="宋体" w:eastAsia="楷体_GB2312"/>
                <w:szCs w:val="21"/>
              </w:rPr>
            </w:pPr>
            <w:r>
              <w:rPr>
                <w:rFonts w:hint="eastAsia" w:ascii="楷体_GB2312" w:hAnsi="宋体" w:eastAsia="楷体_GB2312"/>
                <w:szCs w:val="21"/>
              </w:rPr>
              <w:t>造价咨询：</w:t>
            </w:r>
            <w:r>
              <w:rPr>
                <w:rFonts w:hint="eastAsia" w:ascii="楷体_GB2312" w:hAnsi="宋体" w:eastAsia="楷体_GB2312"/>
                <w:szCs w:val="21"/>
                <w:u w:val="single"/>
              </w:rPr>
              <w:t xml:space="preserve">                                </w:t>
            </w:r>
          </w:p>
          <w:p>
            <w:pPr>
              <w:adjustRightInd w:val="0"/>
              <w:snapToGrid w:val="0"/>
              <w:spacing w:beforeLines="30" w:line="340" w:lineRule="exact"/>
              <w:rPr>
                <w:rFonts w:ascii="楷体_GB2312" w:hAnsi="宋体" w:eastAsia="楷体_GB2312"/>
                <w:szCs w:val="21"/>
              </w:rPr>
            </w:pPr>
            <w:r>
              <w:rPr>
                <w:rFonts w:hint="eastAsia" w:ascii="楷体_GB2312" w:hAnsi="宋体" w:eastAsia="楷体_GB2312"/>
                <w:szCs w:val="21"/>
              </w:rPr>
              <w:t>勘察单位：</w:t>
            </w:r>
            <w:r>
              <w:rPr>
                <w:rFonts w:hint="eastAsia" w:ascii="楷体_GB2312" w:hAnsi="宋体" w:eastAsia="楷体_GB2312"/>
                <w:szCs w:val="21"/>
                <w:u w:val="single"/>
              </w:rPr>
              <w:t xml:space="preserve">                                </w:t>
            </w:r>
          </w:p>
          <w:p>
            <w:pPr>
              <w:adjustRightInd w:val="0"/>
              <w:snapToGrid w:val="0"/>
              <w:spacing w:beforeLines="30" w:line="340" w:lineRule="exact"/>
              <w:rPr>
                <w:rFonts w:ascii="楷体_GB2312" w:hAnsi="宋体" w:eastAsia="楷体_GB2312"/>
                <w:szCs w:val="21"/>
                <w:u w:val="single"/>
              </w:rPr>
            </w:pPr>
            <w:r>
              <w:rPr>
                <w:rFonts w:hint="eastAsia" w:ascii="楷体_GB2312" w:hAnsi="宋体" w:eastAsia="楷体_GB2312"/>
                <w:szCs w:val="21"/>
              </w:rPr>
              <w:t>设计单位：</w:t>
            </w:r>
            <w:r>
              <w:rPr>
                <w:rFonts w:hint="eastAsia" w:ascii="楷体_GB2312" w:hAnsi="宋体" w:eastAsia="楷体_GB2312"/>
                <w:szCs w:val="21"/>
                <w:u w:val="single"/>
              </w:rPr>
              <w:t xml:space="preserve">                                </w:t>
            </w:r>
          </w:p>
          <w:p>
            <w:pPr>
              <w:adjustRightInd w:val="0"/>
              <w:snapToGrid w:val="0"/>
              <w:spacing w:beforeLines="30" w:line="340" w:lineRule="exact"/>
              <w:rPr>
                <w:rFonts w:ascii="楷体_GB2312" w:hAnsi="宋体" w:eastAsia="楷体_GB2312"/>
                <w:szCs w:val="21"/>
              </w:rPr>
            </w:pPr>
            <w:r>
              <w:rPr>
                <w:rFonts w:hint="eastAsia" w:ascii="楷体_GB2312" w:hAnsi="宋体" w:eastAsia="楷体_GB2312"/>
                <w:szCs w:val="21"/>
              </w:rPr>
              <w:t>施工图审查单位：</w:t>
            </w:r>
            <w:r>
              <w:rPr>
                <w:rFonts w:hint="eastAsia" w:ascii="楷体_GB2312" w:hAnsi="宋体" w:eastAsia="楷体_GB2312"/>
                <w:szCs w:val="21"/>
                <w:u w:val="single"/>
              </w:rPr>
              <w:t xml:space="preserve">                          </w:t>
            </w:r>
          </w:p>
          <w:p>
            <w:pPr>
              <w:adjustRightInd w:val="0"/>
              <w:snapToGrid w:val="0"/>
              <w:spacing w:beforeLines="30" w:line="340" w:lineRule="exact"/>
              <w:rPr>
                <w:rFonts w:ascii="楷体_GB2312" w:hAnsi="宋体" w:eastAsia="楷体_GB2312"/>
                <w:szCs w:val="21"/>
                <w:u w:val="single"/>
              </w:rPr>
            </w:pPr>
            <w:r>
              <w:rPr>
                <w:rFonts w:hint="eastAsia" w:ascii="楷体_GB2312" w:hAnsi="宋体" w:eastAsia="楷体_GB2312"/>
                <w:szCs w:val="21"/>
              </w:rPr>
              <w:t>监理单位：</w:t>
            </w:r>
            <w:r>
              <w:rPr>
                <w:rFonts w:hint="eastAsia" w:ascii="楷体_GB2312" w:hAnsi="宋体" w:eastAsia="楷体_GB2312"/>
                <w:szCs w:val="21"/>
                <w:u w:val="single"/>
              </w:rPr>
              <w:t xml:space="preserve">                                </w:t>
            </w:r>
          </w:p>
          <w:p>
            <w:pPr>
              <w:adjustRightInd w:val="0"/>
              <w:snapToGrid w:val="0"/>
              <w:spacing w:beforeLines="30" w:line="340" w:lineRule="exact"/>
              <w:rPr>
                <w:rFonts w:ascii="宋体" w:hAnsi="宋体"/>
                <w:szCs w:val="21"/>
              </w:rPr>
            </w:pPr>
            <w:r>
              <w:rPr>
                <w:rFonts w:hint="eastAsia" w:ascii="楷体_GB2312" w:hAnsi="宋体" w:eastAsia="楷体_GB2312"/>
                <w:szCs w:val="21"/>
              </w:rPr>
              <w:t>施工单位：</w:t>
            </w:r>
            <w:r>
              <w:rPr>
                <w:rFonts w:hint="eastAsia" w:ascii="楷体_GB2312" w:hAnsi="宋体" w:eastAsia="楷体_GB2312"/>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trPr>
        <w:tc>
          <w:tcPr>
            <w:tcW w:w="1560" w:type="dxa"/>
            <w:gridSpan w:val="2"/>
            <w:shd w:val="clear" w:color="auto" w:fill="auto"/>
            <w:vAlign w:val="center"/>
          </w:tcPr>
          <w:p>
            <w:pPr>
              <w:spacing w:line="240" w:lineRule="atLeast"/>
              <w:jc w:val="center"/>
              <w:rPr>
                <w:rFonts w:ascii="宋体" w:hAnsi="宋体"/>
                <w:b/>
                <w:szCs w:val="21"/>
              </w:rPr>
            </w:pPr>
            <w:r>
              <w:rPr>
                <w:rFonts w:hint="eastAsia" w:ascii="宋体" w:hAnsi="宋体"/>
                <w:b/>
                <w:szCs w:val="21"/>
              </w:rPr>
              <w:t>投标人</w:t>
            </w:r>
          </w:p>
          <w:p>
            <w:pPr>
              <w:spacing w:line="240" w:lineRule="atLeast"/>
              <w:jc w:val="center"/>
              <w:rPr>
                <w:rFonts w:ascii="宋体" w:hAnsi="宋体"/>
                <w:b/>
                <w:szCs w:val="21"/>
              </w:rPr>
            </w:pPr>
            <w:r>
              <w:rPr>
                <w:rFonts w:hint="eastAsia" w:ascii="宋体" w:hAnsi="宋体"/>
                <w:b/>
                <w:szCs w:val="21"/>
              </w:rPr>
              <w:t>企业资质</w:t>
            </w:r>
          </w:p>
        </w:tc>
        <w:tc>
          <w:tcPr>
            <w:tcW w:w="8160" w:type="dxa"/>
            <w:gridSpan w:val="7"/>
            <w:shd w:val="clear" w:color="auto" w:fill="auto"/>
            <w:vAlign w:val="center"/>
          </w:tcPr>
          <w:p>
            <w:pPr>
              <w:adjustRightInd w:val="0"/>
              <w:snapToGrid w:val="0"/>
              <w:spacing w:beforeLines="50"/>
              <w:rPr>
                <w:rFonts w:ascii="楷体_GB2312" w:hAnsi="宋体" w:eastAsia="楷体_GB2312"/>
                <w:szCs w:val="21"/>
              </w:rPr>
            </w:pPr>
            <w:r>
              <w:rPr>
                <w:rFonts w:hint="eastAsia" w:ascii="楷体_GB2312" w:hAnsi="宋体" w:eastAsia="楷体_GB2312"/>
                <w:szCs w:val="21"/>
              </w:rPr>
              <w:t>企业资质：</w:t>
            </w:r>
          </w:p>
          <w:p>
            <w:pPr>
              <w:adjustRightInd w:val="0"/>
              <w:snapToGrid w:val="0"/>
              <w:spacing w:beforeLines="50"/>
              <w:rPr>
                <w:rFonts w:ascii="楷体_GB2312" w:hAnsi="宋体" w:eastAsia="楷体_GB2312"/>
                <w:szCs w:val="21"/>
              </w:rPr>
            </w:pPr>
            <w:r>
              <w:rPr>
                <w:rFonts w:hint="eastAsia" w:ascii="楷体_GB2312" w:hAnsi="宋体" w:eastAsia="楷体_GB2312"/>
                <w:szCs w:val="21"/>
              </w:rPr>
              <w:t>【注释</w:t>
            </w:r>
            <w:r>
              <w:rPr>
                <w:rFonts w:hint="eastAsia" w:ascii="仿宋_GB2312" w:hAnsi="宋体" w:eastAsia="仿宋_GB2312"/>
              </w:rPr>
              <w:t>④</w:t>
            </w:r>
            <w:r>
              <w:rPr>
                <w:rFonts w:hint="eastAsia" w:ascii="楷体_GB2312" w:hAnsi="宋体" w:eastAsia="楷体_GB2312"/>
                <w:szCs w:val="21"/>
              </w:rPr>
              <w:t>】</w:t>
            </w:r>
          </w:p>
          <w:p>
            <w:pPr>
              <w:adjustRightInd w:val="0"/>
              <w:snapToGrid w:val="0"/>
              <w:spacing w:beforeLines="50"/>
              <w:rPr>
                <w:rFonts w:ascii="楷体_GB2312" w:hAnsi="宋体"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trPr>
        <w:tc>
          <w:tcPr>
            <w:tcW w:w="1560" w:type="dxa"/>
            <w:gridSpan w:val="2"/>
            <w:tcBorders>
              <w:bottom w:val="single" w:color="auto" w:sz="4" w:space="0"/>
            </w:tcBorders>
            <w:shd w:val="clear" w:color="auto" w:fill="auto"/>
            <w:vAlign w:val="center"/>
          </w:tcPr>
          <w:p>
            <w:pPr>
              <w:jc w:val="center"/>
              <w:rPr>
                <w:rFonts w:ascii="宋体" w:hAnsi="宋体"/>
                <w:b/>
                <w:szCs w:val="21"/>
              </w:rPr>
            </w:pPr>
            <w:r>
              <w:rPr>
                <w:szCs w:val="21"/>
              </w:rPr>
              <w:br w:type="page"/>
            </w:r>
            <w:r>
              <w:rPr>
                <w:rFonts w:hint="eastAsia" w:ascii="宋体" w:hAnsi="宋体"/>
                <w:b/>
                <w:szCs w:val="21"/>
              </w:rPr>
              <w:t>招 标 人</w:t>
            </w:r>
          </w:p>
          <w:p>
            <w:pPr>
              <w:spacing w:line="240" w:lineRule="atLeast"/>
              <w:jc w:val="center"/>
              <w:rPr>
                <w:rFonts w:ascii="宋体" w:hAnsi="宋体"/>
                <w:b/>
                <w:szCs w:val="21"/>
              </w:rPr>
            </w:pPr>
            <w:r>
              <w:rPr>
                <w:rFonts w:hint="eastAsia" w:ascii="宋体" w:hAnsi="宋体"/>
                <w:b/>
                <w:szCs w:val="21"/>
              </w:rPr>
              <w:t>审核意见</w:t>
            </w:r>
          </w:p>
          <w:p>
            <w:pPr>
              <w:spacing w:line="240" w:lineRule="atLeast"/>
              <w:jc w:val="center"/>
              <w:rPr>
                <w:rFonts w:ascii="黑体" w:hAnsi="宋体" w:eastAsia="黑体"/>
                <w:szCs w:val="21"/>
              </w:rPr>
            </w:pPr>
            <w:r>
              <w:rPr>
                <w:rFonts w:hint="eastAsia" w:ascii="楷体_GB2312" w:hAnsi="宋体" w:eastAsia="楷体_GB2312"/>
                <w:szCs w:val="21"/>
              </w:rPr>
              <w:t>【注释</w:t>
            </w:r>
            <w:r>
              <w:rPr>
                <w:rFonts w:ascii="仿宋_GB2312" w:hAnsi="宋体" w:eastAsia="仿宋_GB2312"/>
              </w:rPr>
              <w:fldChar w:fldCharType="begin"/>
            </w:r>
            <w:r>
              <w:rPr>
                <w:rFonts w:ascii="仿宋_GB2312" w:hAnsi="宋体" w:eastAsia="仿宋_GB2312"/>
              </w:rPr>
              <w:instrText xml:space="preserve"> </w:instrText>
            </w:r>
            <w:r>
              <w:rPr>
                <w:rFonts w:hint="eastAsia" w:ascii="仿宋_GB2312" w:hAnsi="宋体" w:eastAsia="仿宋_GB2312"/>
              </w:rPr>
              <w:instrText xml:space="preserve">= 5 \* GB3</w:instrText>
            </w:r>
            <w:r>
              <w:rPr>
                <w:rFonts w:ascii="仿宋_GB2312" w:hAnsi="宋体" w:eastAsia="仿宋_GB2312"/>
              </w:rPr>
              <w:instrText xml:space="preserve"> </w:instrText>
            </w:r>
            <w:r>
              <w:rPr>
                <w:rFonts w:ascii="仿宋_GB2312" w:hAnsi="宋体" w:eastAsia="仿宋_GB2312"/>
              </w:rPr>
              <w:fldChar w:fldCharType="separate"/>
            </w:r>
            <w:r>
              <w:rPr>
                <w:rFonts w:hint="eastAsia" w:ascii="仿宋_GB2312" w:hAnsi="宋体" w:eastAsia="仿宋_GB2312"/>
              </w:rPr>
              <w:t>⑤</w:t>
            </w:r>
            <w:r>
              <w:rPr>
                <w:rFonts w:ascii="仿宋_GB2312" w:hAnsi="宋体" w:eastAsia="仿宋_GB2312"/>
              </w:rPr>
              <w:fldChar w:fldCharType="end"/>
            </w:r>
            <w:r>
              <w:rPr>
                <w:rFonts w:hint="eastAsia" w:ascii="楷体_GB2312" w:hAnsi="宋体" w:eastAsia="楷体_GB2312"/>
                <w:szCs w:val="21"/>
              </w:rPr>
              <w:t>】</w:t>
            </w:r>
          </w:p>
        </w:tc>
        <w:tc>
          <w:tcPr>
            <w:tcW w:w="8160" w:type="dxa"/>
            <w:gridSpan w:val="7"/>
            <w:shd w:val="clear" w:color="auto" w:fill="auto"/>
            <w:vAlign w:val="bottom"/>
          </w:tcPr>
          <w:p>
            <w:pPr>
              <w:spacing w:line="360" w:lineRule="exact"/>
              <w:ind w:right="839"/>
              <w:rPr>
                <w:rFonts w:ascii="楷体_GB2312" w:hAnsi="宋体" w:eastAsia="楷体_GB2312"/>
                <w:szCs w:val="21"/>
              </w:rPr>
            </w:pPr>
            <w:r>
              <w:rPr>
                <w:rFonts w:hint="eastAsia" w:ascii="楷体_GB2312" w:hAnsi="宋体" w:eastAsia="楷体_GB2312"/>
                <w:szCs w:val="21"/>
              </w:rPr>
              <w:t xml:space="preserve">    </w:t>
            </w:r>
          </w:p>
          <w:p>
            <w:pPr>
              <w:spacing w:line="360" w:lineRule="exact"/>
              <w:ind w:right="839"/>
              <w:rPr>
                <w:rFonts w:ascii="楷体_GB2312" w:hAnsi="宋体" w:eastAsia="楷体_GB2312"/>
                <w:szCs w:val="21"/>
              </w:rPr>
            </w:pPr>
          </w:p>
          <w:p>
            <w:pPr>
              <w:spacing w:line="360" w:lineRule="exact"/>
              <w:ind w:right="839"/>
              <w:rPr>
                <w:rFonts w:ascii="楷体_GB2312" w:hAnsi="宋体" w:eastAsia="楷体_GB2312"/>
                <w:szCs w:val="21"/>
              </w:rPr>
            </w:pPr>
            <w:r>
              <w:rPr>
                <w:rFonts w:hint="eastAsia" w:ascii="宋体" w:hAnsi="宋体"/>
                <w:szCs w:val="21"/>
              </w:rPr>
              <w:t>审核人（签字）：</w:t>
            </w:r>
            <w:r>
              <w:rPr>
                <w:rFonts w:hint="eastAsia" w:ascii="楷体_GB2312" w:hAnsi="宋体" w:eastAsia="楷体_GB2312"/>
                <w:szCs w:val="21"/>
              </w:rPr>
              <w:t xml:space="preserve">            </w:t>
            </w:r>
            <w:r>
              <w:rPr>
                <w:rFonts w:hint="eastAsia" w:ascii="宋体" w:hAnsi="宋体"/>
                <w:szCs w:val="21"/>
              </w:rPr>
              <w:t xml:space="preserve"> 招标人（公章）： </w:t>
            </w:r>
            <w:r>
              <w:rPr>
                <w:rFonts w:hint="eastAsia" w:ascii="楷体_GB2312" w:hAnsi="宋体" w:eastAsia="楷体_GB2312"/>
                <w:szCs w:val="21"/>
              </w:rPr>
              <w:t xml:space="preserve">      </w:t>
            </w:r>
            <w:r>
              <w:rPr>
                <w:rFonts w:hint="eastAsia" w:ascii="宋体" w:hAnsi="宋体"/>
                <w:szCs w:val="21"/>
              </w:rPr>
              <w:t>日期：</w:t>
            </w:r>
            <w:r>
              <w:rPr>
                <w:rFonts w:hint="eastAsia" w:ascii="楷体_GB2312" w:hAnsi="宋体" w:eastAsia="楷体_GB2312"/>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0" w:hRule="atLeast"/>
        </w:trPr>
        <w:tc>
          <w:tcPr>
            <w:tcW w:w="1560" w:type="dxa"/>
            <w:gridSpan w:val="2"/>
            <w:tcBorders>
              <w:bottom w:val="single" w:color="auto" w:sz="4" w:space="0"/>
            </w:tcBorders>
            <w:shd w:val="clear" w:color="auto" w:fill="auto"/>
            <w:vAlign w:val="center"/>
          </w:tcPr>
          <w:p>
            <w:pPr>
              <w:jc w:val="center"/>
              <w:rPr>
                <w:rFonts w:ascii="宋体" w:hAnsi="宋体"/>
                <w:b/>
                <w:szCs w:val="21"/>
              </w:rPr>
            </w:pPr>
            <w:r>
              <w:rPr>
                <w:rFonts w:hint="eastAsia" w:ascii="宋体" w:hAnsi="宋体"/>
                <w:b/>
                <w:szCs w:val="21"/>
              </w:rPr>
              <w:t>区招标中心</w:t>
            </w:r>
          </w:p>
          <w:p>
            <w:pPr>
              <w:jc w:val="center"/>
              <w:rPr>
                <w:rFonts w:ascii="宋体" w:hAnsi="宋体"/>
                <w:b/>
                <w:szCs w:val="21"/>
              </w:rPr>
            </w:pPr>
            <w:r>
              <w:rPr>
                <w:rFonts w:hint="eastAsia" w:ascii="宋体" w:hAnsi="宋体"/>
                <w:b/>
                <w:szCs w:val="21"/>
              </w:rPr>
              <w:t>经 办 人</w:t>
            </w:r>
          </w:p>
          <w:p>
            <w:pPr>
              <w:spacing w:line="240" w:lineRule="atLeast"/>
              <w:jc w:val="center"/>
              <w:rPr>
                <w:rFonts w:ascii="黑体" w:hAnsi="宋体" w:eastAsia="黑体"/>
                <w:szCs w:val="21"/>
              </w:rPr>
            </w:pPr>
            <w:r>
              <w:rPr>
                <w:rFonts w:hint="eastAsia" w:ascii="宋体" w:hAnsi="宋体"/>
                <w:b/>
                <w:szCs w:val="21"/>
              </w:rPr>
              <w:t>办理意见</w:t>
            </w:r>
          </w:p>
        </w:tc>
        <w:tc>
          <w:tcPr>
            <w:tcW w:w="8160" w:type="dxa"/>
            <w:gridSpan w:val="7"/>
            <w:shd w:val="clear" w:color="auto" w:fill="auto"/>
            <w:vAlign w:val="bottom"/>
          </w:tcPr>
          <w:p>
            <w:pPr>
              <w:spacing w:beforeLines="50" w:line="360" w:lineRule="exact"/>
              <w:ind w:right="104"/>
              <w:jc w:val="right"/>
              <w:rPr>
                <w:rFonts w:ascii="楷体_GB2312" w:hAnsi="宋体" w:eastAsia="楷体_GB2312"/>
                <w:szCs w:val="21"/>
              </w:rPr>
            </w:pPr>
            <w:r>
              <w:rPr>
                <w:rFonts w:hint="eastAsia" w:ascii="楷体_GB2312" w:eastAsia="楷体_GB2312"/>
                <w:szCs w:val="21"/>
              </w:rPr>
              <w:t xml:space="preserve">  </w:t>
            </w:r>
            <w:r>
              <w:rPr>
                <w:rFonts w:hint="eastAsia" w:ascii="宋体" w:hAnsi="宋体"/>
                <w:szCs w:val="21"/>
              </w:rPr>
              <w:t>经办人（签字）：</w:t>
            </w:r>
            <w:r>
              <w:rPr>
                <w:rFonts w:hint="eastAsia" w:ascii="楷体_GB2312" w:eastAsia="楷体_GB2312"/>
                <w:szCs w:val="21"/>
              </w:rPr>
              <w:t xml:space="preserve">                   </w:t>
            </w:r>
            <w:r>
              <w:rPr>
                <w:rFonts w:hint="eastAsia" w:ascii="宋体" w:hAnsi="宋体"/>
                <w:szCs w:val="21"/>
              </w:rPr>
              <w:t>日期：</w:t>
            </w:r>
            <w:r>
              <w:rPr>
                <w:rFonts w:hint="eastAsia" w:ascii="楷体_GB2312" w:eastAsia="楷体_GB2312"/>
                <w:szCs w:val="21"/>
              </w:rPr>
              <w:t xml:space="preserve">    年   月   日</w:t>
            </w:r>
          </w:p>
        </w:tc>
      </w:tr>
    </w:tbl>
    <w:p>
      <w:pPr>
        <w:jc w:val="center"/>
        <w:rPr>
          <w:b/>
          <w:spacing w:val="30"/>
          <w:szCs w:val="21"/>
        </w:rPr>
      </w:pPr>
      <w:r>
        <w:rPr>
          <w:rFonts w:hint="eastAsia"/>
          <w:b/>
          <w:spacing w:val="30"/>
          <w:sz w:val="36"/>
          <w:szCs w:val="36"/>
        </w:rPr>
        <w:t>填报须知</w:t>
      </w:r>
    </w:p>
    <w:p>
      <w:pPr>
        <w:adjustRightInd w:val="0"/>
        <w:snapToGrid w:val="0"/>
        <w:spacing w:line="360" w:lineRule="exact"/>
        <w:ind w:firstLine="361" w:firstLineChars="150"/>
        <w:rPr>
          <w:rFonts w:ascii="仿宋_GB2312" w:hAnsi="宋体" w:eastAsia="仿宋_GB2312"/>
          <w:b/>
          <w:sz w:val="24"/>
        </w:rPr>
      </w:pPr>
      <w:r>
        <w:rPr>
          <w:rFonts w:hint="eastAsia" w:ascii="仿宋_GB2312" w:hAnsi="宋体" w:eastAsia="仿宋_GB2312"/>
          <w:b/>
          <w:sz w:val="24"/>
        </w:rPr>
        <w:t>一、使用预选企业库的建设工程项目，招标人应认真、如实填报本表。</w:t>
      </w:r>
    </w:p>
    <w:p>
      <w:pPr>
        <w:adjustRightInd w:val="0"/>
        <w:snapToGrid w:val="0"/>
        <w:spacing w:line="360" w:lineRule="exact"/>
        <w:ind w:firstLine="361" w:firstLineChars="150"/>
        <w:rPr>
          <w:rFonts w:ascii="仿宋_GB2312" w:hAnsi="宋体" w:eastAsia="仿宋_GB2312"/>
          <w:b/>
          <w:sz w:val="24"/>
        </w:rPr>
      </w:pPr>
      <w:r>
        <w:rPr>
          <w:rFonts w:hint="eastAsia" w:ascii="仿宋_GB2312" w:hAnsi="宋体" w:eastAsia="仿宋_GB2312"/>
          <w:b/>
          <w:sz w:val="24"/>
        </w:rPr>
        <w:t>二、办理招标信息登记时，需交验以下资料：</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（一）施工类</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1.区政府投资建设工程招标信息采集表（原件，一式两份，见附件1）；</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2.资金来源证明（复印件，一份，加盖建设单位公章）；</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3.预算审核报告和预算清单（复印件，一份，预算审核报告加盖建设单位公章，预算清单加盖建设单位骑缝章）；</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4.招标方案（主要包括招标公告和</w:t>
      </w:r>
      <w:r>
        <w:rPr>
          <w:rFonts w:ascii="仿宋_GB2312" w:hAnsi="宋体" w:eastAsia="仿宋_GB2312"/>
        </w:rPr>
        <w:t>合同的标的、价款、质量、履行期限等主要条款</w:t>
      </w:r>
      <w:r>
        <w:rPr>
          <w:rFonts w:hint="eastAsia" w:ascii="仿宋_GB2312" w:hAnsi="宋体" w:eastAsia="仿宋_GB2312"/>
        </w:rPr>
        <w:t>）；</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5.建设单位法定代表人证明书、法人授权委托书、法定代表人和被授权人身份证复印件（以上材料均须加盖公章）。</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（二）服务类</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1. 区政府投资建设工程招标信息采集表（原件，一式两份，见附件1）；</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2.资金来源证明（复印件，加盖建设单位公章）；</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3.招标方案（主要包括招标公告和</w:t>
      </w:r>
      <w:r>
        <w:rPr>
          <w:rFonts w:ascii="仿宋_GB2312" w:hAnsi="宋体" w:eastAsia="仿宋_GB2312"/>
        </w:rPr>
        <w:t>合同的标的、价款、质量、履行期限等主要条款</w:t>
      </w:r>
      <w:r>
        <w:rPr>
          <w:rFonts w:hint="eastAsia" w:ascii="仿宋_GB2312" w:hAnsi="宋体" w:eastAsia="仿宋_GB2312"/>
        </w:rPr>
        <w:t>，网上申报时上传电子版）；</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4.建设单位法定代表人证明书、法人授权委托书、法定代表人和被授权人身份证复印件（以上材料均须加盖公章）。</w:t>
      </w:r>
    </w:p>
    <w:p>
      <w:pPr>
        <w:adjustRightInd w:val="0"/>
        <w:snapToGrid w:val="0"/>
        <w:spacing w:line="360" w:lineRule="exact"/>
        <w:ind w:firstLine="361" w:firstLineChars="150"/>
        <w:rPr>
          <w:rFonts w:ascii="仿宋_GB2312" w:hAnsi="宋体" w:eastAsia="仿宋_GB2312"/>
          <w:b/>
          <w:sz w:val="24"/>
        </w:rPr>
      </w:pPr>
      <w:r>
        <w:rPr>
          <w:rFonts w:hint="eastAsia" w:ascii="仿宋_GB2312" w:hAnsi="宋体" w:eastAsia="仿宋_GB2312"/>
          <w:b/>
          <w:sz w:val="24"/>
        </w:rPr>
        <w:t>三、注释</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eastAsia="仿宋_GB2312"/>
        </w:rPr>
        <w:t xml:space="preserve">① </w:t>
      </w:r>
      <w:r>
        <w:rPr>
          <w:rFonts w:hint="eastAsia" w:ascii="仿宋_GB2312" w:hAnsi="宋体" w:eastAsia="仿宋_GB2312"/>
        </w:rPr>
        <w:t>招标部分估价：施工类指审定预算价，服务类指招标人拟投入本招标项目的估算金额。</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② 下浮率：仅适用于施工类项目，标底价在100万元（含）以上200万元（不含）以下的下浮10%，标底价在50万元（含）以上100万元（不含）以下的下浮8%。</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③中标（合同）金额：是指招标部分估价</w:t>
      </w:r>
      <w:r>
        <w:rPr>
          <w:rFonts w:hint="eastAsia" w:ascii="仿宋_GB2312" w:hAnsi="宋体" w:eastAsia="仿宋_GB2312"/>
        </w:rPr>
        <w:sym w:font="Wingdings 2" w:char="F0CD"/>
      </w:r>
      <w:r>
        <w:rPr>
          <w:rFonts w:hint="eastAsia" w:ascii="仿宋_GB2312" w:hAnsi="宋体" w:eastAsia="仿宋_GB2312"/>
        </w:rPr>
        <w:t>（1-下浮率）。</w:t>
      </w:r>
    </w:p>
    <w:p>
      <w:pPr>
        <w:pStyle w:val="10"/>
        <w:adjustRightInd w:val="0"/>
        <w:snapToGrid w:val="0"/>
        <w:spacing w:line="360" w:lineRule="exact"/>
        <w:ind w:firstLine="480" w:firstLineChars="200"/>
        <w:jc w:val="both"/>
        <w:rPr>
          <w:rFonts w:ascii="仿宋_GB2312" w:hAnsi="宋体" w:eastAsia="仿宋_GB2312"/>
        </w:rPr>
      </w:pPr>
      <w:r>
        <w:rPr>
          <w:rFonts w:hint="eastAsia" w:ascii="仿宋_GB2312" w:hAnsi="宋体" w:eastAsia="仿宋_GB2312"/>
        </w:rPr>
        <w:t>④投标人企业资质：招标人应当按照招标工程所需的最低条件设置投标人资格条件，禁止以不合理条件限制或者排斥潜在投标人参加投标。</w:t>
      </w:r>
    </w:p>
    <w:p>
      <w:pPr>
        <w:pStyle w:val="10"/>
        <w:adjustRightInd w:val="0"/>
        <w:snapToGrid w:val="0"/>
        <w:spacing w:line="360" w:lineRule="exact"/>
        <w:ind w:firstLine="480" w:firstLineChars="200"/>
        <w:jc w:val="both"/>
        <w:rPr>
          <w:rFonts w:ascii="仿宋_GB2312" w:hAnsi="宋体" w:eastAsia="仿宋_GB2312"/>
        </w:rPr>
      </w:pPr>
      <w:r>
        <w:rPr>
          <w:rFonts w:ascii="仿宋_GB2312" w:hAnsi="宋体" w:eastAsia="仿宋_GB2312"/>
        </w:rPr>
        <w:fldChar w:fldCharType="begin"/>
      </w:r>
      <w:r>
        <w:rPr>
          <w:rFonts w:ascii="仿宋_GB2312" w:hAnsi="宋体" w:eastAsia="仿宋_GB2312"/>
        </w:rPr>
        <w:instrText xml:space="preserve"> </w:instrText>
      </w:r>
      <w:r>
        <w:rPr>
          <w:rFonts w:hint="eastAsia" w:ascii="仿宋_GB2312" w:hAnsi="宋体" w:eastAsia="仿宋_GB2312"/>
        </w:rPr>
        <w:instrText xml:space="preserve">= 5 \* GB3</w:instrText>
      </w:r>
      <w:r>
        <w:rPr>
          <w:rFonts w:ascii="仿宋_GB2312" w:hAnsi="宋体" w:eastAsia="仿宋_GB2312"/>
        </w:rPr>
        <w:instrText xml:space="preserve"> </w:instrText>
      </w:r>
      <w:r>
        <w:rPr>
          <w:rFonts w:ascii="仿宋_GB2312" w:hAnsi="宋体" w:eastAsia="仿宋_GB2312"/>
        </w:rPr>
        <w:fldChar w:fldCharType="separate"/>
      </w:r>
      <w:r>
        <w:rPr>
          <w:rFonts w:hint="eastAsia" w:ascii="仿宋_GB2312" w:hAnsi="宋体" w:eastAsia="仿宋_GB2312"/>
        </w:rPr>
        <w:t>⑤</w:t>
      </w:r>
      <w:r>
        <w:rPr>
          <w:rFonts w:ascii="仿宋_GB2312" w:hAnsi="宋体" w:eastAsia="仿宋_GB2312"/>
        </w:rPr>
        <w:fldChar w:fldCharType="end"/>
      </w:r>
      <w:r>
        <w:rPr>
          <w:rFonts w:hint="eastAsia" w:ascii="仿宋_GB2312" w:hAnsi="宋体" w:eastAsia="仿宋_GB2312"/>
        </w:rPr>
        <w:t>招标人审核意见，是要求招标人在该栏目中签署审核意见，并明确表示“资料已审核，同意招标”。</w:t>
      </w:r>
    </w:p>
    <w:p>
      <w:pPr>
        <w:pStyle w:val="10"/>
        <w:adjustRightInd w:val="0"/>
        <w:snapToGrid w:val="0"/>
        <w:spacing w:line="360" w:lineRule="exact"/>
        <w:ind w:firstLine="480" w:firstLineChars="200"/>
        <w:jc w:val="both"/>
        <w:rPr>
          <w:rFonts w:ascii="仿宋_GB2312" w:hAnsi="宋体" w:eastAsia="仿宋_GB2312"/>
        </w:rPr>
      </w:pPr>
      <w:r>
        <w:rPr>
          <w:rFonts w:ascii="仿宋_GB2312" w:hAnsi="宋体" w:eastAsia="仿宋_GB2312"/>
        </w:rPr>
        <w:fldChar w:fldCharType="begin"/>
      </w:r>
      <w:r>
        <w:rPr>
          <w:rFonts w:ascii="仿宋_GB2312" w:hAnsi="宋体" w:eastAsia="仿宋_GB2312"/>
        </w:rPr>
        <w:instrText xml:space="preserve"> </w:instrText>
      </w:r>
      <w:r>
        <w:rPr>
          <w:rFonts w:hint="eastAsia" w:ascii="仿宋_GB2312" w:hAnsi="宋体" w:eastAsia="仿宋_GB2312"/>
        </w:rPr>
        <w:instrText xml:space="preserve">= 6 \* GB3</w:instrText>
      </w:r>
      <w:r>
        <w:rPr>
          <w:rFonts w:ascii="仿宋_GB2312" w:hAnsi="宋体" w:eastAsia="仿宋_GB2312"/>
        </w:rPr>
        <w:instrText xml:space="preserve"> </w:instrText>
      </w:r>
      <w:r>
        <w:rPr>
          <w:rFonts w:ascii="仿宋_GB2312" w:hAnsi="宋体" w:eastAsia="仿宋_GB2312"/>
        </w:rPr>
        <w:fldChar w:fldCharType="separate"/>
      </w:r>
      <w:r>
        <w:rPr>
          <w:rFonts w:hint="eastAsia" w:ascii="仿宋_GB2312" w:hAnsi="宋体" w:eastAsia="仿宋_GB2312"/>
        </w:rPr>
        <w:t>⑥</w:t>
      </w:r>
      <w:r>
        <w:rPr>
          <w:rFonts w:ascii="仿宋_GB2312" w:hAnsi="宋体" w:eastAsia="仿宋_GB2312"/>
        </w:rPr>
        <w:fldChar w:fldCharType="end"/>
      </w:r>
      <w:r>
        <w:rPr>
          <w:rFonts w:hint="eastAsia" w:ascii="仿宋_GB2312" w:hAnsi="宋体" w:eastAsia="仿宋_GB2312"/>
        </w:rPr>
        <w:t>应明确招标项目适用的组别名称。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Helvetica">
    <w:altName w:val="汉仪君黑-35简"/>
    <w:panose1 w:val="020B0604020202020204"/>
    <w:charset w:val="00"/>
    <w:family w:val="swiss"/>
    <w:pitch w:val="default"/>
    <w:sig w:usb0="00000000" w:usb1="00000000" w:usb2="00000009" w:usb3="00000000" w:csb0="000001FF" w:csb1="00000000"/>
  </w:font>
  <w:font w:name="汉仪君黑-35简">
    <w:panose1 w:val="020B0604020202020204"/>
    <w:charset w:val="86"/>
    <w:family w:val="auto"/>
    <w:pitch w:val="default"/>
    <w:sig w:usb0="A00002BF" w:usb1="0ACF7CFA" w:usb2="00000016" w:usb3="00000000" w:csb0="2004000F" w:csb1="00000000"/>
  </w:font>
  <w:font w:name="楷体_GB2312">
    <w:altName w:val="方正楷体_GBK"/>
    <w:panose1 w:val="02010609030101010101"/>
    <w:charset w:val="86"/>
    <w:family w:val="modern"/>
    <w:pitch w:val="default"/>
    <w:sig w:usb0="00000000" w:usb1="00000000" w:usb2="00000010" w:usb3="00000000" w:csb0="00040000" w:csb1="00000000"/>
  </w:font>
  <w:font w:name="方正楷体_GBK">
    <w:panose1 w:val="02000000000000000000"/>
    <w:charset w:val="86"/>
    <w:family w:val="auto"/>
    <w:pitch w:val="default"/>
    <w:sig w:usb0="00000001" w:usb1="08000000" w:usb2="00000000" w:usb3="00000000" w:csb0="00040000" w:csb1="00000000"/>
  </w:font>
  <w:font w:name="Wingdings 2">
    <w:altName w:val="汉仪中等线B5"/>
    <w:panose1 w:val="05020102010507070707"/>
    <w:charset w:val="02"/>
    <w:family w:val="roman"/>
    <w:pitch w:val="default"/>
    <w:sig w:usb0="00000000" w:usb1="00000000" w:usb2="00000000" w:usb3="00000000" w:csb0="80000000" w:csb1="00000000"/>
  </w:font>
  <w:font w:name="汉仪中等线B5">
    <w:panose1 w:val="0101010401010101010B"/>
    <w:charset w:val="86"/>
    <w:family w:val="auto"/>
    <w:pitch w:val="default"/>
    <w:sig w:usb0="800000A3" w:usb1="00497878"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62AEB"/>
    <w:rsid w:val="00012D24"/>
    <w:rsid w:val="00036465"/>
    <w:rsid w:val="00041138"/>
    <w:rsid w:val="000456B4"/>
    <w:rsid w:val="00061192"/>
    <w:rsid w:val="00061EDF"/>
    <w:rsid w:val="00064B17"/>
    <w:rsid w:val="000650C3"/>
    <w:rsid w:val="00082802"/>
    <w:rsid w:val="000A16D5"/>
    <w:rsid w:val="000A2EA9"/>
    <w:rsid w:val="000A41B0"/>
    <w:rsid w:val="000A57F4"/>
    <w:rsid w:val="000A6954"/>
    <w:rsid w:val="000A73F1"/>
    <w:rsid w:val="000B328D"/>
    <w:rsid w:val="000B3ADB"/>
    <w:rsid w:val="000C55A9"/>
    <w:rsid w:val="000E3451"/>
    <w:rsid w:val="0010497B"/>
    <w:rsid w:val="001212F5"/>
    <w:rsid w:val="00137493"/>
    <w:rsid w:val="00153701"/>
    <w:rsid w:val="00157DBF"/>
    <w:rsid w:val="00160149"/>
    <w:rsid w:val="001619E7"/>
    <w:rsid w:val="00161CAB"/>
    <w:rsid w:val="00167D45"/>
    <w:rsid w:val="00172889"/>
    <w:rsid w:val="001778D5"/>
    <w:rsid w:val="001816C6"/>
    <w:rsid w:val="001861D0"/>
    <w:rsid w:val="0018756E"/>
    <w:rsid w:val="00192CD3"/>
    <w:rsid w:val="001932F7"/>
    <w:rsid w:val="001939A6"/>
    <w:rsid w:val="001B7F76"/>
    <w:rsid w:val="001C67BE"/>
    <w:rsid w:val="001E6A6A"/>
    <w:rsid w:val="001E73F0"/>
    <w:rsid w:val="001F73C8"/>
    <w:rsid w:val="001F772A"/>
    <w:rsid w:val="00204776"/>
    <w:rsid w:val="00212BFA"/>
    <w:rsid w:val="002130F7"/>
    <w:rsid w:val="00214C24"/>
    <w:rsid w:val="00215010"/>
    <w:rsid w:val="00221512"/>
    <w:rsid w:val="002228DE"/>
    <w:rsid w:val="00240025"/>
    <w:rsid w:val="0025423C"/>
    <w:rsid w:val="00254894"/>
    <w:rsid w:val="00262464"/>
    <w:rsid w:val="0027001D"/>
    <w:rsid w:val="002702E6"/>
    <w:rsid w:val="00272EED"/>
    <w:rsid w:val="00275B46"/>
    <w:rsid w:val="00276391"/>
    <w:rsid w:val="00293276"/>
    <w:rsid w:val="00294A6A"/>
    <w:rsid w:val="00294BC1"/>
    <w:rsid w:val="002966E7"/>
    <w:rsid w:val="002A1CE5"/>
    <w:rsid w:val="002A5F6F"/>
    <w:rsid w:val="002B41EC"/>
    <w:rsid w:val="002D044D"/>
    <w:rsid w:val="002D0B3A"/>
    <w:rsid w:val="002D584C"/>
    <w:rsid w:val="002E248E"/>
    <w:rsid w:val="002E5691"/>
    <w:rsid w:val="002E56C2"/>
    <w:rsid w:val="002F2AC8"/>
    <w:rsid w:val="003039F7"/>
    <w:rsid w:val="00307151"/>
    <w:rsid w:val="00313714"/>
    <w:rsid w:val="00321D8A"/>
    <w:rsid w:val="003227AC"/>
    <w:rsid w:val="003263BF"/>
    <w:rsid w:val="00326445"/>
    <w:rsid w:val="00334950"/>
    <w:rsid w:val="00340610"/>
    <w:rsid w:val="00344240"/>
    <w:rsid w:val="00345A9E"/>
    <w:rsid w:val="00345B12"/>
    <w:rsid w:val="003520F7"/>
    <w:rsid w:val="00361DC1"/>
    <w:rsid w:val="003713DC"/>
    <w:rsid w:val="003816BC"/>
    <w:rsid w:val="003818E1"/>
    <w:rsid w:val="0038716E"/>
    <w:rsid w:val="00393ABF"/>
    <w:rsid w:val="00393E73"/>
    <w:rsid w:val="003A52BC"/>
    <w:rsid w:val="003B2620"/>
    <w:rsid w:val="003B6CA6"/>
    <w:rsid w:val="003C1D32"/>
    <w:rsid w:val="003C7F16"/>
    <w:rsid w:val="003D450D"/>
    <w:rsid w:val="003F04D9"/>
    <w:rsid w:val="003F28AA"/>
    <w:rsid w:val="00421221"/>
    <w:rsid w:val="004239FC"/>
    <w:rsid w:val="0042401C"/>
    <w:rsid w:val="00435986"/>
    <w:rsid w:val="00435E09"/>
    <w:rsid w:val="00447B63"/>
    <w:rsid w:val="00447B8B"/>
    <w:rsid w:val="00451C4A"/>
    <w:rsid w:val="004617AF"/>
    <w:rsid w:val="00462514"/>
    <w:rsid w:val="004702C9"/>
    <w:rsid w:val="00470E15"/>
    <w:rsid w:val="004712F8"/>
    <w:rsid w:val="00486A8C"/>
    <w:rsid w:val="004950A8"/>
    <w:rsid w:val="004A2B4F"/>
    <w:rsid w:val="004C0466"/>
    <w:rsid w:val="004C72B7"/>
    <w:rsid w:val="004D1154"/>
    <w:rsid w:val="004D2D21"/>
    <w:rsid w:val="004D3CBE"/>
    <w:rsid w:val="004D48AD"/>
    <w:rsid w:val="004F2B17"/>
    <w:rsid w:val="004F42AE"/>
    <w:rsid w:val="0050569C"/>
    <w:rsid w:val="00513EC7"/>
    <w:rsid w:val="00531094"/>
    <w:rsid w:val="00560BF5"/>
    <w:rsid w:val="0056345C"/>
    <w:rsid w:val="00563FDD"/>
    <w:rsid w:val="0056678D"/>
    <w:rsid w:val="00574718"/>
    <w:rsid w:val="00577355"/>
    <w:rsid w:val="00577510"/>
    <w:rsid w:val="005779B6"/>
    <w:rsid w:val="00585C94"/>
    <w:rsid w:val="005902EF"/>
    <w:rsid w:val="00596F10"/>
    <w:rsid w:val="005B0381"/>
    <w:rsid w:val="005B1155"/>
    <w:rsid w:val="005C0460"/>
    <w:rsid w:val="005E1860"/>
    <w:rsid w:val="00600B05"/>
    <w:rsid w:val="00605837"/>
    <w:rsid w:val="00612BF2"/>
    <w:rsid w:val="00621FAA"/>
    <w:rsid w:val="00630C55"/>
    <w:rsid w:val="00631B59"/>
    <w:rsid w:val="006359E7"/>
    <w:rsid w:val="006430AC"/>
    <w:rsid w:val="00646372"/>
    <w:rsid w:val="006727C4"/>
    <w:rsid w:val="0067759D"/>
    <w:rsid w:val="0068187B"/>
    <w:rsid w:val="0068485B"/>
    <w:rsid w:val="0068541F"/>
    <w:rsid w:val="006A5BBD"/>
    <w:rsid w:val="006B5EB8"/>
    <w:rsid w:val="006C443A"/>
    <w:rsid w:val="006D5A1F"/>
    <w:rsid w:val="006D5DB9"/>
    <w:rsid w:val="006E105E"/>
    <w:rsid w:val="006E1B03"/>
    <w:rsid w:val="006F09B8"/>
    <w:rsid w:val="00706C28"/>
    <w:rsid w:val="007123DD"/>
    <w:rsid w:val="00721767"/>
    <w:rsid w:val="007234C7"/>
    <w:rsid w:val="0073519D"/>
    <w:rsid w:val="0075589A"/>
    <w:rsid w:val="007563BE"/>
    <w:rsid w:val="00757CD5"/>
    <w:rsid w:val="00762AEB"/>
    <w:rsid w:val="007633D8"/>
    <w:rsid w:val="00775C48"/>
    <w:rsid w:val="00787307"/>
    <w:rsid w:val="00790141"/>
    <w:rsid w:val="00795495"/>
    <w:rsid w:val="00795EE6"/>
    <w:rsid w:val="007A0093"/>
    <w:rsid w:val="007A38A3"/>
    <w:rsid w:val="007A4869"/>
    <w:rsid w:val="007B59A3"/>
    <w:rsid w:val="007F70C8"/>
    <w:rsid w:val="007F75AE"/>
    <w:rsid w:val="00812458"/>
    <w:rsid w:val="0082489A"/>
    <w:rsid w:val="008308F9"/>
    <w:rsid w:val="00835D9E"/>
    <w:rsid w:val="00837EEF"/>
    <w:rsid w:val="00864E25"/>
    <w:rsid w:val="00865B97"/>
    <w:rsid w:val="00877A17"/>
    <w:rsid w:val="00877D26"/>
    <w:rsid w:val="0088031D"/>
    <w:rsid w:val="00891564"/>
    <w:rsid w:val="00892BDD"/>
    <w:rsid w:val="008B091E"/>
    <w:rsid w:val="008B727C"/>
    <w:rsid w:val="008D673C"/>
    <w:rsid w:val="008D6E5E"/>
    <w:rsid w:val="008F0A2D"/>
    <w:rsid w:val="008F13AA"/>
    <w:rsid w:val="00920711"/>
    <w:rsid w:val="00920C15"/>
    <w:rsid w:val="0092527B"/>
    <w:rsid w:val="0092677F"/>
    <w:rsid w:val="009377B5"/>
    <w:rsid w:val="00967AD6"/>
    <w:rsid w:val="009753A6"/>
    <w:rsid w:val="00981D9E"/>
    <w:rsid w:val="009941BB"/>
    <w:rsid w:val="0099480C"/>
    <w:rsid w:val="009A0A65"/>
    <w:rsid w:val="009A1218"/>
    <w:rsid w:val="009A46FF"/>
    <w:rsid w:val="009A59AF"/>
    <w:rsid w:val="009B30DD"/>
    <w:rsid w:val="009D1D84"/>
    <w:rsid w:val="009D23CA"/>
    <w:rsid w:val="009D2C7C"/>
    <w:rsid w:val="009F736B"/>
    <w:rsid w:val="00A056B9"/>
    <w:rsid w:val="00A112C1"/>
    <w:rsid w:val="00A236B3"/>
    <w:rsid w:val="00A4189D"/>
    <w:rsid w:val="00A43DF1"/>
    <w:rsid w:val="00A62A6A"/>
    <w:rsid w:val="00A765AA"/>
    <w:rsid w:val="00A80706"/>
    <w:rsid w:val="00AB73F9"/>
    <w:rsid w:val="00AC1767"/>
    <w:rsid w:val="00AC6D23"/>
    <w:rsid w:val="00AE54DC"/>
    <w:rsid w:val="00AF50D9"/>
    <w:rsid w:val="00B003A1"/>
    <w:rsid w:val="00B2386F"/>
    <w:rsid w:val="00B23D27"/>
    <w:rsid w:val="00B35071"/>
    <w:rsid w:val="00B447C9"/>
    <w:rsid w:val="00B52231"/>
    <w:rsid w:val="00B53CEC"/>
    <w:rsid w:val="00B54553"/>
    <w:rsid w:val="00B55EC4"/>
    <w:rsid w:val="00B5741A"/>
    <w:rsid w:val="00B65226"/>
    <w:rsid w:val="00B77E8D"/>
    <w:rsid w:val="00B87761"/>
    <w:rsid w:val="00BA2612"/>
    <w:rsid w:val="00BA49EA"/>
    <w:rsid w:val="00BB1261"/>
    <w:rsid w:val="00BC1F39"/>
    <w:rsid w:val="00BD2D17"/>
    <w:rsid w:val="00BD7EBD"/>
    <w:rsid w:val="00BE0EF4"/>
    <w:rsid w:val="00BE2614"/>
    <w:rsid w:val="00BE3A4F"/>
    <w:rsid w:val="00BE5B22"/>
    <w:rsid w:val="00BE7CC8"/>
    <w:rsid w:val="00BF202F"/>
    <w:rsid w:val="00BF3A2F"/>
    <w:rsid w:val="00C033A3"/>
    <w:rsid w:val="00C07E38"/>
    <w:rsid w:val="00C168E2"/>
    <w:rsid w:val="00C17FA8"/>
    <w:rsid w:val="00C25763"/>
    <w:rsid w:val="00C25EFF"/>
    <w:rsid w:val="00C31A9A"/>
    <w:rsid w:val="00C5105D"/>
    <w:rsid w:val="00C618F4"/>
    <w:rsid w:val="00C64242"/>
    <w:rsid w:val="00C65E4B"/>
    <w:rsid w:val="00C8031C"/>
    <w:rsid w:val="00C841CB"/>
    <w:rsid w:val="00C92474"/>
    <w:rsid w:val="00C95A0B"/>
    <w:rsid w:val="00C96348"/>
    <w:rsid w:val="00CA4B13"/>
    <w:rsid w:val="00CA7E18"/>
    <w:rsid w:val="00CA7F5B"/>
    <w:rsid w:val="00CC2CBE"/>
    <w:rsid w:val="00CD3E6E"/>
    <w:rsid w:val="00CD7CD9"/>
    <w:rsid w:val="00CE2B84"/>
    <w:rsid w:val="00CE6B4D"/>
    <w:rsid w:val="00CE733C"/>
    <w:rsid w:val="00CF0BFB"/>
    <w:rsid w:val="00D01E03"/>
    <w:rsid w:val="00D03167"/>
    <w:rsid w:val="00D053B3"/>
    <w:rsid w:val="00D0759E"/>
    <w:rsid w:val="00D12C88"/>
    <w:rsid w:val="00D145F8"/>
    <w:rsid w:val="00D2316A"/>
    <w:rsid w:val="00D253DC"/>
    <w:rsid w:val="00D30B61"/>
    <w:rsid w:val="00D353E7"/>
    <w:rsid w:val="00D361E0"/>
    <w:rsid w:val="00D363CB"/>
    <w:rsid w:val="00D42264"/>
    <w:rsid w:val="00D5031C"/>
    <w:rsid w:val="00D67367"/>
    <w:rsid w:val="00D71471"/>
    <w:rsid w:val="00D73249"/>
    <w:rsid w:val="00D83AD3"/>
    <w:rsid w:val="00D8449F"/>
    <w:rsid w:val="00D87B7D"/>
    <w:rsid w:val="00D95165"/>
    <w:rsid w:val="00DB1CD5"/>
    <w:rsid w:val="00DB44DD"/>
    <w:rsid w:val="00DC65CE"/>
    <w:rsid w:val="00DC66DA"/>
    <w:rsid w:val="00DD33DC"/>
    <w:rsid w:val="00DD6E74"/>
    <w:rsid w:val="00DF572D"/>
    <w:rsid w:val="00DF6D3F"/>
    <w:rsid w:val="00E142AA"/>
    <w:rsid w:val="00E23566"/>
    <w:rsid w:val="00E25CC4"/>
    <w:rsid w:val="00E27032"/>
    <w:rsid w:val="00E30272"/>
    <w:rsid w:val="00E338AA"/>
    <w:rsid w:val="00E455D3"/>
    <w:rsid w:val="00E565D9"/>
    <w:rsid w:val="00E702B2"/>
    <w:rsid w:val="00E70BB5"/>
    <w:rsid w:val="00E772C0"/>
    <w:rsid w:val="00E84E7B"/>
    <w:rsid w:val="00E87119"/>
    <w:rsid w:val="00EA278E"/>
    <w:rsid w:val="00EA4324"/>
    <w:rsid w:val="00EB0A9D"/>
    <w:rsid w:val="00ED085B"/>
    <w:rsid w:val="00ED3E5F"/>
    <w:rsid w:val="00EF3E43"/>
    <w:rsid w:val="00F018FA"/>
    <w:rsid w:val="00F02360"/>
    <w:rsid w:val="00F06705"/>
    <w:rsid w:val="00F31F56"/>
    <w:rsid w:val="00F4011E"/>
    <w:rsid w:val="00F4146E"/>
    <w:rsid w:val="00F54830"/>
    <w:rsid w:val="00F55E82"/>
    <w:rsid w:val="00F6207E"/>
    <w:rsid w:val="00F62274"/>
    <w:rsid w:val="00F757AC"/>
    <w:rsid w:val="00F76826"/>
    <w:rsid w:val="00FB54A2"/>
    <w:rsid w:val="00FB56FE"/>
    <w:rsid w:val="00FC17D8"/>
    <w:rsid w:val="00FC1D1D"/>
    <w:rsid w:val="00FC5D2C"/>
    <w:rsid w:val="00FC6A3E"/>
    <w:rsid w:val="00FE3AFF"/>
    <w:rsid w:val="00FF4ED1"/>
    <w:rsid w:val="00FF7C3F"/>
    <w:rsid w:val="12E41DBD"/>
    <w:rsid w:val="37FF0D63"/>
    <w:rsid w:val="677C3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列出段落1"/>
    <w:basedOn w:val="1"/>
    <w:unhideWhenUsed/>
    <w:qFormat/>
    <w:uiPriority w:val="99"/>
    <w:pPr>
      <w:ind w:firstLine="420" w:firstLineChars="200"/>
    </w:pPr>
  </w:style>
  <w:style w:type="paragraph" w:customStyle="1" w:styleId="10">
    <w:name w:val="表格文字"/>
    <w:basedOn w:val="1"/>
    <w:qFormat/>
    <w:uiPriority w:val="0"/>
    <w:pPr>
      <w:jc w:val="center"/>
    </w:pPr>
    <w:rPr>
      <w:rFonts w:ascii="宋体" w:hAnsi="Times New Roman" w:eastAsia="宋体" w:cs="Times New Roman"/>
      <w:sz w:val="24"/>
      <w:szCs w:val="24"/>
    </w:rPr>
  </w:style>
  <w:style w:type="paragraph" w:customStyle="1" w:styleId="11">
    <w:name w:val="Char Char Char Char"/>
    <w:basedOn w:val="1"/>
    <w:qFormat/>
    <w:uiPriority w:val="0"/>
    <w:pPr>
      <w:tabs>
        <w:tab w:val="left" w:pos="360"/>
      </w:tabs>
    </w:pPr>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11</Pages>
  <Words>842</Words>
  <Characters>4803</Characters>
  <Lines>40</Lines>
  <Paragraphs>11</Paragraphs>
  <TotalTime>1436</TotalTime>
  <ScaleCrop>false</ScaleCrop>
  <LinksUpToDate>false</LinksUpToDate>
  <CharactersWithSpaces>5634</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2016-06-21T19:51:00Z</dcterms:created>
  <dc:creator>wujunliang</dc:creator>
  <cp:lastModifiedBy>cxy</cp:lastModifiedBy>
  <cp:lastPrinted>2016-07-12T12:53:00Z</cp:lastPrinted>
  <dcterms:modified xsi:type="dcterms:W3CDTF">2023-11-27T18:23:05Z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B0E12C1717C4B1B5096E6465809BDB3F</vt:lpwstr>
  </property>
</Properties>
</file>