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Style w:val="20"/>
          <w:rFonts w:hint="default" w:cstheme="minorBidi"/>
          <w:kern w:val="2"/>
          <w:lang w:val="en-US" w:bidi="ar-SA"/>
        </w:rPr>
      </w:pPr>
      <w:bookmarkStart w:id="0" w:name="bookmark1"/>
      <w:r>
        <w:rPr>
          <w:rStyle w:val="20"/>
          <w:rFonts w:hint="default" w:cstheme="minorBidi"/>
          <w:kern w:val="2"/>
          <w:lang w:bidi="ar-SA"/>
        </w:rPr>
        <w:t>罗湖区政府投资代建项目工程质量潜在缺陷保险实施细则</w:t>
      </w:r>
    </w:p>
    <w:bookmarkEnd w:id="0"/>
    <w:p>
      <w:bookmarkStart w:id="1" w:name="bookmark3"/>
    </w:p>
    <w:bookmarkEnd w:id="1"/>
    <w:p>
      <w:pPr>
        <w:spacing w:line="300" w:lineRule="auto"/>
        <w:ind w:firstLine="640" w:firstLineChars="200"/>
        <w:jc w:val="both"/>
        <w:rPr>
          <w:rStyle w:val="21"/>
          <w:rFonts w:hint="default" w:hAnsiTheme="minorHAnsi" w:cstheme="minorBidi"/>
          <w:kern w:val="2"/>
          <w:lang w:val="en-US" w:bidi="ar-SA"/>
        </w:rPr>
      </w:pPr>
      <w:r>
        <w:rPr>
          <w:rStyle w:val="21"/>
          <w:rFonts w:hint="default" w:hAnsiTheme="minorHAnsi" w:cstheme="minorBidi"/>
          <w:kern w:val="2"/>
          <w:lang w:bidi="ar-SA"/>
        </w:rPr>
        <w:t>为加强对代建项目工程质量的有效监控，引入市场化运作机制，建立工程质量保障体系，提升工程建设质量水平，维护代建项目委托单位合法权益，结合《管理办法》有关要求及保险行业情况，特制定本实施细则。</w:t>
      </w:r>
    </w:p>
    <w:p>
      <w:pPr>
        <w:pStyle w:val="3"/>
        <w:keepNext/>
        <w:keepLines/>
        <w:spacing w:before="0" w:after="0" w:line="560" w:lineRule="exact"/>
        <w:ind w:firstLine="642" w:firstLineChars="200"/>
        <w:rPr>
          <w:rFonts w:ascii="Arial" w:hAnsi="Arial" w:eastAsia="黑体"/>
          <w:sz w:val="32"/>
          <w:lang w:val="en-US"/>
        </w:rPr>
      </w:pPr>
      <w:r>
        <w:rPr>
          <w:rFonts w:hint="eastAsia" w:ascii="Arial" w:hAnsi="Arial" w:eastAsia="黑体"/>
          <w:sz w:val="32"/>
        </w:rPr>
        <w:t>一、指导原则</w:t>
      </w:r>
    </w:p>
    <w:p>
      <w:pPr>
        <w:pStyle w:val="19"/>
        <w:shd w:val="clear" w:color="auto" w:fill="auto"/>
        <w:spacing w:after="0" w:line="619" w:lineRule="exact"/>
        <w:ind w:firstLine="720"/>
        <w:jc w:val="both"/>
        <w:rPr>
          <w:rStyle w:val="21"/>
          <w:rFonts w:hint="default" w:hAnsiTheme="minorHAnsi" w:cstheme="minorBidi"/>
          <w:spacing w:val="0"/>
        </w:rPr>
      </w:pPr>
      <w:r>
        <w:rPr>
          <w:rStyle w:val="21"/>
          <w:rFonts w:hint="default" w:hAnsiTheme="minorHAnsi" w:cstheme="minorBidi"/>
          <w:spacing w:val="0"/>
        </w:rPr>
        <w:t>以“政府引导、市场运作、先行先试、逐步推广”为基本原则，积极发挥市场在工程质量保障体系中的主导作用，稳步推进建筑工程质量潜在缺陷保险（以下简称：IDI保险）实施工作。</w:t>
      </w:r>
    </w:p>
    <w:p>
      <w:pPr>
        <w:pStyle w:val="3"/>
        <w:keepNext/>
        <w:keepLines/>
        <w:spacing w:before="0" w:after="0" w:line="560" w:lineRule="exact"/>
        <w:ind w:firstLine="642" w:firstLineChars="200"/>
        <w:rPr>
          <w:rFonts w:ascii="Arial" w:hAnsi="Arial" w:eastAsia="黑体"/>
          <w:sz w:val="32"/>
        </w:rPr>
      </w:pPr>
      <w:r>
        <w:rPr>
          <w:rFonts w:hint="eastAsia" w:ascii="Arial" w:hAnsi="Arial" w:eastAsia="黑体"/>
          <w:sz w:val="32"/>
        </w:rPr>
        <w:t>二、适用范围</w:t>
      </w:r>
    </w:p>
    <w:p>
      <w:pPr>
        <w:pStyle w:val="19"/>
        <w:shd w:val="clear" w:color="auto" w:fill="auto"/>
        <w:spacing w:after="0" w:line="619" w:lineRule="exact"/>
        <w:ind w:firstLine="720"/>
        <w:jc w:val="both"/>
        <w:rPr>
          <w:rStyle w:val="21"/>
          <w:rFonts w:hint="default" w:hAnsiTheme="minorHAnsi" w:cstheme="minorBidi"/>
          <w:spacing w:val="0"/>
        </w:rPr>
      </w:pPr>
      <w:r>
        <w:rPr>
          <w:rStyle w:val="21"/>
          <w:rFonts w:hint="default" w:hAnsiTheme="minorHAnsi" w:cstheme="minorBidi"/>
          <w:spacing w:val="0"/>
        </w:rPr>
        <w:t>本实施细则原则上适用于罗湖区政府投资采用代建制进行 建设的项目。具体项目由区发展改革部门根据本细则中的保险标的内容确定。</w:t>
      </w:r>
    </w:p>
    <w:p>
      <w:pPr>
        <w:pStyle w:val="3"/>
        <w:keepNext/>
        <w:keepLines/>
        <w:spacing w:before="0" w:after="0" w:line="560" w:lineRule="exact"/>
        <w:ind w:firstLine="642" w:firstLineChars="200"/>
        <w:rPr>
          <w:rFonts w:ascii="Arial" w:hAnsi="Arial" w:eastAsia="黑体"/>
          <w:sz w:val="32"/>
        </w:rPr>
      </w:pPr>
      <w:r>
        <w:rPr>
          <w:rFonts w:hint="eastAsia" w:ascii="Arial" w:hAnsi="Arial" w:eastAsia="黑体"/>
          <w:sz w:val="32"/>
        </w:rPr>
        <w:t>三、工作目标</w:t>
      </w:r>
    </w:p>
    <w:p>
      <w:pPr>
        <w:pStyle w:val="19"/>
        <w:shd w:val="clear" w:color="auto" w:fill="auto"/>
        <w:spacing w:after="0" w:line="619" w:lineRule="exact"/>
        <w:ind w:firstLine="720"/>
        <w:jc w:val="both"/>
        <w:rPr>
          <w:rStyle w:val="21"/>
          <w:rFonts w:hint="default" w:hAnsiTheme="minorHAnsi" w:cstheme="minorBidi"/>
          <w:spacing w:val="0"/>
        </w:rPr>
      </w:pPr>
      <w:r>
        <w:rPr>
          <w:rStyle w:val="21"/>
          <w:rFonts w:hint="default" w:hAnsiTheme="minorHAnsi" w:cstheme="minorBidi"/>
          <w:spacing w:val="0"/>
        </w:rPr>
        <w:t>探索建立符合市场经济规律和行业发展实际的IDI保险制 度，制定合理可行的实施细则，有效防范和化解工程质量问题引发的风险，逐步扩大实施范围，全面普及推广IDI保险。</w:t>
      </w:r>
    </w:p>
    <w:p>
      <w:pPr>
        <w:pStyle w:val="3"/>
        <w:keepNext/>
        <w:keepLines/>
        <w:spacing w:before="0" w:after="0" w:line="560" w:lineRule="exact"/>
        <w:ind w:firstLine="642" w:firstLineChars="200"/>
        <w:rPr>
          <w:rFonts w:ascii="Arial" w:hAnsi="Arial" w:eastAsia="黑体"/>
          <w:sz w:val="32"/>
        </w:rPr>
      </w:pPr>
      <w:r>
        <w:rPr>
          <w:rFonts w:hint="eastAsia" w:ascii="Arial" w:hAnsi="Arial" w:eastAsia="黑体"/>
          <w:sz w:val="32"/>
        </w:rPr>
        <w:t>四、相关定义</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本实施细则所称的IDI保险指由代建工程的委托单位投保 的，保险公司根据保险条款约定，对在正常使用条件下因工程质量潜在缺陷导致代建工程损坏，履行维修或赔偿责任的保险。</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正常使用条件指代建工程的原设计条件使用和维护保险建 筑，包括：</w:t>
      </w:r>
    </w:p>
    <w:p>
      <w:pPr>
        <w:pStyle w:val="19"/>
        <w:numPr>
          <w:ilvl w:val="0"/>
          <w:numId w:val="1"/>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不改变代建工程主体结构和设备设施位置；</w:t>
      </w:r>
    </w:p>
    <w:p>
      <w:pPr>
        <w:pStyle w:val="19"/>
        <w:numPr>
          <w:ilvl w:val="0"/>
          <w:numId w:val="1"/>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不改变原设计用途；</w:t>
      </w:r>
    </w:p>
    <w:p>
      <w:pPr>
        <w:pStyle w:val="19"/>
        <w:numPr>
          <w:ilvl w:val="0"/>
          <w:numId w:val="1"/>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不超过原设计荷载。</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工程质量潜在缺陷指因设计、材料和施工等原因造成的工 程质量不符合国家工程建设强制性标准以及合同的约定，并在使用过程中暴露出的质量缺陷。</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损坏指代建工程（包括房建项目和部分市政工程项目）原结 构出现的结构性损坏或防水工程的渗漏，以及代建工程竣工验 收时所包含的装修、设备设施因前述结构性损坏或渗漏造成的 损坏。</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维修指对损坏的部位（包括与其附着的部分）进行返修、加固或重建等。</w:t>
      </w:r>
    </w:p>
    <w:p>
      <w:pPr>
        <w:pStyle w:val="19"/>
        <w:shd w:val="clear" w:color="auto" w:fill="auto"/>
        <w:spacing w:after="0" w:line="619" w:lineRule="exact"/>
        <w:ind w:firstLine="700"/>
        <w:jc w:val="both"/>
        <w:rPr>
          <w:rStyle w:val="21"/>
          <w:rFonts w:hint="default" w:hAnsiTheme="minorHAnsi" w:cstheme="minorBidi"/>
          <w:spacing w:val="0"/>
        </w:rPr>
        <w:sectPr>
          <w:footerReference r:id="rId3" w:type="default"/>
          <w:footerReference r:id="rId4" w:type="even"/>
          <w:pgSz w:w="11900" w:h="16840"/>
          <w:pgMar w:top="1915" w:right="1488" w:bottom="2058" w:left="1340" w:header="0" w:footer="3" w:gutter="0"/>
          <w:cols w:space="720" w:num="1"/>
          <w:docGrid w:linePitch="360" w:charSpace="0"/>
        </w:sectPr>
      </w:pPr>
      <w:r>
        <w:rPr>
          <w:rStyle w:val="21"/>
          <w:rFonts w:hint="default" w:hAnsiTheme="minorHAnsi" w:cstheme="minorBidi"/>
          <w:spacing w:val="0"/>
        </w:rPr>
        <w:t>赔偿指维修工作中产生的材料费、人工费、专家费、残骸清理费等必要、合理的费用。</w:t>
      </w:r>
    </w:p>
    <w:p>
      <w:pPr>
        <w:pStyle w:val="3"/>
        <w:keepNext/>
        <w:keepLines/>
        <w:spacing w:before="0" w:after="0" w:line="560" w:lineRule="exact"/>
        <w:ind w:firstLine="642" w:firstLineChars="200"/>
        <w:rPr>
          <w:rFonts w:ascii="Arial" w:hAnsi="Arial" w:eastAsia="黑体"/>
          <w:sz w:val="32"/>
        </w:rPr>
      </w:pPr>
      <w:r>
        <w:rPr>
          <w:rFonts w:hint="eastAsia" w:ascii="Arial" w:hAnsi="Arial" w:eastAsia="黑体"/>
          <w:sz w:val="32"/>
        </w:rPr>
        <w:t>五、保险单位资质及职责</w:t>
      </w:r>
    </w:p>
    <w:p>
      <w:pPr>
        <w:pStyle w:val="19"/>
        <w:shd w:val="clear" w:color="auto" w:fill="auto"/>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（一）保险单位应具备下列条件：</w:t>
      </w:r>
    </w:p>
    <w:p>
      <w:pPr>
        <w:pStyle w:val="19"/>
        <w:numPr>
          <w:ilvl w:val="0"/>
          <w:numId w:val="2"/>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保险公司的注册资本金达到50亿；</w:t>
      </w:r>
    </w:p>
    <w:p>
      <w:pPr>
        <w:pStyle w:val="19"/>
        <w:numPr>
          <w:ilvl w:val="0"/>
          <w:numId w:val="2"/>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近三年偿付能力充足率不低于150%;</w:t>
      </w:r>
    </w:p>
    <w:p>
      <w:pPr>
        <w:pStyle w:val="19"/>
        <w:numPr>
          <w:ilvl w:val="0"/>
          <w:numId w:val="2"/>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风险管理能力强、机构健全、承保理赔服务优质；</w:t>
      </w:r>
    </w:p>
    <w:p>
      <w:pPr>
        <w:pStyle w:val="19"/>
        <w:numPr>
          <w:ilvl w:val="0"/>
          <w:numId w:val="2"/>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具有工程质量保险承保经验。</w:t>
      </w:r>
    </w:p>
    <w:p>
      <w:pPr>
        <w:pStyle w:val="19"/>
        <w:numPr>
          <w:ilvl w:val="0"/>
          <w:numId w:val="3"/>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保险单位主要职责：</w:t>
      </w:r>
    </w:p>
    <w:p>
      <w:pPr>
        <w:pStyle w:val="19"/>
        <w:numPr>
          <w:ilvl w:val="0"/>
          <w:numId w:val="4"/>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负责选择、管理和监督工程质量安全风险机构的职责履 行；</w:t>
      </w:r>
    </w:p>
    <w:p>
      <w:pPr>
        <w:pStyle w:val="19"/>
        <w:numPr>
          <w:ilvl w:val="0"/>
          <w:numId w:val="4"/>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建立便捷的理赔程序，对保险责任范围内的索赔申请， 在约定时限内进行核定和理赔；</w:t>
      </w:r>
    </w:p>
    <w:p>
      <w:pPr>
        <w:pStyle w:val="19"/>
        <w:numPr>
          <w:ilvl w:val="0"/>
          <w:numId w:val="4"/>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对相关责任方实施代位追偿；</w:t>
      </w:r>
    </w:p>
    <w:p>
      <w:pPr>
        <w:pStyle w:val="19"/>
        <w:numPr>
          <w:ilvl w:val="0"/>
          <w:numId w:val="4"/>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保险合同约定的其他事项。</w:t>
      </w:r>
    </w:p>
    <w:p>
      <w:pPr>
        <w:pStyle w:val="3"/>
        <w:keepNext/>
        <w:keepLines/>
        <w:spacing w:before="0" w:after="0" w:line="560" w:lineRule="exact"/>
        <w:ind w:firstLine="642" w:firstLineChars="200"/>
        <w:rPr>
          <w:rFonts w:ascii="Arial" w:hAnsi="Arial" w:eastAsia="黑体"/>
          <w:sz w:val="32"/>
        </w:rPr>
      </w:pPr>
      <w:r>
        <w:rPr>
          <w:rFonts w:hint="eastAsia" w:ascii="Arial" w:hAnsi="Arial" w:eastAsia="黑体"/>
          <w:sz w:val="32"/>
        </w:rPr>
        <w:t>六、保险细则</w:t>
      </w:r>
    </w:p>
    <w:p>
      <w:pPr>
        <w:pStyle w:val="19"/>
        <w:shd w:val="clear" w:color="auto" w:fill="auto"/>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（一）保险主体：</w:t>
      </w:r>
    </w:p>
    <w:p>
      <w:pPr>
        <w:pStyle w:val="19"/>
        <w:shd w:val="clear" w:color="auto" w:fill="auto"/>
        <w:tabs>
          <w:tab w:val="left" w:pos="1087"/>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1.投保人和被保险人:委托单位（代建项目的建设、使用或资产管理单位）；</w:t>
      </w:r>
    </w:p>
    <w:p>
      <w:pPr>
        <w:pStyle w:val="19"/>
        <w:shd w:val="clear" w:color="auto" w:fill="auto"/>
        <w:tabs>
          <w:tab w:val="left" w:pos="1087"/>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2.保险人:保险公司；</w:t>
      </w:r>
    </w:p>
    <w:p>
      <w:pPr>
        <w:pStyle w:val="19"/>
        <w:shd w:val="clear" w:color="auto" w:fill="auto"/>
        <w:tabs>
          <w:tab w:val="left" w:pos="1087"/>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3.经纪人:保险经纪公司（以下简称：经纪公司）。</w:t>
      </w:r>
    </w:p>
    <w:p>
      <w:pPr>
        <w:pStyle w:val="19"/>
        <w:numPr>
          <w:ilvl w:val="0"/>
          <w:numId w:val="5"/>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保险标的</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可以承保的工程类型（工程地址非位于山坡或填海地区的项目，且单一项目最大合同金额不超过15亿元，如有超过15 亿元的项目，承保条件另行协商）：</w:t>
      </w:r>
    </w:p>
    <w:p>
      <w:pPr>
        <w:pStyle w:val="19"/>
        <w:numPr>
          <w:ilvl w:val="0"/>
          <w:numId w:val="6"/>
        </w:numPr>
        <w:shd w:val="clear" w:color="auto" w:fill="auto"/>
        <w:tabs>
          <w:tab w:val="left" w:pos="1087"/>
          <w:tab w:val="clear" w:pos="312"/>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房建项目，包括住宅、园区、办公楼、医院、学校、博物馆、工业楼宇以及文体中心等同类型项目；</w:t>
      </w:r>
    </w:p>
    <w:p>
      <w:pPr>
        <w:pStyle w:val="19"/>
        <w:numPr>
          <w:ilvl w:val="0"/>
          <w:numId w:val="6"/>
        </w:numPr>
        <w:shd w:val="clear" w:color="auto" w:fill="auto"/>
        <w:tabs>
          <w:tab w:val="left" w:pos="1087"/>
          <w:tab w:val="clear" w:pos="312"/>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部分市政工程项目，包括桥梁、高架桥、明挖隧道、明 挖箱涵以及挡土墙等同类型项目；</w:t>
      </w:r>
    </w:p>
    <w:p>
      <w:pPr>
        <w:pStyle w:val="19"/>
        <w:numPr>
          <w:ilvl w:val="0"/>
          <w:numId w:val="6"/>
        </w:numPr>
        <w:shd w:val="clear" w:color="auto" w:fill="auto"/>
        <w:tabs>
          <w:tab w:val="left" w:pos="1087"/>
          <w:tab w:val="clear" w:pos="312"/>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其他经保险公司确认可以承保的工程项目。</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保险标的除地基基础和主体结构工程、防水工程外，可扩 展承保相应的附属工程:墙面顶棚抹灰层工程、供热供冷系统工程、电气管线、给排水管道、设备安装工程及装修工程等。</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不予承保的工程类型（原则上不予承保，如经征询保险公 司确认可以承保的，承保条件另行协商）：</w:t>
      </w:r>
    </w:p>
    <w:p>
      <w:pPr>
        <w:pStyle w:val="19"/>
        <w:numPr>
          <w:ilvl w:val="0"/>
          <w:numId w:val="7"/>
        </w:numPr>
        <w:shd w:val="clear" w:color="auto" w:fill="auto"/>
        <w:tabs>
          <w:tab w:val="left" w:pos="1087"/>
          <w:tab w:val="clear" w:pos="312"/>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工程地址位于山坡或填海地区的项目；</w:t>
      </w:r>
    </w:p>
    <w:p>
      <w:pPr>
        <w:pStyle w:val="19"/>
        <w:numPr>
          <w:ilvl w:val="0"/>
          <w:numId w:val="7"/>
        </w:numPr>
        <w:shd w:val="clear" w:color="auto" w:fill="auto"/>
        <w:tabs>
          <w:tab w:val="left" w:pos="1087"/>
          <w:tab w:val="clear" w:pos="312"/>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单独的附属工程:墙面顶棚抹灰层工程、供热供冷系统工程、电气管线、给排水管道、设备安装工程及装修工程等；</w:t>
      </w:r>
    </w:p>
    <w:p>
      <w:pPr>
        <w:pStyle w:val="19"/>
        <w:numPr>
          <w:ilvl w:val="0"/>
          <w:numId w:val="7"/>
        </w:numPr>
        <w:shd w:val="clear" w:color="auto" w:fill="auto"/>
        <w:tabs>
          <w:tab w:val="left" w:pos="1087"/>
          <w:tab w:val="clear" w:pos="312"/>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道路工程、绿化工程、路灯照明工程、暗挖隧道工程；</w:t>
      </w:r>
    </w:p>
    <w:p>
      <w:pPr>
        <w:pStyle w:val="19"/>
        <w:numPr>
          <w:ilvl w:val="0"/>
          <w:numId w:val="7"/>
        </w:numPr>
        <w:shd w:val="clear" w:color="auto" w:fill="auto"/>
        <w:tabs>
          <w:tab w:val="left" w:pos="1087"/>
          <w:tab w:val="clear" w:pos="312"/>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边坡整治、河道治理、水库、蓄水池工程；</w:t>
      </w:r>
    </w:p>
    <w:p>
      <w:pPr>
        <w:pStyle w:val="19"/>
        <w:numPr>
          <w:ilvl w:val="0"/>
          <w:numId w:val="7"/>
        </w:numPr>
        <w:shd w:val="clear" w:color="auto" w:fill="auto"/>
        <w:tabs>
          <w:tab w:val="left" w:pos="1087"/>
          <w:tab w:val="clear" w:pos="312"/>
        </w:tabs>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其他经保险行业相关文件确认不予承保的工程项目。</w:t>
      </w:r>
    </w:p>
    <w:p>
      <w:pPr>
        <w:pStyle w:val="19"/>
        <w:numPr>
          <w:ilvl w:val="0"/>
          <w:numId w:val="5"/>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保险责任及除外责任</w:t>
      </w:r>
    </w:p>
    <w:p>
      <w:pPr>
        <w:pStyle w:val="19"/>
        <w:numPr>
          <w:ilvl w:val="0"/>
          <w:numId w:val="8"/>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保险责任：</w:t>
      </w:r>
    </w:p>
    <w:p>
      <w:pPr>
        <w:pStyle w:val="19"/>
        <w:numPr>
          <w:ilvl w:val="0"/>
          <w:numId w:val="9"/>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整体或局部倒塌；</w:t>
      </w:r>
    </w:p>
    <w:p>
      <w:pPr>
        <w:pStyle w:val="19"/>
        <w:numPr>
          <w:ilvl w:val="0"/>
          <w:numId w:val="9"/>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地基产生超出设计规范允许的不均匀沉降；</w:t>
      </w:r>
    </w:p>
    <w:p>
      <w:pPr>
        <w:pStyle w:val="19"/>
        <w:numPr>
          <w:ilvl w:val="0"/>
          <w:numId w:val="9"/>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主体和承重结构部位出现影响结构安全的裂缝、变形、破损、断裂；</w:t>
      </w:r>
    </w:p>
    <w:p>
      <w:pPr>
        <w:pStyle w:val="19"/>
        <w:numPr>
          <w:ilvl w:val="0"/>
          <w:numId w:val="9"/>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阳台、</w:t>
      </w:r>
      <w:r>
        <w:rPr>
          <w:rStyle w:val="21"/>
          <w:rFonts w:hint="eastAsia" w:eastAsia="仿宋_GB2312" w:hAnsiTheme="minorHAnsi" w:cstheme="minorBidi"/>
          <w:spacing w:val="0"/>
          <w:lang w:eastAsia="zh-CN"/>
        </w:rPr>
        <w:t>雨篷</w:t>
      </w:r>
      <w:r>
        <w:rPr>
          <w:rStyle w:val="21"/>
          <w:rFonts w:hint="default" w:hAnsiTheme="minorHAnsi" w:cstheme="minorBidi"/>
          <w:spacing w:val="0"/>
        </w:rPr>
        <w:t>、挑檐等悬挑构件坍塌或出现影响使用安全的裂缝、破损、断裂；</w:t>
      </w:r>
    </w:p>
    <w:p>
      <w:pPr>
        <w:pStyle w:val="19"/>
        <w:numPr>
          <w:ilvl w:val="0"/>
          <w:numId w:val="9"/>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围护结构的保温工程、屋面及地下防水工程、有防水要求的卫生间、房间和门窗、外墙面等部位防渗漏处理工程损坏;</w:t>
      </w:r>
    </w:p>
    <w:p>
      <w:pPr>
        <w:pStyle w:val="19"/>
        <w:numPr>
          <w:ilvl w:val="0"/>
          <w:numId w:val="9"/>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因基础主体结构工程或防水工程的潜在缺陷导致的附属工程损坏。</w:t>
      </w:r>
    </w:p>
    <w:p>
      <w:pPr>
        <w:pStyle w:val="19"/>
        <w:numPr>
          <w:ilvl w:val="0"/>
          <w:numId w:val="8"/>
        </w:numPr>
        <w:shd w:val="clear" w:color="auto" w:fill="auto"/>
        <w:tabs>
          <w:tab w:val="left" w:pos="1087"/>
          <w:tab w:val="clear" w:pos="312"/>
        </w:tabs>
        <w:spacing w:after="0" w:line="619" w:lineRule="exact"/>
        <w:ind w:left="700"/>
        <w:jc w:val="both"/>
        <w:rPr>
          <w:rStyle w:val="21"/>
          <w:rFonts w:hint="default" w:hAnsiTheme="minorHAnsi" w:cstheme="minorBidi"/>
          <w:spacing w:val="0"/>
        </w:rPr>
      </w:pPr>
      <w:r>
        <w:rPr>
          <w:rStyle w:val="21"/>
          <w:rFonts w:hint="default" w:hAnsiTheme="minorHAnsi" w:cstheme="minorBidi"/>
          <w:spacing w:val="0"/>
        </w:rPr>
        <w:t>除外责任：</w:t>
      </w:r>
    </w:p>
    <w:p>
      <w:pPr>
        <w:pStyle w:val="19"/>
        <w:numPr>
          <w:ilvl w:val="0"/>
          <w:numId w:val="10"/>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因使用不当或第三方、不可抗力造成的质量问题，不属于保险责任范围；</w:t>
      </w:r>
    </w:p>
    <w:p>
      <w:pPr>
        <w:pStyle w:val="19"/>
        <w:numPr>
          <w:ilvl w:val="0"/>
          <w:numId w:val="10"/>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非因基础主体结构工程或防水工程的潜在缺陷导致的附属工程损坏，不属于保险责任范围；</w:t>
      </w:r>
    </w:p>
    <w:p>
      <w:pPr>
        <w:pStyle w:val="19"/>
        <w:numPr>
          <w:ilvl w:val="0"/>
          <w:numId w:val="10"/>
        </w:numPr>
        <w:shd w:val="clear" w:color="auto" w:fill="auto"/>
        <w:spacing w:after="0" w:line="619" w:lineRule="exact"/>
        <w:ind w:firstLine="640" w:firstLineChars="200"/>
        <w:jc w:val="both"/>
        <w:rPr>
          <w:rStyle w:val="21"/>
          <w:rFonts w:hint="default" w:hAnsiTheme="minorHAnsi" w:cstheme="minorBidi"/>
          <w:spacing w:val="0"/>
        </w:rPr>
      </w:pPr>
      <w:r>
        <w:rPr>
          <w:rStyle w:val="21"/>
          <w:rFonts w:hint="eastAsia" w:eastAsia="仿宋_GB2312" w:hAnsiTheme="minorHAnsi" w:cstheme="minorBidi"/>
          <w:spacing w:val="0"/>
          <w:lang w:eastAsia="zh-CN"/>
        </w:rPr>
        <w:t>其余</w:t>
      </w:r>
      <w:r>
        <w:rPr>
          <w:rStyle w:val="21"/>
          <w:rFonts w:hint="default" w:hAnsiTheme="minorHAnsi" w:cstheme="minorBidi"/>
          <w:spacing w:val="0"/>
        </w:rPr>
        <w:t>除外责任以保险公司在本细则的基础上向中国保监会备案的条款约定为准。</w:t>
      </w:r>
    </w:p>
    <w:p>
      <w:pPr>
        <w:pStyle w:val="19"/>
        <w:numPr>
          <w:ilvl w:val="0"/>
          <w:numId w:val="5"/>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保险期限</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保险期限自投保之日起，包括工程建设工期（预计）、缺陷 责任期（两年）以及保险赔偿期。缺陷责任期自工程竣工验收合格之日起算，保险赔偿期自缺陷责任期结束之曰起算。</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地基基础和主体结构工程的保险赔偿期为十年，防水工程的保险赔偿期为三年，如有投保附属工程，其保险赔偿期与对应的基础主体结构工程、防水工程保持一致。在保险赔偿期内，代建工程发生保险责任范围内的损坏，保险公司负责赔偿。</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保险期限的具体时间由委托单位和保险公司根据上述规定 和代建工程的实际情况协商确定。</w:t>
      </w:r>
    </w:p>
    <w:p>
      <w:pPr>
        <w:pStyle w:val="19"/>
        <w:numPr>
          <w:ilvl w:val="0"/>
          <w:numId w:val="5"/>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保险金额</w:t>
      </w:r>
    </w:p>
    <w:p>
      <w:pPr>
        <w:pStyle w:val="19"/>
        <w:shd w:val="clear" w:color="auto" w:fill="auto"/>
        <w:spacing w:after="0" w:line="360" w:lineRule="auto"/>
        <w:ind w:firstLine="697"/>
        <w:jc w:val="both"/>
        <w:rPr>
          <w:rStyle w:val="21"/>
          <w:rFonts w:hint="default" w:hAnsiTheme="minorHAnsi" w:cstheme="minorBidi"/>
          <w:spacing w:val="0"/>
        </w:rPr>
      </w:pPr>
      <w:r>
        <w:rPr>
          <w:rStyle w:val="21"/>
          <w:rFonts w:hint="default" w:hAnsiTheme="minorHAnsi" w:cstheme="minorBidi"/>
          <w:spacing w:val="0"/>
        </w:rPr>
        <w:t>保险金额为代建工程的建筑安装工程总造价，如有投保附属工程，应特别注明。</w:t>
      </w:r>
    </w:p>
    <w:p>
      <w:pPr>
        <w:pStyle w:val="19"/>
        <w:numPr>
          <w:ilvl w:val="0"/>
          <w:numId w:val="5"/>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保险费率和保险费</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根据代建工程的风险程度，结合保险行业市场状况，现制定以下保险费率表:</w:t>
      </w:r>
    </w:p>
    <w:tbl>
      <w:tblPr>
        <w:tblStyle w:val="8"/>
        <w:tblW w:w="8320" w:type="dxa"/>
        <w:jc w:val="center"/>
        <w:tblLayout w:type="fixed"/>
        <w:tblCellMar>
          <w:top w:w="0" w:type="dxa"/>
          <w:left w:w="10" w:type="dxa"/>
          <w:bottom w:w="0" w:type="dxa"/>
          <w:right w:w="10" w:type="dxa"/>
        </w:tblCellMar>
      </w:tblPr>
      <w:tblGrid>
        <w:gridCol w:w="542"/>
        <w:gridCol w:w="2143"/>
        <w:gridCol w:w="2621"/>
        <w:gridCol w:w="1208"/>
        <w:gridCol w:w="1211"/>
        <w:gridCol w:w="595"/>
      </w:tblGrid>
      <w:tr>
        <w:tblPrEx>
          <w:tblCellMar>
            <w:top w:w="0" w:type="dxa"/>
            <w:left w:w="10" w:type="dxa"/>
            <w:bottom w:w="0" w:type="dxa"/>
            <w:right w:w="10" w:type="dxa"/>
          </w:tblCellMar>
        </w:tblPrEx>
        <w:trPr>
          <w:trHeight w:val="1222" w:hRule="exact"/>
          <w:jc w:val="center"/>
        </w:trPr>
        <w:tc>
          <w:tcPr>
            <w:tcW w:w="542" w:type="dxa"/>
            <w:tcBorders>
              <w:top w:val="single" w:color="auto" w:sz="4" w:space="0"/>
              <w:left w:val="single" w:color="auto" w:sz="4" w:space="0"/>
            </w:tcBorders>
            <w:shd w:val="clear" w:color="auto" w:fill="FFFFFF"/>
            <w:textDirection w:val="tbRlV"/>
            <w:vAlign w:val="center"/>
          </w:tcPr>
          <w:p>
            <w:pPr>
              <w:pStyle w:val="19"/>
              <w:shd w:val="clear" w:color="auto" w:fill="auto"/>
              <w:spacing w:after="0" w:line="220" w:lineRule="exact"/>
              <w:rPr>
                <w:rStyle w:val="22"/>
                <w:rFonts w:ascii="仿宋" w:hAnsi="仿宋" w:eastAsia="仿宋" w:cs="仿宋"/>
                <w:b/>
                <w:bCs/>
                <w:sz w:val="24"/>
                <w:szCs w:val="24"/>
                <w:lang w:val="en-US"/>
              </w:rPr>
            </w:pPr>
            <w:r>
              <w:rPr>
                <w:rStyle w:val="22"/>
                <w:rFonts w:hint="eastAsia" w:ascii="仿宋" w:hAnsi="仿宋" w:eastAsia="仿宋" w:cs="仿宋"/>
                <w:b/>
                <w:bCs/>
                <w:sz w:val="24"/>
                <w:szCs w:val="24"/>
                <w:lang w:val="en-US"/>
              </w:rPr>
              <w:t>序号</w:t>
            </w:r>
          </w:p>
        </w:tc>
        <w:tc>
          <w:tcPr>
            <w:tcW w:w="2143" w:type="dxa"/>
            <w:tcBorders>
              <w:top w:val="single" w:color="auto" w:sz="4" w:space="0"/>
              <w:lef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b/>
                <w:bCs/>
                <w:sz w:val="24"/>
                <w:szCs w:val="24"/>
                <w:lang w:val="en-US"/>
              </w:rPr>
            </w:pPr>
            <w:r>
              <w:rPr>
                <w:rStyle w:val="22"/>
                <w:rFonts w:ascii="仿宋" w:hAnsi="仿宋" w:eastAsia="仿宋" w:cs="仿宋"/>
                <w:b/>
                <w:bCs/>
                <w:sz w:val="21"/>
                <w:szCs w:val="21"/>
                <w:lang w:val="en-US"/>
              </w:rPr>
              <w:t>工程类型（具体以细则保险标的描述为准）</w:t>
            </w:r>
          </w:p>
        </w:tc>
        <w:tc>
          <w:tcPr>
            <w:tcW w:w="2621" w:type="dxa"/>
            <w:tcBorders>
              <w:top w:val="single" w:color="auto" w:sz="4" w:space="0"/>
              <w:left w:val="single" w:color="auto" w:sz="4" w:space="0"/>
              <w:bottom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b/>
                <w:bCs/>
                <w:sz w:val="24"/>
                <w:szCs w:val="24"/>
                <w:lang w:val="en-US"/>
              </w:rPr>
            </w:pPr>
            <w:r>
              <w:rPr>
                <w:rStyle w:val="22"/>
                <w:rFonts w:ascii="仿宋" w:hAnsi="仿宋" w:eastAsia="仿宋" w:cs="仿宋"/>
                <w:b/>
                <w:bCs/>
                <w:sz w:val="21"/>
                <w:szCs w:val="21"/>
                <w:lang w:val="en-US"/>
              </w:rPr>
              <w:t>保险赔偿期（该年限自工程 竣工满两年，即缺陷责任期 结束之日起算）</w:t>
            </w:r>
          </w:p>
        </w:tc>
        <w:tc>
          <w:tcPr>
            <w:tcW w:w="1208" w:type="dxa"/>
            <w:tcBorders>
              <w:top w:val="single" w:color="auto" w:sz="4" w:space="0"/>
              <w:lef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b/>
                <w:bCs/>
                <w:sz w:val="24"/>
                <w:szCs w:val="24"/>
                <w:lang w:val="en-US"/>
              </w:rPr>
            </w:pPr>
            <w:r>
              <w:rPr>
                <w:rStyle w:val="22"/>
                <w:rFonts w:hint="eastAsia" w:ascii="仿宋" w:hAnsi="仿宋" w:eastAsia="仿宋" w:cs="仿宋"/>
                <w:b/>
                <w:bCs/>
                <w:sz w:val="21"/>
                <w:szCs w:val="21"/>
                <w:lang w:val="en-US"/>
              </w:rPr>
              <w:t>保险金额 （亿元）</w:t>
            </w:r>
          </w:p>
        </w:tc>
        <w:tc>
          <w:tcPr>
            <w:tcW w:w="1211" w:type="dxa"/>
            <w:tcBorders>
              <w:top w:val="single" w:color="auto" w:sz="4" w:space="0"/>
              <w:lef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b/>
                <w:bCs/>
                <w:sz w:val="24"/>
                <w:szCs w:val="24"/>
                <w:lang w:val="en-US"/>
              </w:rPr>
            </w:pPr>
            <w:r>
              <w:rPr>
                <w:rStyle w:val="22"/>
                <w:rFonts w:ascii="仿宋" w:hAnsi="仿宋" w:eastAsia="仿宋" w:cs="仿宋"/>
                <w:b/>
                <w:bCs/>
                <w:sz w:val="21"/>
                <w:szCs w:val="21"/>
                <w:lang w:val="en-US"/>
              </w:rPr>
              <w:t>保险费率 上限（％）</w:t>
            </w:r>
          </w:p>
        </w:tc>
        <w:tc>
          <w:tcPr>
            <w:tcW w:w="595" w:type="dxa"/>
            <w:tcBorders>
              <w:top w:val="single" w:color="auto" w:sz="4" w:space="0"/>
              <w:left w:val="single" w:color="auto" w:sz="4" w:space="0"/>
              <w:righ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b/>
                <w:bCs/>
                <w:sz w:val="24"/>
                <w:szCs w:val="24"/>
                <w:lang w:val="en-US"/>
              </w:rPr>
            </w:pPr>
            <w:r>
              <w:rPr>
                <w:rStyle w:val="22"/>
                <w:rFonts w:hint="eastAsia" w:ascii="仿宋" w:hAnsi="仿宋" w:eastAsia="仿宋" w:cs="仿宋"/>
                <w:b/>
                <w:bCs/>
                <w:sz w:val="21"/>
                <w:szCs w:val="21"/>
                <w:lang w:val="en-US"/>
              </w:rPr>
              <w:t>免赔额</w:t>
            </w:r>
          </w:p>
        </w:tc>
      </w:tr>
      <w:tr>
        <w:tblPrEx>
          <w:tblCellMar>
            <w:top w:w="0" w:type="dxa"/>
            <w:left w:w="10" w:type="dxa"/>
            <w:bottom w:w="0" w:type="dxa"/>
            <w:right w:w="10" w:type="dxa"/>
          </w:tblCellMar>
        </w:tblPrEx>
        <w:trPr>
          <w:trHeight w:val="507" w:hRule="exact"/>
          <w:jc w:val="center"/>
        </w:trPr>
        <w:tc>
          <w:tcPr>
            <w:tcW w:w="542" w:type="dxa"/>
            <w:vMerge w:val="restart"/>
            <w:tcBorders>
              <w:top w:val="single" w:color="auto" w:sz="4" w:space="0"/>
              <w:lef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1</w:t>
            </w:r>
          </w:p>
        </w:tc>
        <w:tc>
          <w:tcPr>
            <w:tcW w:w="2143" w:type="dxa"/>
            <w:vMerge w:val="restart"/>
            <w:tcBorders>
              <w:top w:val="single" w:color="auto" w:sz="4" w:space="0"/>
              <w:lef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房建项目</w:t>
            </w:r>
          </w:p>
        </w:tc>
        <w:tc>
          <w:tcPr>
            <w:tcW w:w="2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基础及结构工程：十年</w:t>
            </w:r>
          </w:p>
        </w:tc>
        <w:tc>
          <w:tcPr>
            <w:tcW w:w="1208" w:type="dxa"/>
            <w:tcBorders>
              <w:top w:val="single" w:color="auto" w:sz="4" w:space="0"/>
              <w:lef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eastAsia="en-US"/>
              </w:rPr>
              <w:t>0-5</w:t>
            </w:r>
            <w:r>
              <w:rPr>
                <w:rStyle w:val="22"/>
                <w:rFonts w:hint="eastAsia" w:ascii="仿宋" w:hAnsi="仿宋" w:eastAsia="仿宋" w:cs="仿宋"/>
                <w:sz w:val="21"/>
                <w:szCs w:val="21"/>
                <w:lang w:val="en-US"/>
              </w:rPr>
              <w:t>（含）</w:t>
            </w:r>
          </w:p>
        </w:tc>
        <w:tc>
          <w:tcPr>
            <w:tcW w:w="1211" w:type="dxa"/>
            <w:tcBorders>
              <w:top w:val="single" w:color="auto" w:sz="4" w:space="0"/>
              <w:lef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eastAsia="en-US"/>
              </w:rPr>
              <w:t>2.</w:t>
            </w:r>
            <w:r>
              <w:rPr>
                <w:rStyle w:val="22"/>
                <w:rFonts w:hint="eastAsia" w:ascii="仿宋" w:hAnsi="仿宋" w:eastAsia="仿宋" w:cs="仿宋"/>
                <w:sz w:val="21"/>
                <w:szCs w:val="21"/>
                <w:lang w:val="en-US"/>
              </w:rPr>
              <w:t>5</w:t>
            </w:r>
          </w:p>
        </w:tc>
        <w:tc>
          <w:tcPr>
            <w:tcW w:w="595" w:type="dxa"/>
            <w:vMerge w:val="restart"/>
            <w:tcBorders>
              <w:top w:val="single" w:color="auto" w:sz="4" w:space="0"/>
              <w:left w:val="single" w:color="auto" w:sz="4" w:space="0"/>
              <w:right w:val="single" w:color="auto" w:sz="4" w:space="0"/>
            </w:tcBorders>
            <w:shd w:val="clear" w:color="auto" w:fill="FFFFFF"/>
            <w:vAlign w:val="center"/>
          </w:tcPr>
          <w:p>
            <w:pPr>
              <w:pStyle w:val="19"/>
              <w:shd w:val="clear" w:color="auto" w:fill="auto"/>
              <w:spacing w:after="0" w:line="220" w:lineRule="exact"/>
              <w:rPr>
                <w:rFonts w:ascii="仿宋" w:hAnsi="仿宋" w:eastAsia="仿宋" w:cs="仿宋"/>
                <w:sz w:val="24"/>
                <w:szCs w:val="24"/>
              </w:rPr>
            </w:pPr>
            <w:r>
              <w:rPr>
                <w:rStyle w:val="22"/>
                <w:rFonts w:hint="eastAsia" w:ascii="仿宋" w:hAnsi="仿宋" w:eastAsia="仿宋" w:cs="仿宋"/>
                <w:sz w:val="21"/>
                <w:szCs w:val="21"/>
                <w:lang w:val="en-US"/>
              </w:rPr>
              <w:t>零</w:t>
            </w:r>
          </w:p>
        </w:tc>
      </w:tr>
      <w:tr>
        <w:tblPrEx>
          <w:tblCellMar>
            <w:top w:w="0" w:type="dxa"/>
            <w:left w:w="10" w:type="dxa"/>
            <w:bottom w:w="0" w:type="dxa"/>
            <w:right w:w="10" w:type="dxa"/>
          </w:tblCellMar>
        </w:tblPrEx>
        <w:trPr>
          <w:trHeight w:val="457" w:hRule="exact"/>
          <w:jc w:val="center"/>
        </w:trPr>
        <w:tc>
          <w:tcPr>
            <w:tcW w:w="542" w:type="dxa"/>
            <w:vMerge w:val="continue"/>
            <w:tcBorders>
              <w:left w:val="single" w:color="auto" w:sz="4" w:space="0"/>
              <w:bottom w:val="single" w:color="auto" w:sz="4" w:space="0"/>
            </w:tcBorders>
            <w:shd w:val="clear" w:color="auto" w:fill="FFFFFF"/>
            <w:vAlign w:val="center"/>
          </w:tcPr>
          <w:p>
            <w:pPr>
              <w:jc w:val="center"/>
              <w:rPr>
                <w:rStyle w:val="22"/>
                <w:rFonts w:ascii="仿宋" w:hAnsi="仿宋" w:eastAsia="仿宋" w:cs="仿宋"/>
                <w:kern w:val="2"/>
                <w:sz w:val="21"/>
                <w:szCs w:val="21"/>
                <w:lang w:val="en-US"/>
              </w:rPr>
            </w:pPr>
          </w:p>
        </w:tc>
        <w:tc>
          <w:tcPr>
            <w:tcW w:w="2143" w:type="dxa"/>
            <w:vMerge w:val="continue"/>
            <w:tcBorders>
              <w:left w:val="single" w:color="auto" w:sz="4" w:space="0"/>
              <w:bottom w:val="single" w:color="auto" w:sz="4" w:space="0"/>
            </w:tcBorders>
            <w:shd w:val="clear" w:color="auto" w:fill="FFFFFF"/>
            <w:vAlign w:val="center"/>
          </w:tcPr>
          <w:p>
            <w:pPr>
              <w:jc w:val="center"/>
              <w:rPr>
                <w:rStyle w:val="22"/>
                <w:rFonts w:ascii="仿宋" w:hAnsi="仿宋" w:eastAsia="仿宋" w:cs="仿宋"/>
                <w:kern w:val="2"/>
                <w:sz w:val="21"/>
                <w:szCs w:val="21"/>
                <w:lang w:val="en-US"/>
              </w:rPr>
            </w:pPr>
          </w:p>
        </w:tc>
        <w:tc>
          <w:tcPr>
            <w:tcW w:w="2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防水工程：三年</w:t>
            </w:r>
          </w:p>
        </w:tc>
        <w:tc>
          <w:tcPr>
            <w:tcW w:w="1208" w:type="dxa"/>
            <w:tcBorders>
              <w:top w:val="single" w:color="auto" w:sz="4" w:space="0"/>
              <w:lef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eastAsia="en-US"/>
              </w:rPr>
              <w:t>5-15</w:t>
            </w:r>
            <w:r>
              <w:rPr>
                <w:rStyle w:val="22"/>
                <w:rFonts w:hint="eastAsia" w:ascii="仿宋" w:hAnsi="仿宋" w:eastAsia="仿宋" w:cs="仿宋"/>
                <w:sz w:val="21"/>
                <w:szCs w:val="21"/>
                <w:lang w:val="en-US"/>
              </w:rPr>
              <w:t>（含）</w:t>
            </w:r>
          </w:p>
        </w:tc>
        <w:tc>
          <w:tcPr>
            <w:tcW w:w="1211" w:type="dxa"/>
            <w:tcBorders>
              <w:top w:val="single" w:color="auto" w:sz="4" w:space="0"/>
              <w:lef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eastAsia="en-US"/>
              </w:rPr>
              <w:t>2.</w:t>
            </w:r>
            <w:r>
              <w:rPr>
                <w:rStyle w:val="22"/>
                <w:rFonts w:hint="eastAsia" w:ascii="仿宋" w:hAnsi="仿宋" w:eastAsia="仿宋" w:cs="仿宋"/>
                <w:sz w:val="21"/>
                <w:szCs w:val="21"/>
                <w:lang w:val="en-US"/>
              </w:rPr>
              <w:t>8</w:t>
            </w:r>
          </w:p>
        </w:tc>
        <w:tc>
          <w:tcPr>
            <w:tcW w:w="595" w:type="dxa"/>
            <w:vMerge w:val="continue"/>
            <w:tcBorders>
              <w:left w:val="single" w:color="auto" w:sz="4" w:space="0"/>
              <w:right w:val="single" w:color="auto" w:sz="4" w:space="0"/>
            </w:tcBorders>
            <w:shd w:val="clear" w:color="auto" w:fill="FFFFFF"/>
            <w:vAlign w:val="center"/>
          </w:tcPr>
          <w:p>
            <w:pPr>
              <w:pStyle w:val="19"/>
              <w:shd w:val="clear" w:color="auto" w:fill="auto"/>
              <w:spacing w:after="0" w:line="220" w:lineRule="exact"/>
              <w:ind w:left="260"/>
              <w:rPr>
                <w:rFonts w:ascii="仿宋" w:hAnsi="仿宋" w:eastAsia="仿宋" w:cs="仿宋"/>
                <w:sz w:val="24"/>
                <w:szCs w:val="24"/>
              </w:rPr>
            </w:pPr>
          </w:p>
        </w:tc>
      </w:tr>
      <w:tr>
        <w:tblPrEx>
          <w:tblCellMar>
            <w:top w:w="0" w:type="dxa"/>
            <w:left w:w="10" w:type="dxa"/>
            <w:bottom w:w="0" w:type="dxa"/>
            <w:right w:w="10" w:type="dxa"/>
          </w:tblCellMar>
        </w:tblPrEx>
        <w:trPr>
          <w:trHeight w:val="397" w:hRule="exact"/>
          <w:jc w:val="center"/>
        </w:trPr>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2</w:t>
            </w:r>
          </w:p>
        </w:tc>
        <w:tc>
          <w:tcPr>
            <w:tcW w:w="214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部分市政工程项目</w:t>
            </w:r>
          </w:p>
        </w:tc>
        <w:tc>
          <w:tcPr>
            <w:tcW w:w="26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基础及结构工程：十年</w:t>
            </w:r>
          </w:p>
        </w:tc>
        <w:tc>
          <w:tcPr>
            <w:tcW w:w="1208" w:type="dxa"/>
            <w:tcBorders>
              <w:top w:val="single" w:color="auto" w:sz="4" w:space="0"/>
              <w:left w:val="single" w:color="auto" w:sz="4" w:space="0"/>
              <w:bottom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eastAsia="en-US"/>
              </w:rPr>
              <w:t>0-5</w:t>
            </w:r>
            <w:r>
              <w:rPr>
                <w:rStyle w:val="22"/>
                <w:rFonts w:hint="eastAsia" w:ascii="仿宋" w:hAnsi="仿宋" w:eastAsia="仿宋" w:cs="仿宋"/>
                <w:sz w:val="21"/>
                <w:szCs w:val="21"/>
                <w:lang w:val="en-US"/>
              </w:rPr>
              <w:t>（含）</w:t>
            </w:r>
          </w:p>
        </w:tc>
        <w:tc>
          <w:tcPr>
            <w:tcW w:w="1211" w:type="dxa"/>
            <w:tcBorders>
              <w:top w:val="single" w:color="auto" w:sz="4" w:space="0"/>
              <w:left w:val="single" w:color="auto" w:sz="4" w:space="0"/>
              <w:bottom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eastAsia="en-US"/>
              </w:rPr>
              <w:t>2.</w:t>
            </w:r>
            <w:r>
              <w:rPr>
                <w:rStyle w:val="22"/>
                <w:rFonts w:hint="eastAsia" w:ascii="仿宋" w:hAnsi="仿宋" w:eastAsia="仿宋" w:cs="仿宋"/>
                <w:sz w:val="21"/>
                <w:szCs w:val="21"/>
                <w:lang w:val="en-US"/>
              </w:rPr>
              <w:t>8</w:t>
            </w:r>
          </w:p>
        </w:tc>
        <w:tc>
          <w:tcPr>
            <w:tcW w:w="595"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rPr>
            </w:pPr>
          </w:p>
        </w:tc>
      </w:tr>
      <w:tr>
        <w:tblPrEx>
          <w:tblCellMar>
            <w:top w:w="0" w:type="dxa"/>
            <w:left w:w="10" w:type="dxa"/>
            <w:bottom w:w="0" w:type="dxa"/>
            <w:right w:w="10" w:type="dxa"/>
          </w:tblCellMar>
        </w:tblPrEx>
        <w:trPr>
          <w:trHeight w:val="611" w:hRule="exact"/>
          <w:jc w:val="center"/>
        </w:trPr>
        <w:tc>
          <w:tcPr>
            <w:tcW w:w="542"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rPr>
            </w:pPr>
          </w:p>
        </w:tc>
        <w:tc>
          <w:tcPr>
            <w:tcW w:w="2143"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rPr>
            </w:pPr>
          </w:p>
        </w:tc>
        <w:tc>
          <w:tcPr>
            <w:tcW w:w="26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auto"/>
              <w:spacing w:after="0" w:line="220" w:lineRule="exact"/>
              <w:rPr>
                <w:rFonts w:ascii="仿宋" w:hAnsi="仿宋" w:eastAsia="仿宋" w:cs="仿宋"/>
                <w:sz w:val="24"/>
                <w:szCs w:val="24"/>
              </w:rPr>
            </w:pPr>
            <w:r>
              <w:rPr>
                <w:rStyle w:val="22"/>
                <w:rFonts w:hint="eastAsia" w:ascii="仿宋" w:hAnsi="仿宋" w:eastAsia="仿宋" w:cs="仿宋"/>
                <w:sz w:val="24"/>
                <w:szCs w:val="24"/>
                <w:lang w:eastAsia="en-US" w:bidi="en-US"/>
              </w:rPr>
              <w:t>5-15</w:t>
            </w:r>
            <w:r>
              <w:rPr>
                <w:rStyle w:val="22"/>
                <w:rFonts w:hint="eastAsia" w:ascii="仿宋" w:hAnsi="仿宋" w:eastAsia="仿宋" w:cs="仿宋"/>
                <w:sz w:val="24"/>
                <w:szCs w:val="24"/>
              </w:rPr>
              <w:t>（含）</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auto"/>
              <w:spacing w:after="0" w:line="220" w:lineRule="exact"/>
              <w:ind w:left="20"/>
              <w:rPr>
                <w:rFonts w:ascii="仿宋" w:hAnsi="仿宋" w:eastAsia="仿宋" w:cs="仿宋"/>
                <w:sz w:val="24"/>
                <w:szCs w:val="24"/>
              </w:rPr>
            </w:pPr>
            <w:r>
              <w:rPr>
                <w:rStyle w:val="22"/>
                <w:rFonts w:hint="eastAsia" w:ascii="仿宋" w:hAnsi="仿宋" w:eastAsia="仿宋" w:cs="仿宋"/>
                <w:sz w:val="24"/>
                <w:szCs w:val="24"/>
              </w:rPr>
              <w:t>3</w:t>
            </w:r>
          </w:p>
        </w:tc>
        <w:tc>
          <w:tcPr>
            <w:tcW w:w="595"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rPr>
            </w:pPr>
          </w:p>
        </w:tc>
      </w:tr>
      <w:tr>
        <w:tblPrEx>
          <w:tblCellMar>
            <w:top w:w="0" w:type="dxa"/>
            <w:left w:w="10" w:type="dxa"/>
            <w:bottom w:w="0" w:type="dxa"/>
            <w:right w:w="10" w:type="dxa"/>
          </w:tblCellMar>
        </w:tblPrEx>
        <w:trPr>
          <w:trHeight w:val="1323" w:hRule="exact"/>
          <w:jc w:val="center"/>
        </w:trPr>
        <w:tc>
          <w:tcPr>
            <w:tcW w:w="542" w:type="dxa"/>
            <w:tcBorders>
              <w:top w:val="single" w:color="auto" w:sz="4" w:space="0"/>
              <w:left w:val="single" w:color="auto" w:sz="4" w:space="0"/>
              <w:bottom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3</w:t>
            </w:r>
          </w:p>
        </w:tc>
        <w:tc>
          <w:tcPr>
            <w:tcW w:w="2143" w:type="dxa"/>
            <w:tcBorders>
              <w:top w:val="single" w:color="auto" w:sz="4" w:space="0"/>
              <w:left w:val="single" w:color="auto" w:sz="4" w:space="0"/>
              <w:bottom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上述类型保额超15亿元项目或其他经保险公司确认可以承保的项目</w:t>
            </w:r>
          </w:p>
        </w:tc>
        <w:tc>
          <w:tcPr>
            <w:tcW w:w="2621" w:type="dxa"/>
            <w:tcBorders>
              <w:top w:val="single" w:color="auto" w:sz="4" w:space="0"/>
              <w:left w:val="single" w:color="auto" w:sz="4" w:space="0"/>
              <w:bottom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基础及结构工程：十年 防水工程（如有）：三年</w:t>
            </w:r>
          </w:p>
        </w:tc>
        <w:tc>
          <w:tcPr>
            <w:tcW w:w="30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9"/>
              <w:shd w:val="clear" w:color="auto" w:fill="auto"/>
              <w:spacing w:after="0" w:line="220" w:lineRule="exact"/>
              <w:rPr>
                <w:rStyle w:val="22"/>
                <w:rFonts w:ascii="仿宋" w:hAnsi="仿宋" w:eastAsia="仿宋" w:cs="仿宋"/>
                <w:sz w:val="21"/>
                <w:szCs w:val="21"/>
                <w:lang w:val="en-US"/>
              </w:rPr>
            </w:pPr>
            <w:r>
              <w:rPr>
                <w:rStyle w:val="22"/>
                <w:rFonts w:hint="eastAsia" w:ascii="仿宋" w:hAnsi="仿宋" w:eastAsia="仿宋" w:cs="仿宋"/>
                <w:sz w:val="21"/>
                <w:szCs w:val="21"/>
                <w:lang w:val="en-US"/>
              </w:rPr>
              <w:t>承保条件另行协商，不受以上限制</w:t>
            </w:r>
          </w:p>
        </w:tc>
      </w:tr>
    </w:tbl>
    <w:p>
      <w:pPr>
        <w:pStyle w:val="19"/>
        <w:shd w:val="clear" w:color="auto" w:fill="auto"/>
        <w:spacing w:after="0" w:line="360" w:lineRule="auto"/>
        <w:ind w:firstLine="697"/>
        <w:jc w:val="both"/>
        <w:rPr>
          <w:rStyle w:val="21"/>
          <w:rFonts w:hint="default" w:hAnsiTheme="minorHAnsi" w:cstheme="minorBidi"/>
          <w:spacing w:val="0"/>
        </w:rPr>
      </w:pPr>
      <w:r>
        <w:rPr>
          <w:rStyle w:val="21"/>
          <w:rFonts w:hint="default" w:hAnsiTheme="minorHAnsi" w:cstheme="minorBidi"/>
          <w:spacing w:val="0"/>
        </w:rPr>
        <w:t>保险费=保险金额*保险费率，由委托单位按照保单约定支付保险公司。</w:t>
      </w:r>
    </w:p>
    <w:p>
      <w:pPr>
        <w:pStyle w:val="19"/>
        <w:numPr>
          <w:ilvl w:val="0"/>
          <w:numId w:val="5"/>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承保模式</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区发展改革部门通过公开招标建立并管理保险公司预选库，代建工程的委托单位在中标的预选保险供应商中进行竞价，最低价者自动成为承保代建工程的保险公司，委托单位与保险公司签订保险合同。</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委托单位可自行或委托经纪公司开展IDI保险相关工作。</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保险公司应提供完善的IDI保险保障及相应服务。</w:t>
      </w:r>
    </w:p>
    <w:p>
      <w:pPr>
        <w:pStyle w:val="19"/>
        <w:numPr>
          <w:ilvl w:val="0"/>
          <w:numId w:val="5"/>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风险管理要求</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IDI保单出具后，保险公司应聘请专业工程质量安全风险管理机构（以下简称:TIS机构）对保险责任内容实施风险管理。 TIS机构为代建项目工程提供质量风险监督、检查和评估等相关服务的第三方机构，应具备独立性，不得与参建单位有关联关系。</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代建单位、设计单位、施工单位和监理单位应配合TIS机构，提供便利条件，不得妨碍TIS机构开展风险管理工作。</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TIS机构从代建项目工程勘察设计阶段开始参与，在施工 关键节点进行监督检查和风险管理。每次检查应形成检查报告， 提出检查发现的质量缺陷问题、处理意见和建议，并在工程完 工后进行全面检查。如未发现质量缺陷问题或问题已得到有效 整改，则直接出具最终报告，总结质量缺陷问题及整改情况和进行风险管理评价;仍存在质量缺陷问题，则通知代建单位进行整改，在得到有效整改后方可出具最终检查报告。</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TIS机构出具的历次检查报告（包括最终检查报告）应在报告出具后三日内提交给保险公司及代建单位，对检查报告中提出的质量问题，代建单位应责成相关责任方及时整改。TIS机构的历次检查报告（包括最终检查报告）是工程竣工验收备案的必备材料，代建单位在申请办理工程竣工验收备案时未能提交完整的检查报告，相关部门不予受理。</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勘察、设计、施工单位与TIS机构就工程质量缺陷的认定发生争议的，可委托共同认可的工程质量鉴定机构进行鉴定。</w:t>
      </w:r>
    </w:p>
    <w:p>
      <w:pPr>
        <w:pStyle w:val="19"/>
        <w:numPr>
          <w:ilvl w:val="0"/>
          <w:numId w:val="5"/>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保险合同调整及解除</w:t>
      </w:r>
    </w:p>
    <w:p>
      <w:pPr>
        <w:pStyle w:val="19"/>
        <w:shd w:val="clear" w:color="auto" w:fill="auto"/>
        <w:spacing w:after="0" w:line="619" w:lineRule="exact"/>
        <w:ind w:left="160" w:right="280" w:firstLine="640"/>
        <w:jc w:val="both"/>
        <w:rPr>
          <w:rStyle w:val="21"/>
          <w:rFonts w:hint="default" w:hAnsiTheme="minorHAnsi" w:cstheme="minorBidi"/>
          <w:spacing w:val="0"/>
        </w:rPr>
      </w:pPr>
      <w:r>
        <w:rPr>
          <w:rStyle w:val="21"/>
          <w:rFonts w:hint="default" w:hAnsiTheme="minorHAnsi" w:cstheme="minorBidi"/>
          <w:spacing w:val="0"/>
        </w:rPr>
        <w:t>代建工程竣工验收时，代建单位对TIS机构提出的工程质量缺陷问题已进行有效整改，保险公司不得对保险合同的承保条件和责任范围进行调整。出现工程质量缺陷问题未得到有效整改的特殊情况，属于一般质量缺陷的，保险公司可将其列为除外责任（不退还保费），或上浮适当保险费率予以承保，在区政府同意的前提下委托单位补交相应保险费；属于严重质量缺陷的，保险公司可将其列为除外责任（不退还保费），在区政府同意的前提下可解除保险合同。解除保险合同的，保险公司可扣除已发生的TIS机构费用以及管理成本等费用。除上述情况或经区政府同意的其他特殊情况外，保单生效后，委托单位和保险公司双方都不得解除保险合同。</w:t>
      </w:r>
    </w:p>
    <w:p>
      <w:pPr>
        <w:pStyle w:val="19"/>
        <w:numPr>
          <w:ilvl w:val="0"/>
          <w:numId w:val="5"/>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赔偿处理</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保单进入保险赔偿期后，代建工程发生保险责任范围内的 损坏，委托单位可直接向保险公司进行索赔，由保险公司根据保单约定以及服务承诺及时进行理赔。保险公司在理赔后获得代位追偿权，委托单位应协助保险公司向有关责任方进行追偿。</w:t>
      </w:r>
    </w:p>
    <w:p>
      <w:pPr>
        <w:pStyle w:val="3"/>
        <w:keepNext/>
        <w:keepLines/>
        <w:spacing w:before="0" w:after="0" w:line="560" w:lineRule="exact"/>
        <w:ind w:firstLine="642" w:firstLineChars="200"/>
        <w:rPr>
          <w:rFonts w:ascii="Arial" w:hAnsi="Arial" w:eastAsia="黑体"/>
          <w:sz w:val="32"/>
        </w:rPr>
      </w:pPr>
      <w:r>
        <w:rPr>
          <w:rFonts w:hint="eastAsia" w:ascii="Arial" w:hAnsi="Arial" w:eastAsia="黑体"/>
          <w:sz w:val="32"/>
        </w:rPr>
        <w:t>七、引入机制</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区发改部门负责组织协调各方参与IDI保险工作，制定并组织落实IDI保险实施细则。</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入围预选库的保险公司为IDI保险的承保公司，按照《管理办法》和实施细则的要求提供专业的承保及理赔服务，聘请专业TIS机构对工程项目进行风险管理，负责监督TIS机构职责履行情况，建立便捷的理赔程序，及时受理委托单位报案，在约定时效内完成赔付。</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TIS机构为IDI保险的风险管理单位，应具备综合级工程质量检测机构资质，受保险公司委托，对保险公司负责，履行风险管理监督职责，及时准确提出可能存在的工程质量缺陷问 题，其工作范围涵盖代建工程的实施全过程，包括勘察、设计、施工、调试和验收等。</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TIS机构为独立对外承担民事赔偿责任的主体，应满足以下条件之一:</w:t>
      </w:r>
    </w:p>
    <w:p>
      <w:pPr>
        <w:pStyle w:val="19"/>
        <w:numPr>
          <w:ilvl w:val="0"/>
          <w:numId w:val="11"/>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具有大型建筑工程管理经验，拥有建筑工程监理综合级 资质的建设工程管理机构；</w:t>
      </w:r>
    </w:p>
    <w:p>
      <w:pPr>
        <w:pStyle w:val="19"/>
        <w:numPr>
          <w:ilvl w:val="0"/>
          <w:numId w:val="11"/>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具有5年以上受保险公司委托开展国内外建设工程质量风险管理经验，并按专业要求配备相应注册工程师的境外工程管理机构；</w:t>
      </w:r>
    </w:p>
    <w:p>
      <w:pPr>
        <w:pStyle w:val="19"/>
        <w:numPr>
          <w:ilvl w:val="0"/>
          <w:numId w:val="11"/>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其他符合条件的工程管理咨询机构。</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委托单位为IDI保险的投保人和被保险人，按照实施细则的要求投保IDI保险，并按时缴纳保费。</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代建单位为代建工程的项目管理方，应配合保险公司及TIS 机构开展工程质量监督检查工作，对TIS机构提出的工程质量问题，及时责成相关责任方进行整改。</w:t>
      </w:r>
    </w:p>
    <w:p>
      <w:pPr>
        <w:pStyle w:val="3"/>
        <w:keepNext/>
        <w:keepLines/>
        <w:spacing w:before="0" w:after="0" w:line="560" w:lineRule="exact"/>
        <w:ind w:firstLine="642" w:firstLineChars="200"/>
        <w:rPr>
          <w:rFonts w:ascii="Arial" w:hAnsi="Arial" w:eastAsia="黑体"/>
          <w:sz w:val="32"/>
        </w:rPr>
      </w:pPr>
      <w:r>
        <w:rPr>
          <w:rFonts w:hint="eastAsia" w:ascii="Arial" w:hAnsi="Arial" w:eastAsia="黑体"/>
          <w:sz w:val="32"/>
        </w:rPr>
        <w:t>八、实施流程</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IDI保险工作进入实施阶段，相关单位按照职责分工组织 开展落实工作，具体实施流程为：</w:t>
      </w:r>
    </w:p>
    <w:p>
      <w:pPr>
        <w:pStyle w:val="19"/>
        <w:numPr>
          <w:ilvl w:val="0"/>
          <w:numId w:val="12"/>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建立和管理保险公司预选库</w:t>
      </w:r>
    </w:p>
    <w:p>
      <w:pPr>
        <w:pStyle w:val="19"/>
        <w:numPr>
          <w:ilvl w:val="0"/>
          <w:numId w:val="13"/>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保险公司预选库招标</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区发展改革部门结合代建项目以及保险行业实际情况编制招标文件，明确保险需求、招标要求和评标办法，招标文件经区财政部门审核后报区政府采购中心，于政府采购平台上公开招标，并实行评定分离法（评标采取综合评分法，定标采取自定法）。评审专家在公平、公正、公开的前提下进行评标，按规定推荐候选保险公司，由定标委员会根据招标文件设定的要求选定保险公司入围预选库。预选库内保险公司的资格有效期为两年。</w:t>
      </w:r>
    </w:p>
    <w:p>
      <w:pPr>
        <w:pStyle w:val="19"/>
        <w:numPr>
          <w:ilvl w:val="0"/>
          <w:numId w:val="13"/>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保险公司预选库管理</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入围保险公司应满足招标文件要求的资本金实力、偿付能力等硬性指标，符合风险管理能力强、机构健全、承保理赔服务优质等条件，且应具有IDI保险承保经验。如保险公司存在履约过失行为，由区发展改革部门将相关情况报区财政部门，区财政部门根据过失程度对保险公司采取暂停竞价资格或从预选库除名等措施，如保险公司有严重失信或其他违法违规行为的，从预选库除名，且列入黑名单，五年内禁止进入。</w:t>
      </w:r>
    </w:p>
    <w:p>
      <w:pPr>
        <w:pStyle w:val="19"/>
        <w:numPr>
          <w:ilvl w:val="0"/>
          <w:numId w:val="12"/>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竞价投保</w:t>
      </w:r>
    </w:p>
    <w:p>
      <w:pPr>
        <w:pStyle w:val="19"/>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竞价具体步骤为：</w:t>
      </w:r>
    </w:p>
    <w:p>
      <w:pPr>
        <w:pStyle w:val="19"/>
        <w:numPr>
          <w:ilvl w:val="0"/>
          <w:numId w:val="14"/>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项目代建方案批复后，委托单位向预选库内的保险公司发出竞价邀请，委托单位需提供代建工程相关信息，便于保险公司合理竞价；</w:t>
      </w:r>
    </w:p>
    <w:p>
      <w:pPr>
        <w:pStyle w:val="19"/>
        <w:numPr>
          <w:ilvl w:val="0"/>
          <w:numId w:val="14"/>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保险公司以保险细则中的保险费率表为上限，对委托单 位的代建工程进行报价(报价时限一般不超过收到竞价邀请的三日内)；</w:t>
      </w:r>
    </w:p>
    <w:p>
      <w:pPr>
        <w:pStyle w:val="19"/>
        <w:numPr>
          <w:ilvl w:val="0"/>
          <w:numId w:val="14"/>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竞价采用密封报价的形式，委托单位收到保险公司的报 价后现场公布各家保险公司报价情况，费率最低者自动成为该 代建工程的保险供应商；</w:t>
      </w:r>
    </w:p>
    <w:p>
      <w:pPr>
        <w:pStyle w:val="19"/>
        <w:numPr>
          <w:ilvl w:val="0"/>
          <w:numId w:val="14"/>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竞价规则：最低价者中标，如出现两个或以上的相同最低价，则最低报价的保险公司进入第二轮报价，第二轮报价必须低于上一轮报价，否则同样视为无效，以此类推，直至出现唯一最低价为止。</w:t>
      </w:r>
    </w:p>
    <w:p>
      <w:pPr>
        <w:pStyle w:val="19"/>
        <w:shd w:val="clear" w:color="auto" w:fill="auto"/>
        <w:spacing w:after="0" w:line="626" w:lineRule="exact"/>
        <w:ind w:left="160" w:firstLine="680"/>
        <w:jc w:val="both"/>
        <w:rPr>
          <w:rFonts w:ascii="仿宋" w:hAnsi="仿宋" w:eastAsia="仿宋" w:cs="仿宋"/>
          <w:sz w:val="32"/>
          <w:szCs w:val="32"/>
        </w:rPr>
      </w:pPr>
      <w:r>
        <w:rPr>
          <w:rFonts w:hint="eastAsia" w:ascii="仿宋" w:hAnsi="仿宋" w:eastAsia="仿宋" w:cs="仿宋"/>
          <w:sz w:val="32"/>
          <w:szCs w:val="32"/>
        </w:rPr>
        <w:t>投保具体步骤如下：</w:t>
      </w:r>
    </w:p>
    <w:p>
      <w:pPr>
        <w:pStyle w:val="19"/>
        <w:numPr>
          <w:ilvl w:val="0"/>
          <w:numId w:val="15"/>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确定保险公司后，委托单位填写投保单并提供相关的投保资料；</w:t>
      </w:r>
    </w:p>
    <w:p>
      <w:pPr>
        <w:pStyle w:val="19"/>
        <w:numPr>
          <w:ilvl w:val="0"/>
          <w:numId w:val="15"/>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保险公司按照可研报告里的估算金额确定保险金额，按照竞价费率出具保单，并向委托单位出具发票；</w:t>
      </w:r>
    </w:p>
    <w:p>
      <w:pPr>
        <w:pStyle w:val="19"/>
        <w:numPr>
          <w:ilvl w:val="0"/>
          <w:numId w:val="15"/>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委托单位在出单后三十天内缴纳首期保费(50%);</w:t>
      </w:r>
    </w:p>
    <w:p>
      <w:pPr>
        <w:pStyle w:val="19"/>
        <w:numPr>
          <w:ilvl w:val="0"/>
          <w:numId w:val="15"/>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工程概算批复后二十天内，委托单位通知保险公司出具批单，修改保额保费及保险期限，并向委托单位出具发票；</w:t>
      </w:r>
    </w:p>
    <w:p>
      <w:pPr>
        <w:pStyle w:val="19"/>
        <w:numPr>
          <w:ilvl w:val="0"/>
          <w:numId w:val="15"/>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委托单位在批改后三十天内缴纳</w:t>
      </w:r>
      <w:r>
        <w:rPr>
          <w:rStyle w:val="21"/>
          <w:rFonts w:hint="eastAsia" w:eastAsia="仿宋_GB2312" w:hAnsiTheme="minorHAnsi" w:cstheme="minorBidi"/>
          <w:spacing w:val="0"/>
          <w:lang w:eastAsia="zh-CN"/>
        </w:rPr>
        <w:t>剩余</w:t>
      </w:r>
      <w:bookmarkStart w:id="2" w:name="_GoBack"/>
      <w:bookmarkEnd w:id="2"/>
      <w:r>
        <w:rPr>
          <w:rStyle w:val="21"/>
          <w:rFonts w:hint="default" w:hAnsiTheme="minorHAnsi" w:cstheme="minorBidi"/>
          <w:spacing w:val="0"/>
        </w:rPr>
        <w:t>保费(调整后的全额保费减去首期缴纳保费）。</w:t>
      </w:r>
    </w:p>
    <w:p>
      <w:pPr>
        <w:pStyle w:val="19"/>
        <w:numPr>
          <w:ilvl w:val="0"/>
          <w:numId w:val="12"/>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委托TIS机构</w:t>
      </w:r>
    </w:p>
    <w:p>
      <w:pPr>
        <w:pStyle w:val="19"/>
        <w:shd w:val="clear" w:color="auto" w:fill="auto"/>
        <w:spacing w:after="0" w:line="619" w:lineRule="exact"/>
        <w:ind w:right="400" w:firstLine="700"/>
        <w:jc w:val="both"/>
        <w:rPr>
          <w:rStyle w:val="21"/>
          <w:rFonts w:hint="default" w:hAnsiTheme="minorHAnsi" w:cstheme="minorBidi"/>
          <w:spacing w:val="0"/>
        </w:rPr>
      </w:pPr>
      <w:r>
        <w:rPr>
          <w:rStyle w:val="21"/>
          <w:rFonts w:hint="default" w:hAnsiTheme="minorHAnsi" w:cstheme="minorBidi"/>
          <w:spacing w:val="0"/>
        </w:rPr>
        <w:t>在出具保单二十天内，保险公司应结合代建项目的风险特性、规模和工期等因素，选择合适的TIS机构作为代建项目的质量检查机构，双方之间签署委托协议，明确TIS机构的工作职责，委托费用由保险公司承担。TIS机构对保险公司负责。</w:t>
      </w:r>
    </w:p>
    <w:p>
      <w:pPr>
        <w:pStyle w:val="19"/>
        <w:numPr>
          <w:ilvl w:val="0"/>
          <w:numId w:val="12"/>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TIS机构进行工程质量检查</w:t>
      </w:r>
    </w:p>
    <w:p>
      <w:pPr>
        <w:pStyle w:val="19"/>
        <w:shd w:val="clear" w:color="auto" w:fill="auto"/>
        <w:spacing w:after="0" w:line="619" w:lineRule="exact"/>
        <w:ind w:right="400" w:firstLine="700"/>
        <w:jc w:val="both"/>
        <w:rPr>
          <w:rStyle w:val="21"/>
          <w:rFonts w:hint="default" w:hAnsiTheme="minorHAnsi" w:cstheme="minorBidi"/>
          <w:spacing w:val="0"/>
        </w:rPr>
      </w:pPr>
      <w:r>
        <w:rPr>
          <w:rStyle w:val="21"/>
          <w:rFonts w:hint="default" w:hAnsiTheme="minorHAnsi" w:cstheme="minorBidi"/>
          <w:spacing w:val="0"/>
        </w:rPr>
        <w:t>在确定TIS机构后，委托单位安排保险公司、TIS机构与 代建单位进行对接，TIS机构制定代建工程的风险管理实施细则，包括人员配备、负责人、风险管理具体实施范围和对象、过程风险管理具体实施计划、过程风险管理的关键节点或重点工序、需要代建单位协调配合的相关事项等，并按照细则开展具体工作。</w:t>
      </w:r>
    </w:p>
    <w:p>
      <w:pPr>
        <w:pStyle w:val="19"/>
        <w:numPr>
          <w:ilvl w:val="0"/>
          <w:numId w:val="12"/>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竣工验收</w:t>
      </w:r>
    </w:p>
    <w:p>
      <w:pPr>
        <w:pStyle w:val="19"/>
        <w:shd w:val="clear" w:color="auto" w:fill="auto"/>
        <w:spacing w:after="0" w:line="619" w:lineRule="exact"/>
        <w:ind w:right="400" w:firstLine="700"/>
        <w:jc w:val="both"/>
        <w:rPr>
          <w:rStyle w:val="21"/>
          <w:rFonts w:hint="default" w:hAnsiTheme="minorHAnsi" w:cstheme="minorBidi"/>
          <w:spacing w:val="0"/>
        </w:rPr>
      </w:pPr>
      <w:r>
        <w:rPr>
          <w:rStyle w:val="21"/>
          <w:rFonts w:hint="default" w:hAnsiTheme="minorHAnsi" w:cstheme="minorBidi"/>
          <w:spacing w:val="0"/>
        </w:rPr>
        <w:t>在代建工程完工后两周内，TIS机构安排现场复核检查， 并根据检查结果决定是否出具最终检查报告。</w:t>
      </w:r>
    </w:p>
    <w:p>
      <w:pPr>
        <w:pStyle w:val="19"/>
        <w:shd w:val="clear" w:color="auto" w:fill="auto"/>
        <w:spacing w:after="0" w:line="619" w:lineRule="exact"/>
        <w:ind w:right="400" w:firstLine="700"/>
        <w:jc w:val="both"/>
        <w:rPr>
          <w:rStyle w:val="21"/>
          <w:rFonts w:hint="default" w:hAnsiTheme="minorHAnsi" w:cstheme="minorBidi"/>
          <w:spacing w:val="0"/>
        </w:rPr>
      </w:pPr>
      <w:r>
        <w:rPr>
          <w:rStyle w:val="21"/>
          <w:rFonts w:hint="default" w:hAnsiTheme="minorHAnsi" w:cstheme="minorBidi"/>
          <w:spacing w:val="0"/>
        </w:rPr>
        <w:t>在代建工程完成决算后二十天内，委托单位根据决算的实际工程总造价与实际工期通知保险公司出具批单，修改保额保费及保险期限，保费实行多退少补。</w:t>
      </w:r>
    </w:p>
    <w:p>
      <w:pPr>
        <w:pStyle w:val="19"/>
        <w:numPr>
          <w:ilvl w:val="0"/>
          <w:numId w:val="12"/>
        </w:numPr>
        <w:shd w:val="clear" w:color="auto" w:fill="auto"/>
        <w:spacing w:after="0" w:line="619" w:lineRule="exact"/>
        <w:ind w:firstLine="700"/>
        <w:jc w:val="both"/>
        <w:rPr>
          <w:rStyle w:val="21"/>
          <w:rFonts w:hint="default" w:hAnsiTheme="minorHAnsi" w:cstheme="minorBidi"/>
          <w:spacing w:val="0"/>
        </w:rPr>
      </w:pPr>
      <w:r>
        <w:rPr>
          <w:rStyle w:val="21"/>
          <w:rFonts w:hint="default" w:hAnsiTheme="minorHAnsi" w:cstheme="minorBidi"/>
          <w:spacing w:val="0"/>
        </w:rPr>
        <w:t>理赔服务</w:t>
      </w:r>
    </w:p>
    <w:p>
      <w:pPr>
        <w:pStyle w:val="19"/>
        <w:shd w:val="clear" w:color="auto" w:fill="auto"/>
        <w:spacing w:after="0" w:line="619" w:lineRule="exact"/>
        <w:ind w:right="400" w:firstLine="640" w:firstLineChars="200"/>
        <w:jc w:val="both"/>
        <w:rPr>
          <w:rStyle w:val="21"/>
          <w:rFonts w:hint="default" w:hAnsiTheme="minorHAnsi" w:cstheme="minorBidi"/>
          <w:spacing w:val="0"/>
        </w:rPr>
      </w:pPr>
      <w:r>
        <w:rPr>
          <w:rStyle w:val="21"/>
          <w:rFonts w:hint="default" w:hAnsiTheme="minorHAnsi" w:cstheme="minorBidi"/>
          <w:spacing w:val="0"/>
        </w:rPr>
        <w:t>在代建工程的缺陷责任期结束后，保单正式进入保险赔偿期。理赔步骤如下：</w:t>
      </w:r>
    </w:p>
    <w:p>
      <w:pPr>
        <w:pStyle w:val="19"/>
        <w:numPr>
          <w:ilvl w:val="0"/>
          <w:numId w:val="16"/>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报案</w:t>
      </w:r>
    </w:p>
    <w:p>
      <w:pPr>
        <w:pStyle w:val="19"/>
        <w:shd w:val="clear" w:color="auto" w:fill="auto"/>
        <w:spacing w:after="0" w:line="619" w:lineRule="exact"/>
        <w:ind w:right="400" w:firstLine="640" w:firstLineChars="200"/>
        <w:jc w:val="both"/>
        <w:rPr>
          <w:rStyle w:val="21"/>
          <w:rFonts w:hint="default" w:hAnsiTheme="minorHAnsi" w:cstheme="minorBidi"/>
          <w:spacing w:val="0"/>
        </w:rPr>
      </w:pPr>
      <w:r>
        <w:rPr>
          <w:rStyle w:val="21"/>
          <w:rFonts w:hint="default" w:hAnsiTheme="minorHAnsi" w:cstheme="minorBidi"/>
          <w:spacing w:val="0"/>
        </w:rPr>
        <w:t>保险公司为代建项目的IDI保险设立专门的理赔服务团队和二十四小时保险服务专线电话，委托单位在代建项目发现保险责任范围内约定的质量问题时，可直接向保险公司进行报案，报案时需提供保单号、地址、出险原因或现象、联系方式等。</w:t>
      </w:r>
    </w:p>
    <w:p>
      <w:pPr>
        <w:pStyle w:val="19"/>
        <w:numPr>
          <w:ilvl w:val="0"/>
          <w:numId w:val="16"/>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查勘定责</w:t>
      </w:r>
    </w:p>
    <w:p>
      <w:pPr>
        <w:pStyle w:val="19"/>
        <w:shd w:val="clear" w:color="auto" w:fill="auto"/>
        <w:spacing w:after="0" w:line="619" w:lineRule="exact"/>
        <w:ind w:right="400" w:firstLine="640" w:firstLineChars="200"/>
        <w:jc w:val="both"/>
        <w:rPr>
          <w:rStyle w:val="21"/>
          <w:rFonts w:hint="default" w:hAnsiTheme="minorHAnsi" w:cstheme="minorBidi"/>
          <w:spacing w:val="0"/>
        </w:rPr>
      </w:pPr>
      <w:r>
        <w:rPr>
          <w:rStyle w:val="21"/>
          <w:rFonts w:hint="default" w:hAnsiTheme="minorHAnsi" w:cstheme="minorBidi"/>
          <w:spacing w:val="0"/>
        </w:rPr>
        <w:t>保险公司在接到报案后，在二十四小时内安排现场查勘。在完成查勘后，保险公司于七日内对是否属于保险责任范围作 出书面确认，如委托单位对确认结果有异议，可会同保险公司委托共同认可的第三方工程质量鉴定机构进行鉴定。对于鉴定结论属于保险责任范围内的，保险公司在鉴定报告出具后七天内书面确认。</w:t>
      </w:r>
    </w:p>
    <w:p>
      <w:pPr>
        <w:pStyle w:val="19"/>
        <w:numPr>
          <w:ilvl w:val="0"/>
          <w:numId w:val="16"/>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维修理赔</w:t>
      </w:r>
    </w:p>
    <w:p>
      <w:pPr>
        <w:pStyle w:val="19"/>
        <w:shd w:val="clear" w:color="auto" w:fill="auto"/>
        <w:spacing w:after="0" w:line="619" w:lineRule="exact"/>
        <w:ind w:right="400" w:firstLine="640" w:firstLineChars="200"/>
        <w:jc w:val="both"/>
        <w:rPr>
          <w:rStyle w:val="21"/>
          <w:rFonts w:hint="default" w:hAnsiTheme="minorHAnsi" w:cstheme="minorBidi"/>
          <w:spacing w:val="0"/>
        </w:rPr>
      </w:pPr>
      <w:r>
        <w:rPr>
          <w:rStyle w:val="21"/>
          <w:rFonts w:hint="default" w:hAnsiTheme="minorHAnsi" w:cstheme="minorBidi"/>
          <w:spacing w:val="0"/>
        </w:rPr>
        <w:t>如确定质量问题属于保险责任范围，保险公司应于十日内聘请资质合格的维修方，并制订具体维修方案，报委托单位审核盖章确认后，于三日内组织维修方进行维修，确保质量问题得到妥善解决。如委托单位对维修结果不满意，可要求保险公司进行返修。</w:t>
      </w:r>
    </w:p>
    <w:p>
      <w:pPr>
        <w:pStyle w:val="19"/>
        <w:numPr>
          <w:ilvl w:val="0"/>
          <w:numId w:val="16"/>
        </w:numPr>
        <w:shd w:val="clear" w:color="auto" w:fill="auto"/>
        <w:spacing w:after="0" w:line="619" w:lineRule="exact"/>
        <w:ind w:firstLine="640" w:firstLineChars="200"/>
        <w:jc w:val="both"/>
        <w:rPr>
          <w:rStyle w:val="21"/>
          <w:rFonts w:hint="default" w:hAnsiTheme="minorHAnsi" w:cstheme="minorBidi"/>
          <w:spacing w:val="0"/>
        </w:rPr>
      </w:pPr>
      <w:r>
        <w:rPr>
          <w:rStyle w:val="21"/>
          <w:rFonts w:hint="default" w:hAnsiTheme="minorHAnsi" w:cstheme="minorBidi"/>
          <w:spacing w:val="0"/>
        </w:rPr>
        <w:t>代位追偿</w:t>
      </w:r>
    </w:p>
    <w:p>
      <w:pPr>
        <w:pStyle w:val="19"/>
        <w:shd w:val="clear" w:color="auto" w:fill="auto"/>
        <w:spacing w:after="0" w:line="619" w:lineRule="exact"/>
        <w:ind w:right="400" w:firstLine="640" w:firstLineChars="200"/>
        <w:jc w:val="both"/>
        <w:rPr>
          <w:rStyle w:val="21"/>
          <w:rFonts w:hint="default" w:hAnsiTheme="minorHAnsi" w:cstheme="minorBidi"/>
          <w:spacing w:val="0"/>
        </w:rPr>
      </w:pPr>
      <w:r>
        <w:rPr>
          <w:rStyle w:val="21"/>
          <w:rFonts w:hint="default" w:hAnsiTheme="minorHAnsi" w:cstheme="minorBidi"/>
          <w:spacing w:val="0"/>
        </w:rPr>
        <w:t>因法律法规或合同约定应由代建单位、设计单位、施工单位、设备材料供应商等责任方承担的法律责任，不因委托单位投保工程质量保险而免责。</w:t>
      </w:r>
    </w:p>
    <w:p>
      <w:pPr>
        <w:pStyle w:val="19"/>
        <w:shd w:val="clear" w:color="auto" w:fill="auto"/>
        <w:spacing w:after="0" w:line="619" w:lineRule="exact"/>
        <w:ind w:right="400" w:firstLine="640" w:firstLineChars="200"/>
        <w:jc w:val="both"/>
        <w:rPr>
          <w:rStyle w:val="21"/>
          <w:rFonts w:hint="default" w:hAnsiTheme="minorHAnsi" w:cstheme="minorBidi"/>
          <w:spacing w:val="0"/>
        </w:rPr>
      </w:pPr>
      <w:r>
        <w:rPr>
          <w:rStyle w:val="21"/>
          <w:rFonts w:hint="default" w:hAnsiTheme="minorHAnsi" w:cstheme="minorBidi"/>
          <w:spacing w:val="0"/>
        </w:rPr>
        <w:t>保险公司在支付赔款后，相应取得代位追偿权。有权依法 对质量缺陷的责任单位实施代位追偿，委托单位与相关责任方应予配合。</w:t>
      </w:r>
    </w:p>
    <w:p>
      <w:pPr>
        <w:pStyle w:val="3"/>
        <w:keepNext/>
        <w:keepLines/>
        <w:spacing w:before="0" w:after="0" w:line="560" w:lineRule="exact"/>
        <w:ind w:firstLine="642" w:firstLineChars="200"/>
        <w:rPr>
          <w:rFonts w:ascii="Arial" w:hAnsi="Arial" w:eastAsia="黑体"/>
          <w:sz w:val="32"/>
        </w:rPr>
      </w:pPr>
      <w:r>
        <w:rPr>
          <w:rFonts w:hint="eastAsia" w:ascii="Arial" w:hAnsi="Arial" w:eastAsia="黑体"/>
          <w:sz w:val="32"/>
        </w:rPr>
        <w:t>九、保障机制</w:t>
      </w:r>
    </w:p>
    <w:p>
      <w:pPr>
        <w:pStyle w:val="19"/>
        <w:shd w:val="clear" w:color="auto" w:fill="auto"/>
        <w:spacing w:after="0" w:line="619" w:lineRule="exact"/>
        <w:ind w:right="400" w:firstLine="640" w:firstLineChars="200"/>
        <w:jc w:val="both"/>
        <w:rPr>
          <w:rStyle w:val="21"/>
          <w:rFonts w:hint="default" w:hAnsiTheme="minorHAnsi" w:cstheme="minorBidi"/>
          <w:spacing w:val="0"/>
        </w:rPr>
      </w:pPr>
      <w:r>
        <w:rPr>
          <w:rStyle w:val="21"/>
          <w:rFonts w:hint="default" w:hAnsiTheme="minorHAnsi" w:cstheme="minorBidi"/>
          <w:spacing w:val="0"/>
        </w:rPr>
        <w:t>为确保工程质量保险机制的有效推动，参与各方应积极配合，采取现场协调会、电话会议等多种形式进行沟通协调。区发展改革部门、委托单位、入围预选库的保险公司以及TIS机构、代建单位代表等不定期召开工作例会，各方介绍情况，协调解决工作中出现的问题。</w:t>
      </w:r>
    </w:p>
    <w:p>
      <w:pPr>
        <w:pStyle w:val="19"/>
        <w:shd w:val="clear" w:color="auto" w:fill="auto"/>
        <w:spacing w:after="0" w:line="619" w:lineRule="exact"/>
        <w:ind w:right="400" w:firstLine="640" w:firstLineChars="200"/>
        <w:jc w:val="both"/>
        <w:rPr>
          <w:rStyle w:val="21"/>
          <w:rFonts w:hint="default" w:hAnsiTheme="minorHAnsi" w:cstheme="minorBidi"/>
          <w:spacing w:val="0"/>
        </w:rPr>
      </w:pPr>
      <w:r>
        <w:rPr>
          <w:rStyle w:val="21"/>
          <w:rFonts w:hint="default" w:hAnsiTheme="minorHAnsi" w:cstheme="minorBidi"/>
          <w:spacing w:val="0"/>
        </w:rPr>
        <w:t>本实施细则由罗湖区发展改革部门负责解释，自发布之日起施行。有效期三年。</w:t>
      </w:r>
    </w:p>
    <w:sectPr>
      <w:footerReference r:id="rId7" w:type="first"/>
      <w:footerReference r:id="rId5" w:type="default"/>
      <w:footerReference r:id="rId6"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19F" w:csb1="00000000"/>
  </w:font>
  <w:font w:name="MingLiU">
    <w:altName w:val="MS Gothic"/>
    <w:panose1 w:val="02020509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9726930</wp:posOffset>
              </wp:positionV>
              <wp:extent cx="127635" cy="20116800"/>
              <wp:effectExtent l="0" t="0" r="0"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27635" cy="20116800"/>
                      </a:xfrm>
                      <a:prstGeom prst="rect">
                        <a:avLst/>
                      </a:prstGeom>
                      <a:noFill/>
                      <a:ln>
                        <a:noFill/>
                      </a:ln>
                    </wps:spPr>
                    <wps:txbx>
                      <w:txbxContent>
                        <w:p>
                          <w:pPr>
                            <w:pStyle w:val="15"/>
                            <w:shd w:val="clear" w:color="auto" w:fill="auto"/>
                            <w:spacing w:line="240" w:lineRule="auto"/>
                          </w:pPr>
                          <w:r>
                            <w:rPr>
                              <w:rStyle w:val="16"/>
                            </w:rPr>
                            <w:t>-</w:t>
                          </w:r>
                          <w:r>
                            <w:fldChar w:fldCharType="begin"/>
                          </w:r>
                          <w:r>
                            <w:instrText xml:space="preserve"> PAGE \* MERGEFORMAT </w:instrText>
                          </w:r>
                          <w:r>
                            <w:fldChar w:fldCharType="separate"/>
                          </w:r>
                          <w:r>
                            <w:rPr>
                              <w:rStyle w:val="17"/>
                            </w:rPr>
                            <w:t>1</w:t>
                          </w:r>
                          <w:r>
                            <w:rPr>
                              <w:rStyle w:val="17"/>
                            </w:rPr>
                            <w:fldChar w:fldCharType="end"/>
                          </w:r>
                          <w:r>
                            <w:rPr>
                              <w:rStyle w:val="16"/>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65.9pt;height:1584pt;width:10.05pt;mso-position-horizontal:center;mso-position-horizontal-relative:margin;mso-position-vertical-relative:page;mso-wrap-style:none;z-index:251659264;mso-width-relative:page;mso-height-relative:page;" filled="f" stroked="f" coordsize="21600,21600" o:gfxdata="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LtkX21QAA&#10;AAkBAAAPAAAAAAAAAAEAIAAAADgAAABkcnMvZG93bnJldi54bWxQSwECFAAUAAAACACHTuJA6pUS&#10;ggsCAAAEBAAADgAAAAAAAAABACAAAAA6AQAAZHJzL2Uyb0RvYy54bWxQSwUGAAAAAAYABgBZAQAA&#10;twUAAAAA&#10;">
              <v:fill on="f" focussize="0,0"/>
              <v:stroke on="f"/>
              <v:imagedata o:title=""/>
              <o:lock v:ext="edit" aspectratio="f"/>
              <v:textbox inset="0mm,0mm,0mm,0mm" style="mso-fit-shape-to-text:t;">
                <w:txbxContent>
                  <w:p>
                    <w:pPr>
                      <w:pStyle w:val="15"/>
                      <w:shd w:val="clear" w:color="auto" w:fill="auto"/>
                      <w:spacing w:line="240" w:lineRule="auto"/>
                    </w:pPr>
                    <w:r>
                      <w:rPr>
                        <w:rStyle w:val="16"/>
                      </w:rPr>
                      <w:t>-</w:t>
                    </w:r>
                    <w:r>
                      <w:fldChar w:fldCharType="begin"/>
                    </w:r>
                    <w:r>
                      <w:instrText xml:space="preserve"> PAGE \* MERGEFORMAT </w:instrText>
                    </w:r>
                    <w:r>
                      <w:fldChar w:fldCharType="separate"/>
                    </w:r>
                    <w:r>
                      <w:rPr>
                        <w:rStyle w:val="17"/>
                      </w:rPr>
                      <w:t>1</w:t>
                    </w:r>
                    <w:r>
                      <w:rPr>
                        <w:rStyle w:val="17"/>
                      </w:rPr>
                      <w:fldChar w:fldCharType="end"/>
                    </w:r>
                    <w:r>
                      <w:rPr>
                        <w:rStyle w:val="16"/>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9726930</wp:posOffset>
              </wp:positionV>
              <wp:extent cx="127635" cy="20116800"/>
              <wp:effectExtent l="0" t="0" r="0"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27635" cy="20116800"/>
                      </a:xfrm>
                      <a:prstGeom prst="rect">
                        <a:avLst/>
                      </a:prstGeom>
                      <a:noFill/>
                      <a:ln>
                        <a:noFill/>
                      </a:ln>
                    </wps:spPr>
                    <wps:txbx>
                      <w:txbxContent>
                        <w:p>
                          <w:pPr>
                            <w:pStyle w:val="15"/>
                            <w:shd w:val="clear" w:color="auto" w:fill="auto"/>
                            <w:spacing w:line="240" w:lineRule="auto"/>
                          </w:pPr>
                          <w:r>
                            <w:rPr>
                              <w:rStyle w:val="16"/>
                            </w:rPr>
                            <w:t>-</w:t>
                          </w:r>
                          <w:r>
                            <w:fldChar w:fldCharType="begin"/>
                          </w:r>
                          <w:r>
                            <w:instrText xml:space="preserve"> PAGE \* MERGEFORMAT </w:instrText>
                          </w:r>
                          <w:r>
                            <w:fldChar w:fldCharType="separate"/>
                          </w:r>
                          <w:r>
                            <w:rPr>
                              <w:rStyle w:val="17"/>
                            </w:rPr>
                            <w:t>2</w:t>
                          </w:r>
                          <w:r>
                            <w:rPr>
                              <w:rStyle w:val="17"/>
                            </w:rPr>
                            <w:fldChar w:fldCharType="end"/>
                          </w:r>
                          <w:r>
                            <w:rPr>
                              <w:rStyle w:val="16"/>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65.9pt;height:1584pt;width:10.05pt;mso-position-horizontal:center;mso-position-horizontal-relative:margin;mso-position-vertical-relative:page;mso-wrap-style:none;z-index:251660288;mso-width-relative:page;mso-height-relative:page;" filled="f" stroked="f" coordsize="21600,21600" o:gfxdata="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LtkX21QAA&#10;AAkBAAAPAAAAAAAAAAEAIAAAADgAAABkcnMvZG93bnJldi54bWxQSwECFAAUAAAACACHTuJAQVDi&#10;zwsCAAAEBAAADgAAAAAAAAABACAAAAA6AQAAZHJzL2Uyb0RvYy54bWxQSwUGAAAAAAYABgBZAQAA&#10;twUAAAAA&#10;">
              <v:fill on="f" focussize="0,0"/>
              <v:stroke on="f"/>
              <v:imagedata o:title=""/>
              <o:lock v:ext="edit" aspectratio="f"/>
              <v:textbox inset="0mm,0mm,0mm,0mm" style="mso-fit-shape-to-text:t;">
                <w:txbxContent>
                  <w:p>
                    <w:pPr>
                      <w:pStyle w:val="15"/>
                      <w:shd w:val="clear" w:color="auto" w:fill="auto"/>
                      <w:spacing w:line="240" w:lineRule="auto"/>
                    </w:pPr>
                    <w:r>
                      <w:rPr>
                        <w:rStyle w:val="16"/>
                      </w:rPr>
                      <w:t>-</w:t>
                    </w:r>
                    <w:r>
                      <w:fldChar w:fldCharType="begin"/>
                    </w:r>
                    <w:r>
                      <w:instrText xml:space="preserve"> PAGE \* MERGEFORMAT </w:instrText>
                    </w:r>
                    <w:r>
                      <w:fldChar w:fldCharType="separate"/>
                    </w:r>
                    <w:r>
                      <w:rPr>
                        <w:rStyle w:val="17"/>
                      </w:rPr>
                      <w:t>2</w:t>
                    </w:r>
                    <w:r>
                      <w:rPr>
                        <w:rStyle w:val="17"/>
                      </w:rPr>
                      <w:fldChar w:fldCharType="end"/>
                    </w:r>
                    <w:r>
                      <w:rPr>
                        <w:rStyle w:val="1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64135" cy="201231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4135" cy="20123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84.5pt;width:5.05pt;mso-position-horizontal:center;mso-position-horizontal-relative:margin;mso-wrap-style:none;z-index:251663360;mso-width-relative:page;mso-height-relative:page;" filled="f" stroked="f" coordsize="21600,21600" o:gfxdata="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&#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xEq+U0wAAAAUBAAAPAAAAAAAAAAEAIAAAADgAAABk&#10;cnMvZG93bnJldi54bWxQSwECFAAUAAAACACHTuJA93s5kS4CAABUBAAADgAAAAAAAAABACAAAAA4&#10;AQAAZHJzL2Uyb0RvYy54bWxQSwUGAAAAAAYABgBZAQAA2AUAAAAA&#10;">
              <v:fill on="f" focussize="0,0"/>
              <v:stroke on="f" weight="0.5pt"/>
              <v:imagedata o:title=""/>
              <o:lock v:ext="edit" aspectratio="f"/>
              <v:textbox inset="0mm,0mm,0mm,0mm" style="mso-fit-shape-to-text:t;">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9726930</wp:posOffset>
              </wp:positionV>
              <wp:extent cx="133985" cy="20116800"/>
              <wp:effectExtent l="0" t="0" r="0"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3985" cy="20116800"/>
                      </a:xfrm>
                      <a:prstGeom prst="rect">
                        <a:avLst/>
                      </a:prstGeom>
                      <a:noFill/>
                      <a:ln>
                        <a:noFill/>
                      </a:ln>
                    </wps:spPr>
                    <wps:txbx>
                      <w:txbxContent>
                        <w:p>
                          <w:pPr>
                            <w:pStyle w:val="15"/>
                            <w:shd w:val="clear" w:color="auto" w:fill="auto"/>
                            <w:spacing w:line="240" w:lineRule="auto"/>
                          </w:pPr>
                          <w:r>
                            <w:rPr>
                              <w:rStyle w:val="16"/>
                            </w:rPr>
                            <w:t>-</w:t>
                          </w:r>
                          <w:r>
                            <w:rPr>
                              <w:rFonts w:hint="eastAsia"/>
                            </w:rPr>
                            <w:fldChar w:fldCharType="begin"/>
                          </w:r>
                          <w:r>
                            <w:rPr>
                              <w:rFonts w:hint="eastAsia" w:ascii="仿宋" w:hAnsi="仿宋" w:eastAsia="仿宋" w:cs="仿宋"/>
                              <w:sz w:val="18"/>
                              <w:szCs w:val="18"/>
                            </w:rPr>
                            <w:instrText xml:space="preserve"> PAGE \* MERGEFORMAT </w:instrText>
                          </w:r>
                          <w:r>
                            <w:rPr>
                              <w:rFonts w:hint="eastAsia"/>
                            </w:rPr>
                            <w:fldChar w:fldCharType="separate"/>
                          </w:r>
                          <w:r>
                            <w:rPr>
                              <w:rStyle w:val="17"/>
                              <w:rFonts w:ascii="仿宋" w:hAnsi="仿宋" w:eastAsia="仿宋" w:cs="仿宋"/>
                              <w:sz w:val="18"/>
                              <w:szCs w:val="18"/>
                            </w:rPr>
                            <w:t>4</w:t>
                          </w:r>
                          <w:r>
                            <w:rPr>
                              <w:rStyle w:val="17"/>
                              <w:rFonts w:hint="eastAsia" w:ascii="仿宋" w:hAnsi="仿宋" w:eastAsia="仿宋" w:cs="仿宋"/>
                              <w:sz w:val="18"/>
                              <w:szCs w:val="18"/>
                            </w:rPr>
                            <w:fldChar w:fldCharType="end"/>
                          </w:r>
                          <w:r>
                            <w:rPr>
                              <w:rStyle w:val="16"/>
                              <w:lang w:val="zh-CN" w:eastAsia="zh-CN" w:bidi="zh-CN"/>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65.9pt;height:1584pt;width:10.55pt;mso-position-horizontal:center;mso-position-horizontal-relative:margin;mso-position-vertical-relative:page;mso-wrap-style:none;z-index:251662336;mso-width-relative:page;mso-height-relative:page;" filled="f" stroked="f" coordsize="21600,21600" o:gfxdata="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DVSXK1QAA&#10;AAkBAAAPAAAAAAAAAAEAIAAAADgAAABkcnMvZG93bnJldi54bWxQSwECFAAUAAAACACHTuJA/rUA&#10;VQsCAAAEBAAADgAAAAAAAAABACAAAAA6AQAAZHJzL2Uyb0RvYy54bWxQSwUGAAAAAAYABgBZAQAA&#10;twUAAAAA&#10;">
              <v:fill on="f" focussize="0,0"/>
              <v:stroke on="f"/>
              <v:imagedata o:title=""/>
              <o:lock v:ext="edit" aspectratio="f"/>
              <v:textbox inset="0mm,0mm,0mm,0mm" style="mso-fit-shape-to-text:t;">
                <w:txbxContent>
                  <w:p>
                    <w:pPr>
                      <w:pStyle w:val="15"/>
                      <w:shd w:val="clear" w:color="auto" w:fill="auto"/>
                      <w:spacing w:line="240" w:lineRule="auto"/>
                    </w:pPr>
                    <w:r>
                      <w:rPr>
                        <w:rStyle w:val="16"/>
                      </w:rPr>
                      <w:t>-</w:t>
                    </w:r>
                    <w:r>
                      <w:rPr>
                        <w:rFonts w:hint="eastAsia"/>
                      </w:rPr>
                      <w:fldChar w:fldCharType="begin"/>
                    </w:r>
                    <w:r>
                      <w:rPr>
                        <w:rFonts w:hint="eastAsia" w:ascii="仿宋" w:hAnsi="仿宋" w:eastAsia="仿宋" w:cs="仿宋"/>
                        <w:sz w:val="18"/>
                        <w:szCs w:val="18"/>
                      </w:rPr>
                      <w:instrText xml:space="preserve"> PAGE \* MERGEFORMAT </w:instrText>
                    </w:r>
                    <w:r>
                      <w:rPr>
                        <w:rFonts w:hint="eastAsia"/>
                      </w:rPr>
                      <w:fldChar w:fldCharType="separate"/>
                    </w:r>
                    <w:r>
                      <w:rPr>
                        <w:rStyle w:val="17"/>
                        <w:rFonts w:ascii="仿宋" w:hAnsi="仿宋" w:eastAsia="仿宋" w:cs="仿宋"/>
                        <w:sz w:val="18"/>
                        <w:szCs w:val="18"/>
                      </w:rPr>
                      <w:t>4</w:t>
                    </w:r>
                    <w:r>
                      <w:rPr>
                        <w:rStyle w:val="17"/>
                        <w:rFonts w:hint="eastAsia" w:ascii="仿宋" w:hAnsi="仿宋" w:eastAsia="仿宋" w:cs="仿宋"/>
                        <w:sz w:val="18"/>
                        <w:szCs w:val="18"/>
                      </w:rPr>
                      <w:fldChar w:fldCharType="end"/>
                    </w:r>
                    <w:r>
                      <w:rPr>
                        <w:rStyle w:val="16"/>
                        <w:lang w:val="zh-CN" w:eastAsia="zh-CN" w:bidi="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9726930</wp:posOffset>
              </wp:positionV>
              <wp:extent cx="153035" cy="20116800"/>
              <wp:effectExtent l="0" t="0" r="0"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53035" cy="20116800"/>
                      </a:xfrm>
                      <a:prstGeom prst="rect">
                        <a:avLst/>
                      </a:prstGeom>
                      <a:noFill/>
                      <a:ln>
                        <a:noFill/>
                      </a:ln>
                    </wps:spPr>
                    <wps:txbx>
                      <w:txbxContent>
                        <w:p>
                          <w:pPr>
                            <w:pStyle w:val="15"/>
                            <w:shd w:val="clear" w:color="auto" w:fill="auto"/>
                            <w:spacing w:line="240" w:lineRule="auto"/>
                          </w:pPr>
                          <w:r>
                            <w:rPr>
                              <w:rStyle w:val="16"/>
                            </w:rPr>
                            <w:t>-</w:t>
                          </w:r>
                          <w:r>
                            <w:fldChar w:fldCharType="begin"/>
                          </w:r>
                          <w:r>
                            <w:instrText xml:space="preserve"> PAGE \* MERGEFORMAT </w:instrText>
                          </w:r>
                          <w:r>
                            <w:fldChar w:fldCharType="separate"/>
                          </w:r>
                          <w:r>
                            <w:rPr>
                              <w:rStyle w:val="17"/>
                            </w:rPr>
                            <w:t>3</w:t>
                          </w:r>
                          <w:r>
                            <w:rPr>
                              <w:rStyle w:val="17"/>
                            </w:rPr>
                            <w:fldChar w:fldCharType="end"/>
                          </w:r>
                          <w:r>
                            <w:rPr>
                              <w:rStyle w:val="16"/>
                              <w:lang w:val="zh-CN" w:eastAsia="zh-CN" w:bidi="zh-CN"/>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65.9pt;height:1584pt;width:12.05pt;mso-position-horizontal:center;mso-position-horizontal-relative:margin;mso-position-vertical-relative:page;mso-wrap-style:none;z-index:251661312;mso-width-relative:page;mso-height-relative:page;" filled="f" stroked="f" coordsize="21600,21600" o:gfxdata="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s6xgfWAAAA&#10;CQEAAA8AAAAAAAAAAQAgAAAAOAAAAGRycy9kb3ducmV2LnhtbFBLAQIUABQAAAAIAIdO4kAuXHfy&#10;CQIAAAQEAAAOAAAAAAAAAAEAIAAAADsBAABkcnMvZTJvRG9jLnhtbFBLBQYAAAAABgAGAFkBAAC2&#10;BQAAAAA=&#10;">
              <v:fill on="f" focussize="0,0"/>
              <v:stroke on="f"/>
              <v:imagedata o:title=""/>
              <o:lock v:ext="edit" aspectratio="f"/>
              <v:textbox inset="0mm,0mm,0mm,0mm" style="mso-fit-shape-to-text:t;">
                <w:txbxContent>
                  <w:p>
                    <w:pPr>
                      <w:pStyle w:val="15"/>
                      <w:shd w:val="clear" w:color="auto" w:fill="auto"/>
                      <w:spacing w:line="240" w:lineRule="auto"/>
                    </w:pPr>
                    <w:r>
                      <w:rPr>
                        <w:rStyle w:val="16"/>
                      </w:rPr>
                      <w:t>-</w:t>
                    </w:r>
                    <w:r>
                      <w:fldChar w:fldCharType="begin"/>
                    </w:r>
                    <w:r>
                      <w:instrText xml:space="preserve"> PAGE \* MERGEFORMAT </w:instrText>
                    </w:r>
                    <w:r>
                      <w:fldChar w:fldCharType="separate"/>
                    </w:r>
                    <w:r>
                      <w:rPr>
                        <w:rStyle w:val="17"/>
                      </w:rPr>
                      <w:t>3</w:t>
                    </w:r>
                    <w:r>
                      <w:rPr>
                        <w:rStyle w:val="17"/>
                      </w:rPr>
                      <w:fldChar w:fldCharType="end"/>
                    </w:r>
                    <w:r>
                      <w:rPr>
                        <w:rStyle w:val="16"/>
                        <w:lang w:val="zh-CN" w:eastAsia="zh-CN" w:bidi="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5B9EC"/>
    <w:multiLevelType w:val="singleLevel"/>
    <w:tmpl w:val="9355B9EC"/>
    <w:lvl w:ilvl="0" w:tentative="0">
      <w:start w:val="1"/>
      <w:numFmt w:val="lowerLetter"/>
      <w:lvlText w:val="%1."/>
      <w:lvlJc w:val="left"/>
      <w:pPr>
        <w:tabs>
          <w:tab w:val="left" w:pos="312"/>
        </w:tabs>
      </w:pPr>
    </w:lvl>
  </w:abstractNum>
  <w:abstractNum w:abstractNumId="1">
    <w:nsid w:val="B208F4DE"/>
    <w:multiLevelType w:val="singleLevel"/>
    <w:tmpl w:val="B208F4DE"/>
    <w:lvl w:ilvl="0" w:tentative="0">
      <w:start w:val="1"/>
      <w:numFmt w:val="decimal"/>
      <w:lvlText w:val="%1."/>
      <w:lvlJc w:val="left"/>
      <w:pPr>
        <w:tabs>
          <w:tab w:val="left" w:pos="312"/>
        </w:tabs>
      </w:pPr>
    </w:lvl>
  </w:abstractNum>
  <w:abstractNum w:abstractNumId="2">
    <w:nsid w:val="BC10991E"/>
    <w:multiLevelType w:val="singleLevel"/>
    <w:tmpl w:val="BC10991E"/>
    <w:lvl w:ilvl="0" w:tentative="0">
      <w:start w:val="1"/>
      <w:numFmt w:val="decimal"/>
      <w:lvlText w:val="%1."/>
      <w:lvlJc w:val="left"/>
      <w:pPr>
        <w:tabs>
          <w:tab w:val="left" w:pos="312"/>
        </w:tabs>
      </w:pPr>
    </w:lvl>
  </w:abstractNum>
  <w:abstractNum w:abstractNumId="3">
    <w:nsid w:val="EE4B222F"/>
    <w:multiLevelType w:val="singleLevel"/>
    <w:tmpl w:val="EE4B222F"/>
    <w:lvl w:ilvl="0" w:tentative="0">
      <w:start w:val="2"/>
      <w:numFmt w:val="chineseCounting"/>
      <w:suff w:val="nothing"/>
      <w:lvlText w:val="（%1）"/>
      <w:lvlJc w:val="left"/>
      <w:rPr>
        <w:rFonts w:hint="eastAsia"/>
      </w:rPr>
    </w:lvl>
  </w:abstractNum>
  <w:abstractNum w:abstractNumId="4">
    <w:nsid w:val="F602A7E8"/>
    <w:multiLevelType w:val="singleLevel"/>
    <w:tmpl w:val="F602A7E8"/>
    <w:lvl w:ilvl="0" w:tentative="0">
      <w:start w:val="1"/>
      <w:numFmt w:val="decimal"/>
      <w:lvlText w:val="%1."/>
      <w:lvlJc w:val="left"/>
      <w:pPr>
        <w:tabs>
          <w:tab w:val="left" w:pos="312"/>
        </w:tabs>
      </w:pPr>
    </w:lvl>
  </w:abstractNum>
  <w:abstractNum w:abstractNumId="5">
    <w:nsid w:val="F93D1FFF"/>
    <w:multiLevelType w:val="singleLevel"/>
    <w:tmpl w:val="F93D1FFF"/>
    <w:lvl w:ilvl="0" w:tentative="0">
      <w:start w:val="1"/>
      <w:numFmt w:val="decimal"/>
      <w:lvlText w:val="%1."/>
      <w:lvlJc w:val="left"/>
      <w:pPr>
        <w:tabs>
          <w:tab w:val="left" w:pos="312"/>
        </w:tabs>
      </w:pPr>
    </w:lvl>
  </w:abstractNum>
  <w:abstractNum w:abstractNumId="6">
    <w:nsid w:val="F98A2110"/>
    <w:multiLevelType w:val="singleLevel"/>
    <w:tmpl w:val="F98A2110"/>
    <w:lvl w:ilvl="0" w:tentative="0">
      <w:start w:val="1"/>
      <w:numFmt w:val="decimal"/>
      <w:lvlText w:val="%1."/>
      <w:lvlJc w:val="left"/>
      <w:pPr>
        <w:tabs>
          <w:tab w:val="left" w:pos="312"/>
        </w:tabs>
      </w:pPr>
    </w:lvl>
  </w:abstractNum>
  <w:abstractNum w:abstractNumId="7">
    <w:nsid w:val="15E1711C"/>
    <w:multiLevelType w:val="singleLevel"/>
    <w:tmpl w:val="15E1711C"/>
    <w:lvl w:ilvl="0" w:tentative="0">
      <w:start w:val="1"/>
      <w:numFmt w:val="chineseCounting"/>
      <w:suff w:val="nothing"/>
      <w:lvlText w:val="（%1）"/>
      <w:lvlJc w:val="left"/>
      <w:rPr>
        <w:rFonts w:hint="eastAsia"/>
      </w:rPr>
    </w:lvl>
  </w:abstractNum>
  <w:abstractNum w:abstractNumId="8">
    <w:nsid w:val="301F800A"/>
    <w:multiLevelType w:val="singleLevel"/>
    <w:tmpl w:val="301F800A"/>
    <w:lvl w:ilvl="0" w:tentative="0">
      <w:start w:val="1"/>
      <w:numFmt w:val="decimal"/>
      <w:lvlText w:val="%1."/>
      <w:lvlJc w:val="left"/>
      <w:pPr>
        <w:tabs>
          <w:tab w:val="left" w:pos="312"/>
        </w:tabs>
      </w:pPr>
    </w:lvl>
  </w:abstractNum>
  <w:abstractNum w:abstractNumId="9">
    <w:nsid w:val="33A80E9A"/>
    <w:multiLevelType w:val="singleLevel"/>
    <w:tmpl w:val="33A80E9A"/>
    <w:lvl w:ilvl="0" w:tentative="0">
      <w:start w:val="1"/>
      <w:numFmt w:val="decimal"/>
      <w:suff w:val="nothing"/>
      <w:lvlText w:val="（%1）"/>
      <w:lvlJc w:val="left"/>
    </w:lvl>
  </w:abstractNum>
  <w:abstractNum w:abstractNumId="10">
    <w:nsid w:val="377F3678"/>
    <w:multiLevelType w:val="singleLevel"/>
    <w:tmpl w:val="377F3678"/>
    <w:lvl w:ilvl="0" w:tentative="0">
      <w:start w:val="1"/>
      <w:numFmt w:val="decimal"/>
      <w:lvlText w:val="%1."/>
      <w:lvlJc w:val="left"/>
      <w:pPr>
        <w:tabs>
          <w:tab w:val="left" w:pos="312"/>
        </w:tabs>
      </w:pPr>
    </w:lvl>
  </w:abstractNum>
  <w:abstractNum w:abstractNumId="11">
    <w:nsid w:val="55E99F3B"/>
    <w:multiLevelType w:val="singleLevel"/>
    <w:tmpl w:val="55E99F3B"/>
    <w:lvl w:ilvl="0" w:tentative="0">
      <w:start w:val="1"/>
      <w:numFmt w:val="decimal"/>
      <w:lvlText w:val="%1."/>
      <w:lvlJc w:val="left"/>
      <w:pPr>
        <w:tabs>
          <w:tab w:val="left" w:pos="312"/>
        </w:tabs>
      </w:pPr>
    </w:lvl>
  </w:abstractNum>
  <w:abstractNum w:abstractNumId="12">
    <w:nsid w:val="6DC98AA4"/>
    <w:multiLevelType w:val="singleLevel"/>
    <w:tmpl w:val="6DC98AA4"/>
    <w:lvl w:ilvl="0" w:tentative="0">
      <w:start w:val="2"/>
      <w:numFmt w:val="chineseCounting"/>
      <w:suff w:val="nothing"/>
      <w:lvlText w:val="（%1）"/>
      <w:lvlJc w:val="left"/>
      <w:rPr>
        <w:rFonts w:hint="eastAsia"/>
      </w:rPr>
    </w:lvl>
  </w:abstractNum>
  <w:abstractNum w:abstractNumId="13">
    <w:nsid w:val="7935BC26"/>
    <w:multiLevelType w:val="singleLevel"/>
    <w:tmpl w:val="7935BC26"/>
    <w:lvl w:ilvl="0" w:tentative="0">
      <w:start w:val="1"/>
      <w:numFmt w:val="lowerLetter"/>
      <w:lvlText w:val="%1."/>
      <w:lvlJc w:val="left"/>
      <w:pPr>
        <w:tabs>
          <w:tab w:val="left" w:pos="312"/>
        </w:tabs>
      </w:pPr>
    </w:lvl>
  </w:abstractNum>
  <w:abstractNum w:abstractNumId="14">
    <w:nsid w:val="7946E942"/>
    <w:multiLevelType w:val="singleLevel"/>
    <w:tmpl w:val="7946E942"/>
    <w:lvl w:ilvl="0" w:tentative="0">
      <w:start w:val="1"/>
      <w:numFmt w:val="decimal"/>
      <w:lvlText w:val="%1."/>
      <w:lvlJc w:val="left"/>
      <w:pPr>
        <w:tabs>
          <w:tab w:val="left" w:pos="312"/>
        </w:tabs>
      </w:pPr>
    </w:lvl>
  </w:abstractNum>
  <w:abstractNum w:abstractNumId="15">
    <w:nsid w:val="7AE020D4"/>
    <w:multiLevelType w:val="singleLevel"/>
    <w:tmpl w:val="7AE020D4"/>
    <w:lvl w:ilvl="0" w:tentative="0">
      <w:start w:val="1"/>
      <w:numFmt w:val="decimal"/>
      <w:lvlText w:val="%1."/>
      <w:lvlJc w:val="left"/>
      <w:pPr>
        <w:tabs>
          <w:tab w:val="left" w:pos="312"/>
        </w:tabs>
      </w:pPr>
    </w:lvl>
  </w:abstractNum>
  <w:num w:numId="1">
    <w:abstractNumId w:val="10"/>
  </w:num>
  <w:num w:numId="2">
    <w:abstractNumId w:val="5"/>
  </w:num>
  <w:num w:numId="3">
    <w:abstractNumId w:val="12"/>
  </w:num>
  <w:num w:numId="4">
    <w:abstractNumId w:val="11"/>
  </w:num>
  <w:num w:numId="5">
    <w:abstractNumId w:val="3"/>
  </w:num>
  <w:num w:numId="6">
    <w:abstractNumId w:val="15"/>
  </w:num>
  <w:num w:numId="7">
    <w:abstractNumId w:val="2"/>
  </w:num>
  <w:num w:numId="8">
    <w:abstractNumId w:val="4"/>
  </w:num>
  <w:num w:numId="9">
    <w:abstractNumId w:val="13"/>
  </w:num>
  <w:num w:numId="10">
    <w:abstractNumId w:val="0"/>
  </w:num>
  <w:num w:numId="11">
    <w:abstractNumId w:val="6"/>
  </w:num>
  <w:num w:numId="12">
    <w:abstractNumId w:val="7"/>
  </w:num>
  <w:num w:numId="13">
    <w:abstractNumId w:val="14"/>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0A"/>
    <w:rsid w:val="00001965"/>
    <w:rsid w:val="0001297B"/>
    <w:rsid w:val="00016B9F"/>
    <w:rsid w:val="00042E64"/>
    <w:rsid w:val="0004476D"/>
    <w:rsid w:val="00045C2F"/>
    <w:rsid w:val="0004785C"/>
    <w:rsid w:val="00057A7F"/>
    <w:rsid w:val="000737AF"/>
    <w:rsid w:val="00085B6C"/>
    <w:rsid w:val="00097C26"/>
    <w:rsid w:val="000A07CF"/>
    <w:rsid w:val="000B1F24"/>
    <w:rsid w:val="000D7D07"/>
    <w:rsid w:val="000F516B"/>
    <w:rsid w:val="000F76AA"/>
    <w:rsid w:val="00114068"/>
    <w:rsid w:val="00124EC7"/>
    <w:rsid w:val="00152827"/>
    <w:rsid w:val="001573C6"/>
    <w:rsid w:val="00172A9F"/>
    <w:rsid w:val="0017312B"/>
    <w:rsid w:val="00185327"/>
    <w:rsid w:val="00190183"/>
    <w:rsid w:val="001C7E7D"/>
    <w:rsid w:val="001D728E"/>
    <w:rsid w:val="001E4EB4"/>
    <w:rsid w:val="001E5785"/>
    <w:rsid w:val="00200DF0"/>
    <w:rsid w:val="00214EB8"/>
    <w:rsid w:val="00215D58"/>
    <w:rsid w:val="00217838"/>
    <w:rsid w:val="002206A6"/>
    <w:rsid w:val="0024400B"/>
    <w:rsid w:val="00254B50"/>
    <w:rsid w:val="0026218A"/>
    <w:rsid w:val="00276CC0"/>
    <w:rsid w:val="002940DC"/>
    <w:rsid w:val="002967D9"/>
    <w:rsid w:val="002A3AA4"/>
    <w:rsid w:val="002A6D95"/>
    <w:rsid w:val="002B4C9E"/>
    <w:rsid w:val="002B4D99"/>
    <w:rsid w:val="002C1909"/>
    <w:rsid w:val="002C1E8D"/>
    <w:rsid w:val="002D6B65"/>
    <w:rsid w:val="002E0DFF"/>
    <w:rsid w:val="002F4919"/>
    <w:rsid w:val="002F70D2"/>
    <w:rsid w:val="00303756"/>
    <w:rsid w:val="0030609A"/>
    <w:rsid w:val="00310219"/>
    <w:rsid w:val="00356361"/>
    <w:rsid w:val="00382AD6"/>
    <w:rsid w:val="00385E79"/>
    <w:rsid w:val="003A036A"/>
    <w:rsid w:val="003A21DF"/>
    <w:rsid w:val="003B1836"/>
    <w:rsid w:val="003B2A0E"/>
    <w:rsid w:val="003B60E7"/>
    <w:rsid w:val="003E0236"/>
    <w:rsid w:val="003E5949"/>
    <w:rsid w:val="003E63AE"/>
    <w:rsid w:val="003E7966"/>
    <w:rsid w:val="0041287C"/>
    <w:rsid w:val="00412A9E"/>
    <w:rsid w:val="0043645C"/>
    <w:rsid w:val="00442348"/>
    <w:rsid w:val="00443554"/>
    <w:rsid w:val="00461D77"/>
    <w:rsid w:val="00465EC0"/>
    <w:rsid w:val="004711DA"/>
    <w:rsid w:val="004A1BD7"/>
    <w:rsid w:val="004B088D"/>
    <w:rsid w:val="004C0608"/>
    <w:rsid w:val="004F4C91"/>
    <w:rsid w:val="00500F18"/>
    <w:rsid w:val="00500F55"/>
    <w:rsid w:val="00505837"/>
    <w:rsid w:val="00515171"/>
    <w:rsid w:val="00527392"/>
    <w:rsid w:val="00530706"/>
    <w:rsid w:val="00535D23"/>
    <w:rsid w:val="0054675D"/>
    <w:rsid w:val="00552039"/>
    <w:rsid w:val="00557665"/>
    <w:rsid w:val="00563017"/>
    <w:rsid w:val="005759B4"/>
    <w:rsid w:val="005937E8"/>
    <w:rsid w:val="0059526C"/>
    <w:rsid w:val="005A2657"/>
    <w:rsid w:val="005B1836"/>
    <w:rsid w:val="006028AD"/>
    <w:rsid w:val="00623584"/>
    <w:rsid w:val="0063681A"/>
    <w:rsid w:val="00644E6F"/>
    <w:rsid w:val="0066122F"/>
    <w:rsid w:val="006666B3"/>
    <w:rsid w:val="00697813"/>
    <w:rsid w:val="006B21CA"/>
    <w:rsid w:val="006B3057"/>
    <w:rsid w:val="006B66EB"/>
    <w:rsid w:val="006C1016"/>
    <w:rsid w:val="006D1B61"/>
    <w:rsid w:val="006F07E5"/>
    <w:rsid w:val="00712D9C"/>
    <w:rsid w:val="00724138"/>
    <w:rsid w:val="007347C4"/>
    <w:rsid w:val="00746AD8"/>
    <w:rsid w:val="0075070D"/>
    <w:rsid w:val="00753661"/>
    <w:rsid w:val="00785D60"/>
    <w:rsid w:val="00790F43"/>
    <w:rsid w:val="007B4C5D"/>
    <w:rsid w:val="007D5266"/>
    <w:rsid w:val="007D602E"/>
    <w:rsid w:val="00804046"/>
    <w:rsid w:val="0081012C"/>
    <w:rsid w:val="00811682"/>
    <w:rsid w:val="00812518"/>
    <w:rsid w:val="00817C6F"/>
    <w:rsid w:val="00821EEA"/>
    <w:rsid w:val="00826432"/>
    <w:rsid w:val="00833904"/>
    <w:rsid w:val="00854130"/>
    <w:rsid w:val="008745BB"/>
    <w:rsid w:val="00881923"/>
    <w:rsid w:val="00890417"/>
    <w:rsid w:val="008957B1"/>
    <w:rsid w:val="008D21AE"/>
    <w:rsid w:val="008E64CB"/>
    <w:rsid w:val="008F6394"/>
    <w:rsid w:val="0090022E"/>
    <w:rsid w:val="00912909"/>
    <w:rsid w:val="00926AE3"/>
    <w:rsid w:val="00937FD3"/>
    <w:rsid w:val="00943F2B"/>
    <w:rsid w:val="0095387A"/>
    <w:rsid w:val="00955326"/>
    <w:rsid w:val="009675CD"/>
    <w:rsid w:val="00972F27"/>
    <w:rsid w:val="0097378A"/>
    <w:rsid w:val="009A43D8"/>
    <w:rsid w:val="009B2533"/>
    <w:rsid w:val="009C6D0A"/>
    <w:rsid w:val="009F1D93"/>
    <w:rsid w:val="00A00E1E"/>
    <w:rsid w:val="00A14ABD"/>
    <w:rsid w:val="00A1612E"/>
    <w:rsid w:val="00A20A53"/>
    <w:rsid w:val="00A42DE8"/>
    <w:rsid w:val="00A52191"/>
    <w:rsid w:val="00A57E94"/>
    <w:rsid w:val="00A67675"/>
    <w:rsid w:val="00A70477"/>
    <w:rsid w:val="00A80CAE"/>
    <w:rsid w:val="00A923F1"/>
    <w:rsid w:val="00AB3FBC"/>
    <w:rsid w:val="00AC040A"/>
    <w:rsid w:val="00AE1303"/>
    <w:rsid w:val="00AE1CC9"/>
    <w:rsid w:val="00AE1F23"/>
    <w:rsid w:val="00AE4F3B"/>
    <w:rsid w:val="00AF367B"/>
    <w:rsid w:val="00B020CA"/>
    <w:rsid w:val="00B10200"/>
    <w:rsid w:val="00B1337F"/>
    <w:rsid w:val="00B2656F"/>
    <w:rsid w:val="00B301A6"/>
    <w:rsid w:val="00B33021"/>
    <w:rsid w:val="00B42EBA"/>
    <w:rsid w:val="00B84331"/>
    <w:rsid w:val="00B92814"/>
    <w:rsid w:val="00BA09B3"/>
    <w:rsid w:val="00BA36DF"/>
    <w:rsid w:val="00BF350F"/>
    <w:rsid w:val="00C25798"/>
    <w:rsid w:val="00C51756"/>
    <w:rsid w:val="00C53AD1"/>
    <w:rsid w:val="00C7650F"/>
    <w:rsid w:val="00CA00A2"/>
    <w:rsid w:val="00CC13D5"/>
    <w:rsid w:val="00D0283A"/>
    <w:rsid w:val="00D10C9A"/>
    <w:rsid w:val="00D1107F"/>
    <w:rsid w:val="00D2478C"/>
    <w:rsid w:val="00D35B37"/>
    <w:rsid w:val="00D6452B"/>
    <w:rsid w:val="00D7433D"/>
    <w:rsid w:val="00D76D61"/>
    <w:rsid w:val="00D948B2"/>
    <w:rsid w:val="00DB2914"/>
    <w:rsid w:val="00DB6994"/>
    <w:rsid w:val="00DB774D"/>
    <w:rsid w:val="00DC75F7"/>
    <w:rsid w:val="00DF27D9"/>
    <w:rsid w:val="00E06C24"/>
    <w:rsid w:val="00E11E97"/>
    <w:rsid w:val="00E15C86"/>
    <w:rsid w:val="00E2174A"/>
    <w:rsid w:val="00E2358E"/>
    <w:rsid w:val="00E4057D"/>
    <w:rsid w:val="00E50142"/>
    <w:rsid w:val="00E67DBE"/>
    <w:rsid w:val="00E820A7"/>
    <w:rsid w:val="00E97DC4"/>
    <w:rsid w:val="00EB4D30"/>
    <w:rsid w:val="00ED2253"/>
    <w:rsid w:val="00EE0867"/>
    <w:rsid w:val="00F04C33"/>
    <w:rsid w:val="00F13288"/>
    <w:rsid w:val="00F1355D"/>
    <w:rsid w:val="00F20616"/>
    <w:rsid w:val="00F227FE"/>
    <w:rsid w:val="00F2499D"/>
    <w:rsid w:val="00F56581"/>
    <w:rsid w:val="00F63BC6"/>
    <w:rsid w:val="00F647B8"/>
    <w:rsid w:val="00F814A0"/>
    <w:rsid w:val="00F829C7"/>
    <w:rsid w:val="00FA75FA"/>
    <w:rsid w:val="00FA7BAD"/>
    <w:rsid w:val="00FB1FE0"/>
    <w:rsid w:val="00FC51A0"/>
    <w:rsid w:val="00FE1FEC"/>
    <w:rsid w:val="00FF7613"/>
    <w:rsid w:val="16931E9A"/>
    <w:rsid w:val="17E87704"/>
    <w:rsid w:val="306F7401"/>
    <w:rsid w:val="312C122B"/>
    <w:rsid w:val="337D1E40"/>
    <w:rsid w:val="38053D19"/>
    <w:rsid w:val="3A3F2490"/>
    <w:rsid w:val="5C5A0980"/>
    <w:rsid w:val="6F0A14E5"/>
    <w:rsid w:val="73306997"/>
    <w:rsid w:val="76D645BE"/>
    <w:rsid w:val="78FFAD4D"/>
    <w:rsid w:val="7B73913A"/>
    <w:rsid w:val="FB7D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paragraph" w:styleId="2">
    <w:name w:val="heading 1"/>
    <w:basedOn w:val="1"/>
    <w:next w:val="1"/>
    <w:link w:val="11"/>
    <w:qFormat/>
    <w:uiPriority w:val="9"/>
    <w:pPr>
      <w:keepNext/>
      <w:keepLines/>
      <w:spacing w:before="156" w:beforeLines="50" w:after="156" w:afterLines="50" w:line="300" w:lineRule="auto"/>
      <w:jc w:val="center"/>
      <w:outlineLvl w:val="0"/>
    </w:pPr>
    <w:rPr>
      <w:rFonts w:ascii="Arial" w:hAnsi="Arial"/>
      <w:bCs/>
      <w:kern w:val="44"/>
      <w:sz w:val="32"/>
      <w:szCs w:val="32"/>
    </w:rPr>
  </w:style>
  <w:style w:type="paragraph" w:styleId="3">
    <w:name w:val="heading 2"/>
    <w:basedOn w:val="1"/>
    <w:next w:val="1"/>
    <w:link w:val="13"/>
    <w:unhideWhenUsed/>
    <w:qFormat/>
    <w:uiPriority w:val="0"/>
    <w:pPr>
      <w:spacing w:before="260" w:after="260" w:line="416" w:lineRule="auto"/>
      <w:outlineLvl w:val="1"/>
    </w:pPr>
    <w:rPr>
      <w:b/>
    </w:rPr>
  </w:style>
  <w:style w:type="paragraph" w:styleId="4">
    <w:name w:val="heading 3"/>
    <w:basedOn w:val="1"/>
    <w:next w:val="1"/>
    <w:link w:val="12"/>
    <w:semiHidden/>
    <w:unhideWhenUsed/>
    <w:qFormat/>
    <w:uiPriority w:val="9"/>
    <w:pPr>
      <w:keepNext/>
      <w:keepLines/>
      <w:spacing w:before="260" w:after="260" w:line="416" w:lineRule="auto"/>
      <w:outlineLvl w:val="2"/>
    </w:pPr>
    <w:rPr>
      <w:rFonts w:ascii="Arial" w:hAnsi="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5"/>
    <w:semiHidden/>
    <w:unhideWhenUsed/>
    <w:qFormat/>
    <w:uiPriority w:val="99"/>
    <w:rPr>
      <w:rFonts w:ascii="Helvetica" w:hAnsi="Helvetica"/>
    </w:rPr>
  </w:style>
  <w:style w:type="paragraph" w:styleId="6">
    <w:name w:val="footer"/>
    <w:basedOn w:val="1"/>
    <w:semiHidden/>
    <w:unhideWhenUsed/>
    <w:qFormat/>
    <w:uiPriority w:val="99"/>
    <w:pPr>
      <w:tabs>
        <w:tab w:val="center" w:pos="4153"/>
        <w:tab w:val="right" w:pos="8306"/>
      </w:tabs>
      <w:snapToGrid w:val="0"/>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字符"/>
    <w:basedOn w:val="10"/>
    <w:link w:val="2"/>
    <w:qFormat/>
    <w:uiPriority w:val="9"/>
    <w:rPr>
      <w:rFonts w:ascii="Arial" w:hAnsi="Arial"/>
      <w:bCs/>
      <w:kern w:val="44"/>
      <w:sz w:val="32"/>
      <w:szCs w:val="32"/>
    </w:rPr>
  </w:style>
  <w:style w:type="character" w:customStyle="1" w:styleId="12">
    <w:name w:val="标题 3字符"/>
    <w:basedOn w:val="10"/>
    <w:link w:val="4"/>
    <w:semiHidden/>
    <w:qFormat/>
    <w:uiPriority w:val="9"/>
    <w:rPr>
      <w:rFonts w:ascii="Arial" w:hAnsi="Arial"/>
      <w:b/>
      <w:bCs/>
      <w:sz w:val="32"/>
      <w:szCs w:val="32"/>
    </w:rPr>
  </w:style>
  <w:style w:type="character" w:customStyle="1" w:styleId="13">
    <w:name w:val="标题 2字符"/>
    <w:basedOn w:val="10"/>
    <w:link w:val="3"/>
    <w:qFormat/>
    <w:uiPriority w:val="0"/>
    <w:rPr>
      <w:rFonts w:ascii="Times New Roman" w:hAnsi="Times New Roman" w:eastAsia="Times New Roman" w:cs="Times New Roman"/>
      <w:b/>
      <w:kern w:val="44"/>
      <w:szCs w:val="32"/>
    </w:rPr>
  </w:style>
  <w:style w:type="character" w:customStyle="1" w:styleId="14">
    <w:name w:val="Header or footer|1_"/>
    <w:basedOn w:val="10"/>
    <w:link w:val="15"/>
    <w:qFormat/>
    <w:uiPriority w:val="0"/>
    <w:rPr>
      <w:rFonts w:ascii="MingLiU" w:hAnsi="MingLiU" w:eastAsia="MingLiU" w:cs="MingLiU"/>
      <w:sz w:val="8"/>
      <w:szCs w:val="8"/>
      <w:shd w:val="clear" w:color="auto" w:fill="FFFFFF"/>
      <w:lang w:eastAsia="en-US" w:bidi="en-US"/>
    </w:rPr>
  </w:style>
  <w:style w:type="paragraph" w:customStyle="1" w:styleId="15">
    <w:name w:val="Header or footer|11"/>
    <w:basedOn w:val="1"/>
    <w:link w:val="14"/>
    <w:qFormat/>
    <w:uiPriority w:val="0"/>
    <w:pPr>
      <w:shd w:val="clear" w:color="auto" w:fill="FFFFFF"/>
      <w:spacing w:line="240" w:lineRule="exact"/>
    </w:pPr>
    <w:rPr>
      <w:rFonts w:ascii="MingLiU" w:hAnsi="MingLiU" w:eastAsia="MingLiU" w:cs="MingLiU"/>
      <w:color w:val="auto"/>
      <w:kern w:val="2"/>
      <w:sz w:val="8"/>
      <w:szCs w:val="8"/>
      <w:lang w:val="en-US" w:eastAsia="en-US" w:bidi="en-US"/>
    </w:rPr>
  </w:style>
  <w:style w:type="character" w:customStyle="1" w:styleId="16">
    <w:name w:val="Header or footer|1"/>
    <w:basedOn w:val="14"/>
    <w:semiHidden/>
    <w:unhideWhenUsed/>
    <w:qFormat/>
    <w:uiPriority w:val="0"/>
    <w:rPr>
      <w:rFonts w:ascii="MingLiU" w:hAnsi="MingLiU" w:eastAsia="MingLiU" w:cs="MingLiU"/>
      <w:color w:val="000000"/>
      <w:spacing w:val="0"/>
      <w:w w:val="100"/>
      <w:position w:val="0"/>
      <w:sz w:val="8"/>
      <w:szCs w:val="8"/>
      <w:shd w:val="clear" w:color="auto" w:fill="FFFFFF"/>
      <w:lang w:eastAsia="en-US" w:bidi="en-US"/>
    </w:rPr>
  </w:style>
  <w:style w:type="character" w:customStyle="1" w:styleId="17">
    <w:name w:val="Header or footer|1 + 12 pt"/>
    <w:basedOn w:val="14"/>
    <w:semiHidden/>
    <w:unhideWhenUsed/>
    <w:qFormat/>
    <w:uiPriority w:val="0"/>
    <w:rPr>
      <w:rFonts w:ascii="MingLiU" w:hAnsi="MingLiU" w:eastAsia="MingLiU" w:cs="MingLiU"/>
      <w:color w:val="000000"/>
      <w:spacing w:val="0"/>
      <w:w w:val="100"/>
      <w:position w:val="0"/>
      <w:sz w:val="24"/>
      <w:szCs w:val="24"/>
      <w:shd w:val="clear" w:color="auto" w:fill="FFFFFF"/>
      <w:lang w:eastAsia="en-US" w:bidi="en-US"/>
    </w:rPr>
  </w:style>
  <w:style w:type="character" w:customStyle="1" w:styleId="18">
    <w:name w:val="Body text|2_"/>
    <w:basedOn w:val="10"/>
    <w:link w:val="19"/>
    <w:qFormat/>
    <w:uiPriority w:val="0"/>
    <w:rPr>
      <w:rFonts w:ascii="PMingLiU" w:hAnsi="PMingLiU" w:eastAsia="PMingLiU" w:cs="PMingLiU"/>
      <w:spacing w:val="30"/>
      <w:sz w:val="30"/>
      <w:szCs w:val="30"/>
      <w:shd w:val="clear" w:color="auto" w:fill="FFFFFF"/>
    </w:rPr>
  </w:style>
  <w:style w:type="paragraph" w:customStyle="1" w:styleId="19">
    <w:name w:val="Body text|2"/>
    <w:basedOn w:val="1"/>
    <w:link w:val="18"/>
    <w:qFormat/>
    <w:uiPriority w:val="0"/>
    <w:pPr>
      <w:shd w:val="clear" w:color="auto" w:fill="FFFFFF"/>
      <w:spacing w:after="940" w:line="300" w:lineRule="exact"/>
      <w:jc w:val="center"/>
    </w:pPr>
    <w:rPr>
      <w:rFonts w:ascii="PMingLiU" w:hAnsi="PMingLiU" w:eastAsia="PMingLiU" w:cs="PMingLiU"/>
      <w:color w:val="auto"/>
      <w:spacing w:val="30"/>
      <w:kern w:val="2"/>
      <w:sz w:val="30"/>
      <w:szCs w:val="30"/>
      <w:lang w:val="en-US" w:bidi="ar-SA"/>
    </w:rPr>
  </w:style>
  <w:style w:type="character" w:customStyle="1" w:styleId="20">
    <w:name w:val="fontstyle01"/>
    <w:basedOn w:val="10"/>
    <w:qFormat/>
    <w:uiPriority w:val="0"/>
    <w:rPr>
      <w:rFonts w:hint="eastAsia" w:ascii="宋体" w:hAnsi="宋体" w:eastAsia="宋体"/>
      <w:color w:val="000000"/>
      <w:sz w:val="44"/>
      <w:szCs w:val="44"/>
    </w:rPr>
  </w:style>
  <w:style w:type="character" w:customStyle="1" w:styleId="21">
    <w:name w:val="fontstyle31"/>
    <w:basedOn w:val="10"/>
    <w:qFormat/>
    <w:uiPriority w:val="0"/>
    <w:rPr>
      <w:rFonts w:hint="eastAsia" w:ascii="仿宋_GB2312" w:eastAsia="仿宋_GB2312"/>
      <w:color w:val="000000"/>
      <w:sz w:val="32"/>
      <w:szCs w:val="32"/>
    </w:rPr>
  </w:style>
  <w:style w:type="character" w:customStyle="1" w:styleId="22">
    <w:name w:val="Body text|2 + 11 pt"/>
    <w:basedOn w:val="18"/>
    <w:semiHidden/>
    <w:unhideWhenUsed/>
    <w:qFormat/>
    <w:uiPriority w:val="0"/>
    <w:rPr>
      <w:rFonts w:ascii="PMingLiU" w:hAnsi="PMingLiU" w:eastAsia="PMingLiU" w:cs="PMingLiU"/>
      <w:color w:val="000000"/>
      <w:spacing w:val="20"/>
      <w:w w:val="100"/>
      <w:position w:val="0"/>
      <w:sz w:val="22"/>
      <w:szCs w:val="22"/>
      <w:shd w:val="clear" w:color="auto" w:fill="FFFFFF"/>
      <w:lang w:val="zh-CN" w:eastAsia="zh-CN" w:bidi="zh-CN"/>
    </w:rPr>
  </w:style>
  <w:style w:type="character" w:customStyle="1" w:styleId="23">
    <w:name w:val="Body text|2 + 11.5 pt"/>
    <w:basedOn w:val="18"/>
    <w:semiHidden/>
    <w:unhideWhenUsed/>
    <w:qFormat/>
    <w:uiPriority w:val="0"/>
    <w:rPr>
      <w:rFonts w:ascii="PMingLiU" w:hAnsi="PMingLiU" w:eastAsia="PMingLiU" w:cs="PMingLiU"/>
      <w:color w:val="000000"/>
      <w:spacing w:val="70"/>
      <w:w w:val="100"/>
      <w:position w:val="0"/>
      <w:sz w:val="23"/>
      <w:szCs w:val="23"/>
      <w:shd w:val="clear" w:color="auto" w:fill="FFFFFF"/>
      <w:lang w:val="zh-CN" w:eastAsia="zh-CN" w:bidi="zh-CN"/>
    </w:rPr>
  </w:style>
  <w:style w:type="character" w:customStyle="1" w:styleId="24">
    <w:name w:val="Body text|2 + 12 pt"/>
    <w:basedOn w:val="18"/>
    <w:semiHidden/>
    <w:unhideWhenUsed/>
    <w:qFormat/>
    <w:uiPriority w:val="0"/>
    <w:rPr>
      <w:rFonts w:ascii="PMingLiU" w:hAnsi="PMingLiU" w:eastAsia="PMingLiU" w:cs="PMingLiU"/>
      <w:b/>
      <w:bCs/>
      <w:color w:val="000000"/>
      <w:spacing w:val="10"/>
      <w:w w:val="100"/>
      <w:position w:val="0"/>
      <w:sz w:val="24"/>
      <w:szCs w:val="24"/>
      <w:shd w:val="clear" w:color="auto" w:fill="FFFFFF"/>
      <w:lang w:val="zh-CN" w:eastAsia="zh-CN" w:bidi="zh-CN"/>
    </w:rPr>
  </w:style>
  <w:style w:type="character" w:customStyle="1" w:styleId="25">
    <w:name w:val="文档结构图字符"/>
    <w:basedOn w:val="10"/>
    <w:link w:val="5"/>
    <w:semiHidden/>
    <w:qFormat/>
    <w:uiPriority w:val="99"/>
    <w:rPr>
      <w:rFonts w:ascii="Helvetica" w:hAnsi="Helvetica" w:eastAsia="Times New Roman" w:cs="Times New Roman"/>
      <w:color w:val="000000"/>
      <w:kern w:val="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919</Words>
  <Characters>5244</Characters>
  <Lines>43</Lines>
  <Paragraphs>12</Paragraphs>
  <TotalTime>3</TotalTime>
  <ScaleCrop>false</ScaleCrop>
  <LinksUpToDate>false</LinksUpToDate>
  <CharactersWithSpaces>6151</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2019-05-23T06:01:00Z</dcterms:created>
  <dc:creator>wjyperfect@163.com</dc:creator>
  <cp:lastModifiedBy>xiaoyajun</cp:lastModifiedBy>
  <dcterms:modified xsi:type="dcterms:W3CDTF">2025-08-11T17:32:15Z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AA4CB40EAB49883355B299680B3B5A6F</vt:lpwstr>
  </property>
</Properties>
</file>