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autoSpaceDE/>
        <w:autoSpaceDN/>
        <w:bidi w:val="0"/>
        <w:adjustRightInd/>
        <w:snapToGrid/>
        <w:spacing w:line="600" w:lineRule="exact"/>
        <w:ind w:firstLine="0" w:firstLineChars="0"/>
        <w:jc w:val="both"/>
        <w:textAlignment w:val="auto"/>
        <w:outlineLvl w:val="0"/>
        <w:rPr>
          <w:rFonts w:hint="eastAsia" w:ascii="方正小标宋_GBK" w:hAnsi="宋体" w:eastAsia="方正小标宋_GBK" w:cs="Times New Roman"/>
          <w:b w:val="0"/>
          <w:bCs w:val="0"/>
          <w:spacing w:val="0"/>
          <w:kern w:val="21"/>
          <w:sz w:val="44"/>
          <w:szCs w:val="44"/>
        </w:rPr>
      </w:pP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left"/>
        <w:textAlignment w:val="auto"/>
        <w:outlineLvl w:val="0"/>
        <w:rPr>
          <w:rFonts w:hint="eastAsia" w:ascii="黑体" w:hAnsi="黑体" w:eastAsia="黑体" w:cs="黑体"/>
          <w:b w:val="0"/>
          <w:bCs w:val="0"/>
          <w:color w:val="auto"/>
          <w:spacing w:val="0"/>
          <w:sz w:val="32"/>
          <w:szCs w:val="32"/>
          <w:lang w:val="en-US" w:eastAsia="zh-CN"/>
        </w:rPr>
      </w:pPr>
      <w:bookmarkStart w:id="10" w:name="_GoBack"/>
      <w:bookmarkEnd w:id="10"/>
      <w:r>
        <w:rPr>
          <w:rFonts w:hint="eastAsia" w:ascii="黑体" w:hAnsi="黑体" w:eastAsia="黑体" w:cs="黑体"/>
          <w:b w:val="0"/>
          <w:bCs w:val="0"/>
          <w:color w:val="auto"/>
          <w:spacing w:val="0"/>
          <w:sz w:val="32"/>
          <w:szCs w:val="32"/>
          <w:lang w:eastAsia="zh-CN"/>
        </w:rPr>
        <w:t>附件</w:t>
      </w:r>
      <w:r>
        <w:rPr>
          <w:rFonts w:hint="eastAsia" w:ascii="黑体" w:hAnsi="黑体" w:eastAsia="黑体" w:cs="黑体"/>
          <w:b w:val="0"/>
          <w:bCs w:val="0"/>
          <w:color w:val="auto"/>
          <w:spacing w:val="0"/>
          <w:sz w:val="32"/>
          <w:szCs w:val="32"/>
          <w:lang w:val="en-US" w:eastAsia="zh-CN"/>
        </w:rPr>
        <w:t>2</w:t>
      </w: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center"/>
        <w:textAlignment w:val="auto"/>
        <w:outlineLvl w:val="0"/>
        <w:rPr>
          <w:rFonts w:hint="eastAsia" w:ascii="方正小标宋_GBK" w:hAnsi="宋体" w:eastAsia="方正小标宋_GBK" w:cs="Times New Roman"/>
          <w:b w:val="0"/>
          <w:bCs w:val="0"/>
          <w:color w:val="auto"/>
          <w:spacing w:val="0"/>
          <w:sz w:val="44"/>
          <w:szCs w:val="44"/>
        </w:rPr>
      </w:pP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center"/>
        <w:textAlignment w:val="auto"/>
        <w:outlineLvl w:val="0"/>
        <w:rPr>
          <w:rFonts w:hint="eastAsia" w:ascii="方正小标宋_GBK" w:hAnsi="宋体" w:eastAsia="方正小标宋_GBK" w:cs="Times New Roman"/>
          <w:b w:val="0"/>
          <w:bCs w:val="0"/>
          <w:color w:val="auto"/>
          <w:spacing w:val="0"/>
          <w:sz w:val="44"/>
          <w:szCs w:val="44"/>
          <w:lang w:eastAsia="zh-CN"/>
        </w:rPr>
      </w:pPr>
      <w:r>
        <w:rPr>
          <w:rFonts w:hint="eastAsia" w:ascii="方正小标宋_GBK" w:hAnsi="宋体" w:eastAsia="方正小标宋_GBK" w:cs="Times New Roman"/>
          <w:b w:val="0"/>
          <w:bCs w:val="0"/>
          <w:color w:val="auto"/>
          <w:spacing w:val="0"/>
          <w:sz w:val="44"/>
          <w:szCs w:val="44"/>
        </w:rPr>
        <w:t>黄贝岭综合车场保障性租赁住房项</w:t>
      </w:r>
      <w:r>
        <w:rPr>
          <w:rFonts w:hint="eastAsia" w:ascii="方正小标宋_GBK" w:hAnsi="宋体" w:eastAsia="方正小标宋_GBK" w:cs="Times New Roman"/>
          <w:b w:val="0"/>
          <w:bCs w:val="0"/>
          <w:color w:val="auto"/>
          <w:spacing w:val="0"/>
          <w:sz w:val="44"/>
          <w:szCs w:val="44"/>
          <w:lang w:eastAsia="zh-CN"/>
        </w:rPr>
        <w:t>目</w:t>
      </w: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center"/>
        <w:textAlignment w:val="auto"/>
        <w:outlineLvl w:val="0"/>
        <w:rPr>
          <w:rFonts w:hint="eastAsia" w:ascii="方正小标宋_GBK" w:hAnsi="宋体" w:eastAsia="方正小标宋_GBK" w:cs="Times New Roman"/>
          <w:b w:val="0"/>
          <w:bCs w:val="0"/>
          <w:color w:val="auto"/>
          <w:spacing w:val="0"/>
          <w:sz w:val="44"/>
          <w:szCs w:val="44"/>
        </w:rPr>
      </w:pPr>
      <w:r>
        <w:rPr>
          <w:rFonts w:hint="eastAsia" w:ascii="方正小标宋_GBK" w:hAnsi="宋体" w:eastAsia="方正小标宋_GBK" w:cs="Times New Roman"/>
          <w:b w:val="0"/>
          <w:bCs w:val="0"/>
          <w:color w:val="auto"/>
          <w:spacing w:val="0"/>
          <w:sz w:val="44"/>
          <w:szCs w:val="44"/>
        </w:rPr>
        <w:t>房屋征收补偿方案</w:t>
      </w:r>
    </w:p>
    <w:p>
      <w:pPr>
        <w:keepNext w:val="0"/>
        <w:keepLines w:val="0"/>
        <w:pageBreakBefore w:val="0"/>
        <w:widowControl w:val="0"/>
        <w:kinsoku/>
        <w:wordWrap/>
        <w:overflowPunct w:val="0"/>
        <w:topLinePunct w:val="0"/>
        <w:autoSpaceDE/>
        <w:autoSpaceDN/>
        <w:bidi w:val="0"/>
        <w:adjustRightInd/>
        <w:snapToGrid/>
        <w:spacing w:line="560" w:lineRule="exact"/>
        <w:ind w:firstLine="892" w:firstLineChars="200"/>
        <w:jc w:val="center"/>
        <w:textAlignment w:val="auto"/>
        <w:outlineLvl w:val="9"/>
        <w:rPr>
          <w:rFonts w:hint="eastAsia" w:ascii="宋体" w:hAnsi="Calibri" w:eastAsia="仿宋_GB2312" w:cs="Times New Roman"/>
          <w:color w:val="auto"/>
          <w:spacing w:val="0"/>
          <w:sz w:val="44"/>
          <w:szCs w:val="44"/>
        </w:rPr>
      </w:pP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sz w:val="32"/>
          <w:szCs w:val="32"/>
        </w:rPr>
      </w:pPr>
      <w:r>
        <w:rPr>
          <w:rFonts w:hint="eastAsia" w:ascii="仿宋_GB2312" w:hAnsi="仿宋" w:eastAsia="仿宋_GB2312" w:cs="Times New Roman"/>
          <w:color w:val="auto"/>
          <w:spacing w:val="0"/>
          <w:sz w:val="32"/>
          <w:szCs w:val="32"/>
        </w:rPr>
        <w:t>为</w:t>
      </w:r>
      <w:r>
        <w:rPr>
          <w:rFonts w:hint="eastAsia" w:ascii="仿宋_GB2312" w:hAnsi="仿宋" w:eastAsia="仿宋_GB2312" w:cs="Times New Roman"/>
          <w:color w:val="auto"/>
          <w:spacing w:val="0"/>
          <w:sz w:val="32"/>
          <w:szCs w:val="32"/>
          <w:lang w:val="en-US" w:eastAsia="zh-CN"/>
        </w:rPr>
        <w:t>规范</w:t>
      </w:r>
      <w:r>
        <w:rPr>
          <w:rFonts w:hint="eastAsia" w:ascii="仿宋_GB2312" w:hAnsi="仿宋" w:eastAsia="仿宋_GB2312" w:cs="Times New Roman"/>
          <w:color w:val="auto"/>
          <w:spacing w:val="0"/>
          <w:sz w:val="32"/>
          <w:szCs w:val="32"/>
        </w:rPr>
        <w:t>开展黄贝岭综合车场保障性租赁住房项目</w:t>
      </w:r>
      <w:r>
        <w:rPr>
          <w:rFonts w:hint="eastAsia" w:ascii="仿宋_GB2312" w:hAnsi="Calibri" w:eastAsia="仿宋_GB2312" w:cs="Times New Roman"/>
          <w:color w:val="auto"/>
          <w:spacing w:val="0"/>
          <w:sz w:val="32"/>
          <w:szCs w:val="32"/>
        </w:rPr>
        <w:t>（以下简称“本项目”）房屋征收行为，维护公共利益，保障</w:t>
      </w:r>
      <w:r>
        <w:rPr>
          <w:rFonts w:hint="eastAsia" w:ascii="仿宋_GB2312" w:hAnsi="Calibri" w:eastAsia="仿宋_GB2312" w:cs="Times New Roman"/>
          <w:color w:val="auto"/>
          <w:spacing w:val="0"/>
          <w:sz w:val="32"/>
          <w:szCs w:val="32"/>
          <w:lang w:eastAsia="zh-CN"/>
        </w:rPr>
        <w:t>被征收人</w:t>
      </w:r>
      <w:r>
        <w:rPr>
          <w:rFonts w:hint="eastAsia" w:ascii="仿宋_GB2312" w:hAnsi="Calibri" w:eastAsia="仿宋_GB2312" w:cs="Times New Roman"/>
          <w:color w:val="auto"/>
          <w:spacing w:val="0"/>
          <w:sz w:val="32"/>
          <w:szCs w:val="32"/>
        </w:rPr>
        <w:t>的合法权益，</w:t>
      </w:r>
      <w:r>
        <w:rPr>
          <w:rFonts w:hint="eastAsia" w:ascii="仿宋_GB2312" w:hAnsi="仿宋" w:eastAsia="仿宋_GB2312" w:cs="Times New Roman"/>
          <w:color w:val="auto"/>
          <w:spacing w:val="0"/>
          <w:sz w:val="32"/>
          <w:szCs w:val="32"/>
        </w:rPr>
        <w:t>根据《国有土地上房屋征收与补偿条例》（国务院令第590号）、</w:t>
      </w:r>
      <w:r>
        <w:rPr>
          <w:rFonts w:hint="eastAsia" w:ascii="仿宋_GB2312" w:hAnsi="Calibri" w:eastAsia="仿宋_GB2312" w:cs="Times New Roman"/>
          <w:color w:val="auto"/>
          <w:spacing w:val="0"/>
          <w:sz w:val="32"/>
          <w:szCs w:val="32"/>
        </w:rPr>
        <w:t>《深圳市房屋征收与补偿实施办法（试行）》（</w:t>
      </w:r>
      <w:r>
        <w:rPr>
          <w:rFonts w:hint="eastAsia" w:ascii="仿宋_GB2312" w:hAnsi="Calibri" w:eastAsia="仿宋_GB2312" w:cs="Times New Roman"/>
          <w:color w:val="auto"/>
          <w:spacing w:val="0"/>
          <w:sz w:val="32"/>
          <w:szCs w:val="32"/>
          <w:lang w:val="en-US" w:eastAsia="zh-CN"/>
        </w:rPr>
        <w:t>深圳市人民</w:t>
      </w:r>
      <w:r>
        <w:rPr>
          <w:rFonts w:hint="eastAsia" w:ascii="仿宋_GB2312" w:hAnsi="Calibri" w:eastAsia="仿宋_GB2312" w:cs="Times New Roman"/>
          <w:color w:val="auto"/>
          <w:spacing w:val="0"/>
          <w:sz w:val="32"/>
          <w:szCs w:val="32"/>
        </w:rPr>
        <w:t>政府令第</w:t>
      </w:r>
      <w:r>
        <w:rPr>
          <w:rFonts w:hint="eastAsia" w:ascii="仿宋_GB2312" w:hAnsi="Calibri" w:eastAsia="仿宋_GB2312" w:cs="Times New Roman"/>
          <w:color w:val="auto"/>
          <w:spacing w:val="0"/>
          <w:sz w:val="32"/>
          <w:szCs w:val="32"/>
          <w:lang w:val="en-US" w:eastAsia="zh-CN"/>
        </w:rPr>
        <w:t>34</w:t>
      </w:r>
      <w:r>
        <w:rPr>
          <w:rFonts w:hint="eastAsia" w:ascii="仿宋_GB2312" w:hAnsi="Calibri" w:eastAsia="仿宋_GB2312" w:cs="Times New Roman"/>
          <w:color w:val="auto"/>
          <w:spacing w:val="0"/>
          <w:sz w:val="32"/>
          <w:szCs w:val="32"/>
        </w:rPr>
        <w:t>2号</w:t>
      </w:r>
      <w:r>
        <w:rPr>
          <w:rFonts w:hint="eastAsia" w:ascii="仿宋_GB2312" w:hAnsi="Calibri" w:eastAsia="仿宋_GB2312" w:cs="Times New Roman"/>
          <w:color w:val="auto"/>
          <w:spacing w:val="0"/>
          <w:sz w:val="32"/>
          <w:szCs w:val="32"/>
          <w:lang w:eastAsia="zh-CN"/>
        </w:rPr>
        <w:t>，</w:t>
      </w:r>
      <w:r>
        <w:rPr>
          <w:rFonts w:hint="eastAsia" w:ascii="仿宋_GB2312" w:hAnsi="Calibri" w:eastAsia="仿宋_GB2312" w:cs="Times New Roman"/>
          <w:color w:val="auto"/>
          <w:spacing w:val="0"/>
          <w:sz w:val="32"/>
          <w:szCs w:val="32"/>
        </w:rPr>
        <w:t>以下简称“</w:t>
      </w:r>
      <w:r>
        <w:rPr>
          <w:rFonts w:hint="eastAsia" w:ascii="仿宋_GB2312" w:hAnsi="Calibri" w:eastAsia="仿宋_GB2312" w:cs="Times New Roman"/>
          <w:color w:val="auto"/>
          <w:spacing w:val="0"/>
          <w:sz w:val="32"/>
          <w:szCs w:val="32"/>
          <w:lang w:val="en-US" w:eastAsia="zh-CN"/>
        </w:rPr>
        <w:t>342号令</w:t>
      </w:r>
      <w:r>
        <w:rPr>
          <w:rFonts w:hint="eastAsia" w:ascii="仿宋_GB2312" w:hAnsi="Calibri" w:eastAsia="仿宋_GB2312" w:cs="Times New Roman"/>
          <w:color w:val="auto"/>
          <w:spacing w:val="0"/>
          <w:sz w:val="32"/>
          <w:szCs w:val="32"/>
        </w:rPr>
        <w:t>”）及有关规定，结合本项目实际情况，</w:t>
      </w:r>
      <w:r>
        <w:rPr>
          <w:rFonts w:hint="eastAsia" w:ascii="仿宋_GB2312" w:hAnsi="仿宋" w:eastAsia="仿宋_GB2312" w:cs="Times New Roman"/>
          <w:color w:val="auto"/>
          <w:spacing w:val="0"/>
          <w:sz w:val="32"/>
          <w:szCs w:val="32"/>
        </w:rPr>
        <w:t>制定黄贝岭综合车场保障性租赁住房项</w:t>
      </w:r>
      <w:r>
        <w:rPr>
          <w:rFonts w:hint="eastAsia" w:ascii="仿宋_GB2312" w:hAnsi="仿宋" w:eastAsia="仿宋_GB2312" w:cs="Times New Roman"/>
          <w:color w:val="auto"/>
          <w:spacing w:val="0"/>
          <w:sz w:val="32"/>
          <w:szCs w:val="32"/>
          <w:lang w:eastAsia="zh-CN"/>
        </w:rPr>
        <w:t>目</w:t>
      </w:r>
      <w:r>
        <w:rPr>
          <w:rFonts w:hint="eastAsia" w:ascii="仿宋_GB2312" w:hAnsi="仿宋" w:eastAsia="仿宋_GB2312" w:cs="Times New Roman"/>
          <w:color w:val="auto"/>
          <w:spacing w:val="0"/>
          <w:sz w:val="32"/>
          <w:szCs w:val="32"/>
        </w:rPr>
        <w:t>房屋征收补偿方案（以下简称“本方案”）。</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leftChars="0" w:firstLine="0" w:firstLineChars="0"/>
        <w:jc w:val="center"/>
        <w:textAlignment w:val="auto"/>
        <w:outlineLvl w:val="0"/>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lang w:val="en-US" w:eastAsia="zh-CN"/>
        </w:rPr>
        <w:t>第一章</w:t>
      </w:r>
      <w:r>
        <w:rPr>
          <w:rFonts w:hint="eastAsia" w:ascii="黑体" w:hAnsi="黑体" w:eastAsia="黑体" w:cs="黑体"/>
          <w:b w:val="0"/>
          <w:bCs w:val="0"/>
          <w:color w:val="auto"/>
          <w:spacing w:val="0"/>
          <w:sz w:val="32"/>
          <w:szCs w:val="32"/>
        </w:rPr>
        <w:t xml:space="preserve"> 总</w:t>
      </w:r>
      <w:r>
        <w:rPr>
          <w:rFonts w:hint="eastAsia" w:ascii="黑体" w:hAnsi="黑体" w:eastAsia="黑体" w:cs="黑体"/>
          <w:b w:val="0"/>
          <w:bCs w:val="0"/>
          <w:color w:val="auto"/>
          <w:spacing w:val="0"/>
          <w:sz w:val="32"/>
          <w:szCs w:val="32"/>
          <w:lang w:val="en-US" w:eastAsia="zh-CN"/>
        </w:rPr>
        <w:t xml:space="preserve">  </w:t>
      </w:r>
      <w:r>
        <w:rPr>
          <w:rFonts w:hint="eastAsia" w:ascii="黑体" w:hAnsi="黑体" w:eastAsia="黑体" w:cs="黑体"/>
          <w:b w:val="0"/>
          <w:bCs w:val="0"/>
          <w:color w:val="auto"/>
          <w:spacing w:val="0"/>
          <w:sz w:val="32"/>
          <w:szCs w:val="32"/>
        </w:rPr>
        <w:t>则</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第一条【房屋征收</w:t>
      </w:r>
      <w:r>
        <w:rPr>
          <w:rFonts w:hint="eastAsia" w:ascii="黑体" w:hAnsi="黑体" w:eastAsia="黑体" w:cs="黑体"/>
          <w:b w:val="0"/>
          <w:bCs w:val="0"/>
          <w:color w:val="auto"/>
          <w:spacing w:val="0"/>
          <w:sz w:val="32"/>
          <w:szCs w:val="32"/>
          <w:lang w:eastAsia="zh-CN"/>
        </w:rPr>
        <w:t>当事人</w:t>
      </w:r>
      <w:r>
        <w:rPr>
          <w:rFonts w:hint="eastAsia" w:ascii="黑体" w:hAnsi="黑体" w:eastAsia="黑体" w:cs="黑体"/>
          <w:b w:val="0"/>
          <w:bCs w:val="0"/>
          <w:color w:val="auto"/>
          <w:spacing w:val="0"/>
          <w:sz w:val="32"/>
          <w:szCs w:val="32"/>
        </w:rPr>
        <w:t>】</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sz w:val="32"/>
          <w:szCs w:val="32"/>
        </w:rPr>
      </w:pPr>
      <w:bookmarkStart w:id="0" w:name="_Hlk119618519"/>
      <w:r>
        <w:rPr>
          <w:rFonts w:hint="eastAsia" w:ascii="仿宋_GB2312" w:hAnsi="仿宋" w:eastAsia="仿宋_GB2312" w:cs="Times New Roman"/>
          <w:color w:val="auto"/>
          <w:spacing w:val="0"/>
          <w:sz w:val="32"/>
          <w:szCs w:val="32"/>
        </w:rPr>
        <w:t>房屋征收主体：深圳市</w:t>
      </w:r>
      <w:r>
        <w:rPr>
          <w:rFonts w:hint="eastAsia" w:ascii="仿宋_GB2312" w:hAnsi="仿宋" w:eastAsia="仿宋_GB2312" w:cs="Times New Roman"/>
          <w:color w:val="auto"/>
          <w:spacing w:val="0"/>
          <w:sz w:val="32"/>
          <w:szCs w:val="32"/>
          <w:lang w:eastAsia="zh-CN"/>
        </w:rPr>
        <w:t>罗湖</w:t>
      </w:r>
      <w:r>
        <w:rPr>
          <w:rFonts w:hint="eastAsia" w:ascii="仿宋_GB2312" w:hAnsi="仿宋" w:eastAsia="仿宋_GB2312" w:cs="Times New Roman"/>
          <w:color w:val="auto"/>
          <w:spacing w:val="0"/>
          <w:sz w:val="32"/>
          <w:szCs w:val="32"/>
        </w:rPr>
        <w:t>区人民政府</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sz w:val="32"/>
          <w:szCs w:val="32"/>
          <w:lang w:eastAsia="zh-CN"/>
        </w:rPr>
      </w:pPr>
      <w:r>
        <w:rPr>
          <w:rFonts w:hint="eastAsia" w:ascii="仿宋_GB2312" w:hAnsi="仿宋" w:eastAsia="仿宋_GB2312" w:cs="Times New Roman"/>
          <w:color w:val="auto"/>
          <w:spacing w:val="0"/>
          <w:sz w:val="32"/>
          <w:szCs w:val="32"/>
        </w:rPr>
        <w:t>房屋征收部门：深圳市</w:t>
      </w:r>
      <w:r>
        <w:rPr>
          <w:rFonts w:hint="eastAsia" w:ascii="仿宋_GB2312" w:hAnsi="仿宋" w:eastAsia="仿宋_GB2312" w:cs="Times New Roman"/>
          <w:color w:val="auto"/>
          <w:spacing w:val="0"/>
          <w:sz w:val="32"/>
          <w:szCs w:val="32"/>
          <w:lang w:eastAsia="zh-CN"/>
        </w:rPr>
        <w:t>罗湖</w:t>
      </w:r>
      <w:r>
        <w:rPr>
          <w:rFonts w:hint="eastAsia" w:ascii="仿宋_GB2312" w:hAnsi="仿宋" w:eastAsia="仿宋_GB2312" w:cs="Times New Roman"/>
          <w:color w:val="auto"/>
          <w:spacing w:val="0"/>
          <w:sz w:val="32"/>
          <w:szCs w:val="32"/>
        </w:rPr>
        <w:t>区</w:t>
      </w:r>
      <w:r>
        <w:rPr>
          <w:rFonts w:hint="eastAsia" w:ascii="仿宋_GB2312" w:hAnsi="仿宋" w:eastAsia="仿宋_GB2312" w:cs="Times New Roman"/>
          <w:color w:val="auto"/>
          <w:spacing w:val="0"/>
          <w:sz w:val="32"/>
          <w:szCs w:val="32"/>
          <w:lang w:eastAsia="zh-CN"/>
        </w:rPr>
        <w:t>住房和建设局</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sz w:val="32"/>
          <w:szCs w:val="32"/>
        </w:rPr>
      </w:pPr>
      <w:r>
        <w:rPr>
          <w:rFonts w:hint="eastAsia" w:ascii="仿宋_GB2312" w:hAnsi="仿宋" w:eastAsia="仿宋_GB2312" w:cs="Times New Roman"/>
          <w:color w:val="auto"/>
          <w:spacing w:val="0"/>
          <w:sz w:val="32"/>
          <w:szCs w:val="32"/>
        </w:rPr>
        <w:t>房屋征收实施单位：深圳市</w:t>
      </w:r>
      <w:r>
        <w:rPr>
          <w:rFonts w:hint="eastAsia" w:ascii="仿宋_GB2312" w:hAnsi="仿宋" w:eastAsia="仿宋_GB2312" w:cs="Times New Roman"/>
          <w:color w:val="auto"/>
          <w:spacing w:val="0"/>
          <w:sz w:val="32"/>
          <w:szCs w:val="32"/>
          <w:lang w:eastAsia="zh-CN"/>
        </w:rPr>
        <w:t>罗湖区黄贝</w:t>
      </w:r>
      <w:r>
        <w:rPr>
          <w:rFonts w:hint="eastAsia" w:ascii="仿宋_GB2312" w:hAnsi="仿宋" w:eastAsia="仿宋_GB2312" w:cs="Times New Roman"/>
          <w:color w:val="auto"/>
          <w:spacing w:val="0"/>
          <w:sz w:val="32"/>
          <w:szCs w:val="32"/>
        </w:rPr>
        <w:t>街道办事处</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仿宋_GB2312" w:hAnsi="仿宋" w:eastAsia="仿宋_GB2312" w:cs="Times New Roman"/>
          <w:color w:val="auto"/>
          <w:spacing w:val="0"/>
          <w:sz w:val="32"/>
          <w:szCs w:val="32"/>
          <w:lang w:eastAsia="zh-CN"/>
        </w:rPr>
      </w:pPr>
      <w:r>
        <w:rPr>
          <w:rFonts w:hint="eastAsia" w:ascii="仿宋_GB2312" w:hAnsi="仿宋" w:eastAsia="仿宋_GB2312" w:cs="Times New Roman"/>
          <w:color w:val="auto"/>
          <w:spacing w:val="0"/>
          <w:sz w:val="32"/>
          <w:szCs w:val="32"/>
        </w:rPr>
        <w:t>被征收人：本项目范围内的房屋</w:t>
      </w:r>
      <w:r>
        <w:rPr>
          <w:rFonts w:hint="eastAsia" w:ascii="仿宋_GB2312" w:hAnsi="仿宋" w:eastAsia="仿宋_GB2312" w:cs="Times New Roman"/>
          <w:color w:val="auto"/>
          <w:spacing w:val="0"/>
          <w:sz w:val="32"/>
          <w:szCs w:val="32"/>
          <w:lang w:val="en-US" w:eastAsia="zh-CN"/>
        </w:rPr>
        <w:t>权利人</w:t>
      </w:r>
    </w:p>
    <w:bookmarkEnd w:id="0"/>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第</w:t>
      </w:r>
      <w:r>
        <w:rPr>
          <w:rFonts w:hint="eastAsia" w:ascii="黑体" w:hAnsi="黑体" w:eastAsia="黑体" w:cs="黑体"/>
          <w:b w:val="0"/>
          <w:bCs w:val="0"/>
          <w:color w:val="auto"/>
          <w:spacing w:val="0"/>
          <w:sz w:val="32"/>
          <w:szCs w:val="32"/>
          <w:lang w:val="en-US" w:eastAsia="zh-CN"/>
        </w:rPr>
        <w:t>二</w:t>
      </w:r>
      <w:r>
        <w:rPr>
          <w:rFonts w:hint="eastAsia" w:ascii="黑体" w:hAnsi="黑体" w:eastAsia="黑体" w:cs="黑体"/>
          <w:b w:val="0"/>
          <w:bCs w:val="0"/>
          <w:color w:val="auto"/>
          <w:spacing w:val="0"/>
          <w:sz w:val="32"/>
          <w:szCs w:val="32"/>
        </w:rPr>
        <w:t>条【房屋征收范围】</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sz w:val="32"/>
          <w:szCs w:val="32"/>
          <w:lang w:eastAsia="zh-CN"/>
        </w:rPr>
      </w:pPr>
      <w:r>
        <w:rPr>
          <w:rFonts w:hint="eastAsia" w:ascii="仿宋_GB2312" w:hAnsi="仿宋" w:eastAsia="仿宋_GB2312" w:cs="Times New Roman"/>
          <w:color w:val="auto"/>
          <w:spacing w:val="0"/>
          <w:sz w:val="32"/>
          <w:szCs w:val="32"/>
          <w:lang w:eastAsia="zh-CN"/>
        </w:rPr>
        <w:t>本项目</w:t>
      </w:r>
      <w:r>
        <w:rPr>
          <w:rFonts w:hint="eastAsia" w:ascii="仿宋_GB2312" w:hAnsi="仿宋" w:eastAsia="仿宋_GB2312" w:cs="Times New Roman"/>
          <w:color w:val="auto"/>
          <w:spacing w:val="0"/>
          <w:sz w:val="32"/>
          <w:szCs w:val="32"/>
        </w:rPr>
        <w:t>房屋征收范围东至</w:t>
      </w:r>
      <w:r>
        <w:rPr>
          <w:rFonts w:hint="eastAsia" w:ascii="仿宋_GB2312" w:hAnsi="仿宋" w:eastAsia="仿宋_GB2312" w:cs="Times New Roman"/>
          <w:color w:val="auto"/>
          <w:spacing w:val="0"/>
          <w:sz w:val="32"/>
          <w:szCs w:val="32"/>
          <w:lang w:eastAsia="zh-CN"/>
        </w:rPr>
        <w:t>新湖村住宅楼</w:t>
      </w:r>
      <w:r>
        <w:rPr>
          <w:rFonts w:hint="eastAsia" w:ascii="仿宋_GB2312" w:hAnsi="仿宋" w:eastAsia="仿宋_GB2312" w:cs="Times New Roman"/>
          <w:color w:val="auto"/>
          <w:spacing w:val="0"/>
          <w:sz w:val="32"/>
          <w:szCs w:val="32"/>
        </w:rPr>
        <w:t>，北至</w:t>
      </w:r>
      <w:r>
        <w:rPr>
          <w:rFonts w:hint="eastAsia" w:ascii="仿宋_GB2312" w:hAnsi="仿宋" w:eastAsia="仿宋_GB2312" w:cs="Times New Roman"/>
          <w:color w:val="auto"/>
          <w:spacing w:val="0"/>
          <w:sz w:val="32"/>
          <w:szCs w:val="32"/>
          <w:lang w:eastAsia="zh-CN"/>
        </w:rPr>
        <w:t>新湖村一街</w:t>
      </w:r>
      <w:r>
        <w:rPr>
          <w:rFonts w:hint="eastAsia" w:ascii="仿宋_GB2312" w:hAnsi="仿宋" w:eastAsia="仿宋_GB2312" w:cs="Times New Roman"/>
          <w:color w:val="auto"/>
          <w:spacing w:val="0"/>
          <w:sz w:val="32"/>
          <w:szCs w:val="32"/>
        </w:rPr>
        <w:t>，西至</w:t>
      </w:r>
      <w:r>
        <w:rPr>
          <w:rFonts w:hint="eastAsia" w:ascii="仿宋_GB2312" w:hAnsi="仿宋" w:eastAsia="仿宋_GB2312" w:cs="Times New Roman"/>
          <w:color w:val="auto"/>
          <w:spacing w:val="0"/>
          <w:sz w:val="32"/>
          <w:szCs w:val="32"/>
          <w:lang w:eastAsia="zh-CN"/>
        </w:rPr>
        <w:t>沿河北路</w:t>
      </w:r>
      <w:r>
        <w:rPr>
          <w:rFonts w:hint="eastAsia" w:ascii="仿宋_GB2312" w:hAnsi="仿宋" w:eastAsia="仿宋_GB2312" w:cs="Times New Roman"/>
          <w:color w:val="auto"/>
          <w:spacing w:val="0"/>
          <w:sz w:val="32"/>
          <w:szCs w:val="32"/>
        </w:rPr>
        <w:t>，南至</w:t>
      </w:r>
      <w:r>
        <w:rPr>
          <w:rFonts w:hint="eastAsia" w:ascii="仿宋_GB2312" w:hAnsi="仿宋" w:eastAsia="仿宋_GB2312" w:cs="Times New Roman"/>
          <w:color w:val="auto"/>
          <w:spacing w:val="0"/>
          <w:sz w:val="32"/>
          <w:szCs w:val="32"/>
          <w:lang w:eastAsia="zh-CN"/>
        </w:rPr>
        <w:t>深圳古玩城</w:t>
      </w:r>
      <w:r>
        <w:rPr>
          <w:rFonts w:hint="eastAsia" w:ascii="仿宋_GB2312" w:hAnsi="仿宋" w:eastAsia="仿宋_GB2312" w:cs="Times New Roman"/>
          <w:color w:val="auto"/>
          <w:spacing w:val="0"/>
          <w:sz w:val="32"/>
          <w:szCs w:val="32"/>
        </w:rPr>
        <w:t>（详见下图）</w:t>
      </w:r>
      <w:r>
        <w:rPr>
          <w:rFonts w:hint="eastAsia" w:ascii="仿宋_GB2312" w:hAnsi="仿宋" w:eastAsia="仿宋_GB2312" w:cs="Times New Roman"/>
          <w:color w:val="auto"/>
          <w:spacing w:val="0"/>
          <w:sz w:val="32"/>
          <w:szCs w:val="32"/>
          <w:lang w:eastAsia="zh-CN"/>
        </w:rPr>
        <w:t>。</w:t>
      </w:r>
    </w:p>
    <w:p>
      <w:pPr>
        <w:pStyle w:val="2"/>
        <w:rPr>
          <w:rFonts w:hint="eastAsia"/>
          <w:lang w:eastAsia="zh-CN"/>
        </w:rPr>
      </w:pPr>
    </w:p>
    <w:p>
      <w:pPr>
        <w:pStyle w:val="2"/>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color w:val="auto"/>
          <w:spacing w:val="0"/>
          <w:sz w:val="21"/>
        </w:rPr>
      </w:pPr>
      <w:r>
        <w:rPr>
          <w:rFonts w:hint="default"/>
          <w:color w:val="auto"/>
          <w:spacing w:val="0"/>
        </w:rPr>
        <w:drawing>
          <wp:inline distT="0" distB="0" distL="114300" distR="114300">
            <wp:extent cx="5480685" cy="3743960"/>
            <wp:effectExtent l="9525" t="9525" r="1143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0685" cy="374396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2"/>
        <w:keepNext w:val="0"/>
        <w:keepLines w:val="0"/>
        <w:pageBreakBefore w:val="0"/>
        <w:widowControl w:val="0"/>
        <w:kinsoku/>
        <w:wordWrap/>
        <w:overflowPunct w:val="0"/>
        <w:topLinePunct w:val="0"/>
        <w:autoSpaceDE/>
        <w:autoSpaceDN/>
        <w:bidi w:val="0"/>
        <w:adjustRightInd/>
        <w:snapToGrid/>
        <w:spacing w:before="0" w:after="0" w:line="560" w:lineRule="exact"/>
        <w:ind w:left="0" w:leftChars="0" w:firstLine="0" w:firstLineChars="0"/>
        <w:jc w:val="center"/>
        <w:textAlignment w:val="auto"/>
        <w:outlineLvl w:val="9"/>
        <w:rPr>
          <w:rFonts w:hint="eastAsia" w:ascii="仿宋_GB2312" w:hAnsi="仿宋_GB2312" w:eastAsia="仿宋_GB2312" w:cs="仿宋_GB2312"/>
          <w:b w:val="0"/>
          <w:bCs w:val="0"/>
          <w:color w:val="auto"/>
          <w:spacing w:val="0"/>
          <w:kern w:val="21"/>
          <w:sz w:val="28"/>
          <w:szCs w:val="28"/>
          <w:lang w:eastAsia="zh-CN"/>
        </w:rPr>
      </w:pPr>
      <w:r>
        <w:rPr>
          <w:rFonts w:hint="eastAsia" w:ascii="仿宋_GB2312" w:hAnsi="仿宋_GB2312" w:eastAsia="仿宋_GB2312" w:cs="仿宋_GB2312"/>
          <w:b w:val="0"/>
          <w:bCs w:val="0"/>
          <w:color w:val="auto"/>
          <w:spacing w:val="0"/>
          <w:kern w:val="21"/>
          <w:sz w:val="28"/>
          <w:szCs w:val="28"/>
          <w:lang w:eastAsia="zh-CN"/>
        </w:rPr>
        <w:t>本项目房屋征收范围图</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eastAsia="zh-CN"/>
        </w:rPr>
      </w:pP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eastAsia="zh-CN"/>
        </w:rPr>
      </w:pPr>
      <w:r>
        <w:rPr>
          <w:rFonts w:hint="eastAsia" w:ascii="仿宋_GB2312" w:hAnsi="仿宋" w:eastAsia="仿宋_GB2312" w:cs="Times New Roman"/>
          <w:color w:val="auto"/>
          <w:spacing w:val="0"/>
          <w:kern w:val="21"/>
          <w:sz w:val="32"/>
          <w:szCs w:val="32"/>
          <w:lang w:eastAsia="zh-CN"/>
        </w:rPr>
        <w:t>本项目房屋</w:t>
      </w:r>
      <w:r>
        <w:rPr>
          <w:rFonts w:hint="eastAsia" w:ascii="仿宋_GB2312" w:hAnsi="仿宋" w:eastAsia="仿宋_GB2312" w:cs="Times New Roman"/>
          <w:color w:val="auto"/>
          <w:spacing w:val="0"/>
          <w:kern w:val="21"/>
          <w:sz w:val="32"/>
          <w:szCs w:val="32"/>
        </w:rPr>
        <w:t>征收范围的</w:t>
      </w:r>
      <w:r>
        <w:rPr>
          <w:rFonts w:hint="eastAsia" w:ascii="仿宋_GB2312" w:hAnsi="仿宋" w:eastAsia="仿宋_GB2312" w:cs="Times New Roman"/>
          <w:color w:val="auto"/>
          <w:spacing w:val="0"/>
          <w:kern w:val="21"/>
          <w:sz w:val="32"/>
          <w:szCs w:val="32"/>
          <w:lang w:eastAsia="zh-CN"/>
        </w:rPr>
        <w:t>总用地</w:t>
      </w:r>
      <w:r>
        <w:rPr>
          <w:rFonts w:hint="eastAsia" w:ascii="仿宋_GB2312" w:hAnsi="仿宋" w:eastAsia="仿宋_GB2312" w:cs="Times New Roman"/>
          <w:color w:val="auto"/>
          <w:spacing w:val="0"/>
          <w:kern w:val="21"/>
          <w:sz w:val="32"/>
          <w:szCs w:val="32"/>
        </w:rPr>
        <w:t>面积</w:t>
      </w:r>
      <w:r>
        <w:rPr>
          <w:rFonts w:hint="eastAsia" w:ascii="仿宋_GB2312" w:hAnsi="仿宋" w:eastAsia="仿宋_GB2312" w:cs="Times New Roman"/>
          <w:color w:val="auto"/>
          <w:spacing w:val="0"/>
          <w:kern w:val="21"/>
          <w:sz w:val="32"/>
          <w:szCs w:val="32"/>
          <w:lang w:eastAsia="zh-CN"/>
        </w:rPr>
        <w:t>为</w:t>
      </w:r>
      <w:r>
        <w:rPr>
          <w:rFonts w:hint="eastAsia" w:ascii="仿宋_GB2312" w:hAnsi="仿宋" w:eastAsia="仿宋_GB2312" w:cs="Times New Roman"/>
          <w:color w:val="auto"/>
          <w:spacing w:val="0"/>
          <w:kern w:val="21"/>
          <w:sz w:val="32"/>
          <w:szCs w:val="32"/>
          <w:lang w:val="en-US" w:eastAsia="zh-CN"/>
        </w:rPr>
        <w:t>11210.08平方米、</w:t>
      </w:r>
      <w:r>
        <w:rPr>
          <w:rFonts w:hint="eastAsia" w:ascii="仿宋_GB2312" w:hAnsi="仿宋" w:eastAsia="仿宋_GB2312" w:cs="Times New Roman"/>
          <w:color w:val="auto"/>
          <w:spacing w:val="0"/>
          <w:kern w:val="21"/>
          <w:sz w:val="32"/>
          <w:szCs w:val="32"/>
        </w:rPr>
        <w:t>征收房屋建筑面积</w:t>
      </w:r>
      <w:r>
        <w:rPr>
          <w:rFonts w:hint="eastAsia" w:ascii="仿宋_GB2312" w:hAnsi="仿宋" w:eastAsia="仿宋_GB2312" w:cs="Times New Roman"/>
          <w:color w:val="auto"/>
          <w:spacing w:val="0"/>
          <w:kern w:val="21"/>
          <w:sz w:val="32"/>
          <w:szCs w:val="32"/>
          <w:lang w:eastAsia="zh-CN"/>
        </w:rPr>
        <w:t>约</w:t>
      </w:r>
      <w:r>
        <w:rPr>
          <w:rFonts w:hint="eastAsia" w:ascii="仿宋_GB2312" w:hAnsi="仿宋" w:eastAsia="仿宋_GB2312" w:cs="Times New Roman"/>
          <w:color w:val="auto"/>
          <w:spacing w:val="0"/>
          <w:kern w:val="21"/>
          <w:sz w:val="32"/>
          <w:szCs w:val="32"/>
          <w:lang w:val="en-US" w:eastAsia="zh-CN"/>
        </w:rPr>
        <w:t>12040.5平方米。其中H123-0020宗地</w:t>
      </w:r>
      <w:r>
        <w:rPr>
          <w:rFonts w:hint="eastAsia" w:ascii="仿宋_GB2312" w:hAnsi="仿宋" w:eastAsia="仿宋_GB2312" w:cs="Times New Roman"/>
          <w:color w:val="auto"/>
          <w:spacing w:val="0"/>
          <w:kern w:val="21"/>
          <w:sz w:val="32"/>
          <w:szCs w:val="32"/>
        </w:rPr>
        <w:t>土地面积</w:t>
      </w:r>
      <w:r>
        <w:rPr>
          <w:rFonts w:hint="eastAsia" w:ascii="仿宋_GB2312" w:hAnsi="仿宋" w:eastAsia="仿宋_GB2312" w:cs="Times New Roman"/>
          <w:color w:val="auto"/>
          <w:spacing w:val="0"/>
          <w:kern w:val="21"/>
          <w:sz w:val="32"/>
          <w:szCs w:val="32"/>
          <w:lang w:val="en-US" w:eastAsia="zh-CN"/>
        </w:rPr>
        <w:t>7495.98</w:t>
      </w:r>
      <w:r>
        <w:rPr>
          <w:rFonts w:hint="eastAsia" w:ascii="仿宋_GB2312" w:hAnsi="仿宋" w:eastAsia="仿宋_GB2312" w:cs="Times New Roman"/>
          <w:color w:val="auto"/>
          <w:spacing w:val="0"/>
          <w:kern w:val="21"/>
          <w:sz w:val="32"/>
          <w:szCs w:val="32"/>
          <w:lang w:eastAsia="zh-CN"/>
        </w:rPr>
        <w:t>平方米，现状为巴士集团公交场站用地，拟</w:t>
      </w:r>
      <w:r>
        <w:rPr>
          <w:rFonts w:hint="eastAsia" w:ascii="仿宋_GB2312" w:hAnsi="仿宋" w:eastAsia="仿宋_GB2312" w:cs="Times New Roman"/>
          <w:color w:val="auto"/>
          <w:spacing w:val="0"/>
          <w:kern w:val="21"/>
          <w:sz w:val="32"/>
          <w:szCs w:val="32"/>
        </w:rPr>
        <w:t>征收</w:t>
      </w:r>
      <w:r>
        <w:rPr>
          <w:rFonts w:hint="eastAsia" w:ascii="仿宋_GB2312" w:hAnsi="仿宋" w:eastAsia="仿宋_GB2312" w:cs="Times New Roman"/>
          <w:color w:val="auto"/>
          <w:spacing w:val="0"/>
          <w:kern w:val="21"/>
          <w:sz w:val="32"/>
          <w:szCs w:val="32"/>
          <w:lang w:val="en-US" w:eastAsia="zh-CN"/>
        </w:rPr>
        <w:t>3栋建筑物，</w:t>
      </w:r>
      <w:r>
        <w:rPr>
          <w:rFonts w:hint="eastAsia" w:ascii="仿宋_GB2312" w:hAnsi="仿宋" w:eastAsia="仿宋_GB2312" w:cs="Times New Roman"/>
          <w:color w:val="auto"/>
          <w:spacing w:val="0"/>
          <w:kern w:val="21"/>
          <w:sz w:val="32"/>
          <w:szCs w:val="32"/>
        </w:rPr>
        <w:t>建筑面积</w:t>
      </w:r>
      <w:r>
        <w:rPr>
          <w:rFonts w:hint="eastAsia" w:ascii="仿宋_GB2312" w:hAnsi="仿宋" w:eastAsia="仿宋_GB2312" w:cs="Times New Roman"/>
          <w:color w:val="auto"/>
          <w:spacing w:val="0"/>
          <w:kern w:val="21"/>
          <w:sz w:val="32"/>
          <w:szCs w:val="32"/>
          <w:lang w:eastAsia="zh-CN"/>
        </w:rPr>
        <w:t>约</w:t>
      </w:r>
      <w:r>
        <w:rPr>
          <w:rFonts w:hint="eastAsia" w:ascii="仿宋_GB2312" w:hAnsi="仿宋" w:eastAsia="仿宋_GB2312" w:cs="Times New Roman"/>
          <w:color w:val="auto"/>
          <w:spacing w:val="0"/>
          <w:kern w:val="21"/>
          <w:sz w:val="32"/>
          <w:szCs w:val="32"/>
          <w:lang w:val="en-US" w:eastAsia="zh-CN"/>
        </w:rPr>
        <w:t>2106.47平方米；H123-0021宗地</w:t>
      </w:r>
      <w:r>
        <w:rPr>
          <w:rFonts w:hint="eastAsia" w:ascii="仿宋_GB2312" w:hAnsi="仿宋" w:eastAsia="仿宋_GB2312" w:cs="Times New Roman"/>
          <w:color w:val="auto"/>
          <w:spacing w:val="0"/>
          <w:kern w:val="21"/>
          <w:sz w:val="32"/>
          <w:szCs w:val="32"/>
        </w:rPr>
        <w:t>土地面积</w:t>
      </w:r>
      <w:r>
        <w:rPr>
          <w:rFonts w:hint="eastAsia" w:ascii="仿宋_GB2312" w:hAnsi="仿宋" w:eastAsia="仿宋_GB2312" w:cs="Times New Roman"/>
          <w:color w:val="auto"/>
          <w:spacing w:val="0"/>
          <w:kern w:val="21"/>
          <w:sz w:val="32"/>
          <w:szCs w:val="32"/>
          <w:lang w:val="en-US" w:eastAsia="zh-CN"/>
        </w:rPr>
        <w:t>3714.1</w:t>
      </w:r>
      <w:r>
        <w:rPr>
          <w:rFonts w:hint="eastAsia" w:ascii="仿宋_GB2312" w:hAnsi="仿宋" w:eastAsia="仿宋_GB2312" w:cs="Times New Roman"/>
          <w:color w:val="auto"/>
          <w:spacing w:val="0"/>
          <w:kern w:val="21"/>
          <w:sz w:val="32"/>
          <w:szCs w:val="32"/>
          <w:lang w:eastAsia="zh-CN"/>
        </w:rPr>
        <w:t>平方米</w:t>
      </w:r>
      <w:r>
        <w:rPr>
          <w:rFonts w:hint="eastAsia" w:ascii="仿宋_GB2312" w:hAnsi="仿宋" w:eastAsia="仿宋_GB2312" w:cs="Times New Roman"/>
          <w:color w:val="auto"/>
          <w:spacing w:val="0"/>
          <w:kern w:val="21"/>
          <w:sz w:val="32"/>
          <w:szCs w:val="32"/>
        </w:rPr>
        <w:t>，</w:t>
      </w:r>
      <w:r>
        <w:rPr>
          <w:rFonts w:hint="eastAsia" w:ascii="仿宋_GB2312" w:hAnsi="仿宋" w:eastAsia="仿宋_GB2312" w:cs="Times New Roman"/>
          <w:color w:val="auto"/>
          <w:spacing w:val="0"/>
          <w:kern w:val="21"/>
          <w:sz w:val="32"/>
          <w:szCs w:val="32"/>
          <w:lang w:eastAsia="zh-CN"/>
        </w:rPr>
        <w:t>土地用途为住宅用地，拟征收</w:t>
      </w:r>
      <w:r>
        <w:rPr>
          <w:rFonts w:hint="eastAsia" w:ascii="仿宋_GB2312" w:hAnsi="仿宋" w:eastAsia="仿宋_GB2312" w:cs="Times New Roman"/>
          <w:color w:val="auto"/>
          <w:spacing w:val="0"/>
          <w:kern w:val="21"/>
          <w:sz w:val="32"/>
          <w:szCs w:val="32"/>
          <w:lang w:val="en-US" w:eastAsia="zh-CN"/>
        </w:rPr>
        <w:t>2栋建筑物，建筑面积</w:t>
      </w:r>
      <w:r>
        <w:rPr>
          <w:rFonts w:hint="eastAsia" w:ascii="仿宋_GB2312" w:hAnsi="仿宋" w:eastAsia="仿宋_GB2312" w:cs="Times New Roman"/>
          <w:color w:val="auto"/>
          <w:spacing w:val="0"/>
          <w:kern w:val="21"/>
          <w:sz w:val="32"/>
          <w:szCs w:val="32"/>
          <w:lang w:eastAsia="zh-CN"/>
        </w:rPr>
        <w:t>约</w:t>
      </w:r>
      <w:r>
        <w:rPr>
          <w:rFonts w:hint="eastAsia" w:ascii="仿宋_GB2312" w:hAnsi="仿宋" w:eastAsia="仿宋_GB2312" w:cs="Times New Roman"/>
          <w:color w:val="auto"/>
          <w:spacing w:val="0"/>
          <w:kern w:val="21"/>
          <w:sz w:val="32"/>
          <w:szCs w:val="32"/>
          <w:lang w:val="en-US" w:eastAsia="zh-CN"/>
        </w:rPr>
        <w:t>9934.03平方米，2栋建筑物共涉及114套（深圳市巴士集团股份有限公司</w:t>
      </w:r>
      <w:r>
        <w:rPr>
          <w:rFonts w:hint="eastAsia" w:ascii="仿宋_GB2312" w:hAnsi="仿宋" w:eastAsia="仿宋_GB2312" w:cs="Times New Roman"/>
          <w:color w:val="auto"/>
          <w:spacing w:val="0"/>
          <w:kern w:val="21"/>
          <w:sz w:val="32"/>
          <w:szCs w:val="32"/>
          <w:lang w:eastAsia="zh-CN"/>
        </w:rPr>
        <w:t>共</w:t>
      </w:r>
      <w:r>
        <w:rPr>
          <w:rFonts w:hint="eastAsia" w:ascii="仿宋_GB2312" w:hAnsi="仿宋" w:eastAsia="仿宋_GB2312" w:cs="Times New Roman"/>
          <w:color w:val="auto"/>
          <w:spacing w:val="0"/>
          <w:kern w:val="21"/>
          <w:sz w:val="32"/>
          <w:szCs w:val="32"/>
          <w:lang w:val="en-US" w:eastAsia="zh-CN"/>
        </w:rPr>
        <w:t>2</w:t>
      </w:r>
      <w:r>
        <w:rPr>
          <w:rFonts w:hint="eastAsia" w:ascii="仿宋_GB2312" w:hAnsi="仿宋" w:eastAsia="仿宋_GB2312" w:cs="Times New Roman"/>
          <w:color w:val="auto"/>
          <w:spacing w:val="0"/>
          <w:kern w:val="21"/>
          <w:sz w:val="32"/>
          <w:szCs w:val="32"/>
        </w:rPr>
        <w:t>套、</w:t>
      </w:r>
      <w:r>
        <w:rPr>
          <w:rFonts w:hint="eastAsia" w:ascii="仿宋_GB2312" w:hAnsi="仿宋" w:eastAsia="仿宋_GB2312" w:cs="Times New Roman"/>
          <w:color w:val="auto"/>
          <w:spacing w:val="0"/>
          <w:kern w:val="21"/>
          <w:sz w:val="32"/>
          <w:szCs w:val="32"/>
          <w:lang w:eastAsia="zh-CN"/>
        </w:rPr>
        <w:t>个人业主</w:t>
      </w:r>
      <w:r>
        <w:rPr>
          <w:rFonts w:hint="eastAsia" w:ascii="仿宋_GB2312" w:hAnsi="仿宋" w:eastAsia="仿宋_GB2312" w:cs="Times New Roman"/>
          <w:color w:val="auto"/>
          <w:spacing w:val="0"/>
          <w:kern w:val="21"/>
          <w:sz w:val="32"/>
          <w:szCs w:val="32"/>
          <w:lang w:val="en-US" w:eastAsia="zh-CN"/>
        </w:rPr>
        <w:t>共112</w:t>
      </w:r>
      <w:r>
        <w:rPr>
          <w:rFonts w:hint="eastAsia" w:ascii="仿宋_GB2312" w:hAnsi="仿宋" w:eastAsia="仿宋_GB2312" w:cs="Times New Roman"/>
          <w:color w:val="auto"/>
          <w:spacing w:val="0"/>
          <w:kern w:val="21"/>
          <w:sz w:val="32"/>
          <w:szCs w:val="32"/>
        </w:rPr>
        <w:t>套</w:t>
      </w:r>
      <w:r>
        <w:rPr>
          <w:rFonts w:hint="eastAsia" w:ascii="仿宋_GB2312" w:hAnsi="仿宋" w:eastAsia="仿宋_GB2312" w:cs="Times New Roman"/>
          <w:color w:val="auto"/>
          <w:spacing w:val="0"/>
          <w:kern w:val="21"/>
          <w:sz w:val="32"/>
          <w:szCs w:val="32"/>
          <w:lang w:val="en-US" w:eastAsia="zh-CN"/>
        </w:rPr>
        <w:t>）已办理相关产权证的住宅房屋</w:t>
      </w:r>
      <w:r>
        <w:rPr>
          <w:rFonts w:hint="eastAsia" w:ascii="仿宋_GB2312" w:hAnsi="仿宋" w:eastAsia="仿宋_GB2312" w:cs="Times New Roman"/>
          <w:color w:val="auto"/>
          <w:spacing w:val="0"/>
          <w:kern w:val="21"/>
          <w:sz w:val="32"/>
          <w:szCs w:val="32"/>
        </w:rPr>
        <w:t>。</w:t>
      </w:r>
    </w:p>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60"/>
        <w:gridCol w:w="4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1" w:hRule="atLeast"/>
          <w:jc w:val="center"/>
        </w:trPr>
        <w:tc>
          <w:tcPr>
            <w:tcW w:w="4460" w:type="dxa"/>
            <w:noWrap w:val="0"/>
            <w:vAlign w:val="center"/>
          </w:tcPr>
          <w:p>
            <w:pPr>
              <w:pStyle w:val="2"/>
              <w:keepNext w:val="0"/>
              <w:keepLines w:val="0"/>
              <w:pageBreakBefore w:val="0"/>
              <w:widowControl w:val="0"/>
              <w:kinsoku/>
              <w:wordWrap/>
              <w:overflowPunct w:val="0"/>
              <w:topLinePunct w:val="0"/>
              <w:autoSpaceDE/>
              <w:autoSpaceDN/>
              <w:bidi w:val="0"/>
              <w:adjustRightInd w:val="0"/>
              <w:snapToGrid w:val="0"/>
              <w:spacing w:after="0" w:line="240" w:lineRule="auto"/>
              <w:ind w:left="0" w:right="0" w:rightChars="0" w:firstLine="0" w:firstLineChars="0"/>
              <w:jc w:val="center"/>
              <w:textAlignment w:val="auto"/>
              <w:rPr>
                <w:rFonts w:hint="eastAsia"/>
                <w:color w:val="auto"/>
                <w:spacing w:val="0"/>
                <w:sz w:val="32"/>
                <w:szCs w:val="32"/>
                <w:vertAlign w:val="baseline"/>
                <w:lang w:eastAsia="zh-CN"/>
              </w:rPr>
            </w:pPr>
            <w:r>
              <w:rPr>
                <w:rFonts w:hint="default" w:ascii="宋体" w:hAnsi="宋体"/>
                <w:color w:val="auto"/>
                <w:spacing w:val="0"/>
                <w:sz w:val="18"/>
                <w:szCs w:val="18"/>
              </w:rPr>
              <w:drawing>
                <wp:inline distT="0" distB="0" distL="114300" distR="114300">
                  <wp:extent cx="2491105" cy="1868805"/>
                  <wp:effectExtent l="0" t="0" r="8255" b="5715"/>
                  <wp:docPr id="2" name="图片 2" descr="IMG_20230512_08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0512_085246"/>
                          <pic:cNvPicPr>
                            <a:picLocks noChangeAspect="1"/>
                          </pic:cNvPicPr>
                        </pic:nvPicPr>
                        <pic:blipFill>
                          <a:blip r:embed="rId8"/>
                          <a:stretch>
                            <a:fillRect/>
                          </a:stretch>
                        </pic:blipFill>
                        <pic:spPr>
                          <a:xfrm>
                            <a:off x="0" y="0"/>
                            <a:ext cx="2491105" cy="1868805"/>
                          </a:xfrm>
                          <a:prstGeom prst="rect">
                            <a:avLst/>
                          </a:prstGeom>
                          <a:noFill/>
                          <a:ln>
                            <a:noFill/>
                          </a:ln>
                        </pic:spPr>
                      </pic:pic>
                    </a:graphicData>
                  </a:graphic>
                </wp:inline>
              </w:drawing>
            </w:r>
          </w:p>
        </w:tc>
        <w:tc>
          <w:tcPr>
            <w:tcW w:w="4179" w:type="dxa"/>
            <w:noWrap w:val="0"/>
            <w:vAlign w:val="center"/>
          </w:tcPr>
          <w:p>
            <w:pPr>
              <w:pStyle w:val="2"/>
              <w:keepNext w:val="0"/>
              <w:keepLines w:val="0"/>
              <w:pageBreakBefore w:val="0"/>
              <w:widowControl w:val="0"/>
              <w:kinsoku/>
              <w:wordWrap/>
              <w:overflowPunct w:val="0"/>
              <w:topLinePunct w:val="0"/>
              <w:autoSpaceDE/>
              <w:autoSpaceDN/>
              <w:bidi w:val="0"/>
              <w:adjustRightInd w:val="0"/>
              <w:snapToGrid w:val="0"/>
              <w:spacing w:after="0" w:line="240" w:lineRule="auto"/>
              <w:ind w:left="0" w:right="0" w:rightChars="0" w:firstLine="0" w:firstLineChars="0"/>
              <w:jc w:val="both"/>
              <w:textAlignment w:val="auto"/>
              <w:rPr>
                <w:rFonts w:hint="eastAsia"/>
                <w:color w:val="auto"/>
                <w:spacing w:val="0"/>
                <w:sz w:val="32"/>
                <w:szCs w:val="32"/>
                <w:vertAlign w:val="baseline"/>
                <w:lang w:eastAsia="zh-CN"/>
              </w:rPr>
            </w:pPr>
            <w:r>
              <w:rPr>
                <w:rFonts w:hint="eastAsia"/>
                <w:color w:val="auto"/>
                <w:spacing w:val="0"/>
                <w:sz w:val="32"/>
                <w:szCs w:val="32"/>
                <w:vertAlign w:val="baseline"/>
                <w:lang w:eastAsia="zh-CN"/>
              </w:rPr>
              <w:drawing>
                <wp:inline distT="0" distB="0" distL="114300" distR="114300">
                  <wp:extent cx="2516505" cy="1845310"/>
                  <wp:effectExtent l="0" t="0" r="13335" b="13970"/>
                  <wp:docPr id="3" name="图片 3" descr="94655ba7ea71b28d962c5eb6937bb09"/>
                  <wp:cNvGraphicFramePr/>
                  <a:graphic xmlns:a="http://schemas.openxmlformats.org/drawingml/2006/main">
                    <a:graphicData uri="http://schemas.openxmlformats.org/drawingml/2006/picture">
                      <pic:pic xmlns:pic="http://schemas.openxmlformats.org/drawingml/2006/picture">
                        <pic:nvPicPr>
                          <pic:cNvPr id="3" name="图片 3" descr="94655ba7ea71b28d962c5eb6937bb09"/>
                          <pic:cNvPicPr/>
                        </pic:nvPicPr>
                        <pic:blipFill>
                          <a:blip r:embed="rId9"/>
                          <a:stretch>
                            <a:fillRect/>
                          </a:stretch>
                        </pic:blipFill>
                        <pic:spPr>
                          <a:xfrm>
                            <a:off x="0" y="0"/>
                            <a:ext cx="2516505" cy="18453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jc w:val="center"/>
        </w:trPr>
        <w:tc>
          <w:tcPr>
            <w:tcW w:w="8639" w:type="dxa"/>
            <w:gridSpan w:val="2"/>
            <w:noWrap w:val="0"/>
            <w:vAlign w:val="center"/>
          </w:tcPr>
          <w:p>
            <w:pPr>
              <w:pStyle w:val="2"/>
              <w:keepNext w:val="0"/>
              <w:keepLines w:val="0"/>
              <w:pageBreakBefore w:val="0"/>
              <w:widowControl w:val="0"/>
              <w:kinsoku/>
              <w:wordWrap/>
              <w:overflowPunct w:val="0"/>
              <w:topLinePunct w:val="0"/>
              <w:autoSpaceDE/>
              <w:autoSpaceDN/>
              <w:bidi w:val="0"/>
              <w:adjustRightInd w:val="0"/>
              <w:snapToGrid w:val="0"/>
              <w:spacing w:line="240" w:lineRule="auto"/>
              <w:ind w:right="0" w:rightChars="0"/>
              <w:jc w:val="center"/>
              <w:textAlignment w:val="auto"/>
              <w:rPr>
                <w:rFonts w:hint="eastAsia"/>
                <w:color w:val="auto"/>
                <w:spacing w:val="0"/>
                <w:sz w:val="28"/>
                <w:szCs w:val="28"/>
                <w:vertAlign w:val="baseline"/>
                <w:lang w:eastAsia="zh-CN"/>
              </w:rPr>
            </w:pPr>
            <w:r>
              <w:rPr>
                <w:rFonts w:hint="eastAsia" w:ascii="仿宋_GB2312" w:hAnsi="仿宋_GB2312" w:eastAsia="仿宋_GB2312" w:cs="仿宋_GB2312"/>
                <w:color w:val="auto"/>
                <w:spacing w:val="0"/>
                <w:sz w:val="28"/>
                <w:szCs w:val="28"/>
                <w:vertAlign w:val="baseline"/>
                <w:lang w:val="en-US" w:eastAsia="zh-CN"/>
              </w:rPr>
              <w:t>H123-0020宗地</w:t>
            </w:r>
            <w:r>
              <w:rPr>
                <w:rFonts w:hint="eastAsia" w:ascii="仿宋_GB2312" w:hAnsi="仿宋_GB2312" w:eastAsia="仿宋_GB2312" w:cs="仿宋_GB2312"/>
                <w:color w:val="auto"/>
                <w:spacing w:val="0"/>
                <w:sz w:val="28"/>
                <w:szCs w:val="28"/>
                <w:vertAlign w:val="baseline"/>
                <w:lang w:eastAsia="zh-CN"/>
              </w:rPr>
              <w:t>现状相关照片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jc w:val="center"/>
        </w:trPr>
        <w:tc>
          <w:tcPr>
            <w:tcW w:w="4460" w:type="dxa"/>
            <w:noWrap w:val="0"/>
            <w:vAlign w:val="center"/>
          </w:tcPr>
          <w:p>
            <w:pPr>
              <w:pStyle w:val="2"/>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pacing w:val="0"/>
                <w:sz w:val="24"/>
                <w:szCs w:val="24"/>
                <w:vertAlign w:val="baseline"/>
                <w:lang w:eastAsia="zh-CN"/>
              </w:rPr>
            </w:pPr>
            <w:r>
              <w:rPr>
                <w:rFonts w:hint="eastAsia"/>
                <w:color w:val="auto"/>
                <w:spacing w:val="0"/>
                <w:sz w:val="32"/>
                <w:szCs w:val="32"/>
                <w:vertAlign w:val="baseline"/>
                <w:lang w:eastAsia="zh-CN"/>
              </w:rPr>
              <w:drawing>
                <wp:inline distT="0" distB="0" distL="114300" distR="114300">
                  <wp:extent cx="2265680" cy="2017395"/>
                  <wp:effectExtent l="0" t="0" r="5080" b="9525"/>
                  <wp:docPr id="4" name="图片 4" descr="1697771678778"/>
                  <wp:cNvGraphicFramePr/>
                  <a:graphic xmlns:a="http://schemas.openxmlformats.org/drawingml/2006/main">
                    <a:graphicData uri="http://schemas.openxmlformats.org/drawingml/2006/picture">
                      <pic:pic xmlns:pic="http://schemas.openxmlformats.org/drawingml/2006/picture">
                        <pic:nvPicPr>
                          <pic:cNvPr id="4" name="图片 4" descr="1697771678778"/>
                          <pic:cNvPicPr/>
                        </pic:nvPicPr>
                        <pic:blipFill>
                          <a:blip r:embed="rId10"/>
                          <a:stretch>
                            <a:fillRect/>
                          </a:stretch>
                        </pic:blipFill>
                        <pic:spPr>
                          <a:xfrm>
                            <a:off x="0" y="0"/>
                            <a:ext cx="2265680" cy="2017395"/>
                          </a:xfrm>
                          <a:prstGeom prst="rect">
                            <a:avLst/>
                          </a:prstGeom>
                          <a:noFill/>
                          <a:ln>
                            <a:noFill/>
                          </a:ln>
                        </pic:spPr>
                      </pic:pic>
                    </a:graphicData>
                  </a:graphic>
                </wp:inline>
              </w:drawing>
            </w:r>
          </w:p>
        </w:tc>
        <w:tc>
          <w:tcPr>
            <w:tcW w:w="4179" w:type="dxa"/>
            <w:noWrap w:val="0"/>
            <w:vAlign w:val="center"/>
          </w:tcPr>
          <w:p>
            <w:pPr>
              <w:pStyle w:val="2"/>
              <w:keepNext w:val="0"/>
              <w:keepLines w:val="0"/>
              <w:pageBreakBefore w:val="0"/>
              <w:widowControl w:val="0"/>
              <w:kinsoku/>
              <w:wordWrap/>
              <w:overflowPunct w:val="0"/>
              <w:topLinePunct w:val="0"/>
              <w:autoSpaceDE/>
              <w:autoSpaceDN/>
              <w:bidi w:val="0"/>
              <w:adjustRightInd w:val="0"/>
              <w:snapToGrid w:val="0"/>
              <w:spacing w:line="240" w:lineRule="auto"/>
              <w:ind w:right="0" w:rightChars="0" w:firstLine="0" w:firstLineChars="0"/>
              <w:jc w:val="center"/>
              <w:textAlignment w:val="auto"/>
              <w:rPr>
                <w:rFonts w:hint="eastAsia"/>
                <w:color w:val="auto"/>
                <w:spacing w:val="0"/>
                <w:sz w:val="24"/>
                <w:szCs w:val="24"/>
                <w:vertAlign w:val="baseline"/>
                <w:lang w:eastAsia="zh-CN"/>
              </w:rPr>
            </w:pPr>
            <w:r>
              <w:rPr>
                <w:rFonts w:hint="eastAsia"/>
                <w:color w:val="auto"/>
                <w:spacing w:val="0"/>
                <w:sz w:val="32"/>
                <w:szCs w:val="32"/>
                <w:vertAlign w:val="baseline"/>
                <w:lang w:eastAsia="zh-CN"/>
              </w:rPr>
              <w:drawing>
                <wp:inline distT="0" distB="0" distL="114300" distR="114300">
                  <wp:extent cx="1577975" cy="2106295"/>
                  <wp:effectExtent l="0" t="0" r="6985" b="12065"/>
                  <wp:docPr id="5" name="图片 5" descr="9090fd1bfd17ec291ded2f5f359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090fd1bfd17ec291ded2f5f359d700"/>
                          <pic:cNvPicPr>
                            <a:picLocks noChangeAspect="1"/>
                          </pic:cNvPicPr>
                        </pic:nvPicPr>
                        <pic:blipFill>
                          <a:blip r:embed="rId11"/>
                          <a:stretch>
                            <a:fillRect/>
                          </a:stretch>
                        </pic:blipFill>
                        <pic:spPr>
                          <a:xfrm>
                            <a:off x="0" y="0"/>
                            <a:ext cx="1577975" cy="21062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jc w:val="center"/>
        </w:trPr>
        <w:tc>
          <w:tcPr>
            <w:tcW w:w="8639" w:type="dxa"/>
            <w:gridSpan w:val="2"/>
            <w:noWrap w:val="0"/>
            <w:vAlign w:val="center"/>
          </w:tcPr>
          <w:p>
            <w:pPr>
              <w:pStyle w:val="2"/>
              <w:keepNext w:val="0"/>
              <w:keepLines w:val="0"/>
              <w:pageBreakBefore w:val="0"/>
              <w:widowControl w:val="0"/>
              <w:kinsoku/>
              <w:wordWrap/>
              <w:overflowPunct w:val="0"/>
              <w:topLinePunct w:val="0"/>
              <w:autoSpaceDE/>
              <w:autoSpaceDN/>
              <w:bidi w:val="0"/>
              <w:adjustRightInd w:val="0"/>
              <w:snapToGrid w:val="0"/>
              <w:spacing w:line="240" w:lineRule="auto"/>
              <w:ind w:right="0" w:rightChars="0"/>
              <w:jc w:val="center"/>
              <w:textAlignment w:val="auto"/>
              <w:rPr>
                <w:rFonts w:hint="eastAsia" w:ascii="宋体"/>
                <w:color w:val="auto"/>
                <w:spacing w:val="0"/>
                <w:kern w:val="2"/>
                <w:sz w:val="28"/>
                <w:szCs w:val="28"/>
                <w:vertAlign w:val="baseline"/>
                <w:lang w:val="en-US" w:eastAsia="zh-CN" w:bidi="ar-SA"/>
              </w:rPr>
            </w:pPr>
            <w:r>
              <w:rPr>
                <w:rFonts w:hint="eastAsia" w:ascii="仿宋_GB2312" w:hAnsi="仿宋_GB2312" w:eastAsia="仿宋_GB2312" w:cs="仿宋_GB2312"/>
                <w:color w:val="auto"/>
                <w:spacing w:val="0"/>
                <w:sz w:val="28"/>
                <w:szCs w:val="28"/>
                <w:vertAlign w:val="baseline"/>
                <w:lang w:val="en-US" w:eastAsia="zh-CN"/>
              </w:rPr>
              <w:t>H123-0021宗地</w:t>
            </w:r>
            <w:r>
              <w:rPr>
                <w:rFonts w:hint="eastAsia" w:ascii="仿宋_GB2312" w:hAnsi="仿宋_GB2312" w:eastAsia="仿宋_GB2312" w:cs="仿宋_GB2312"/>
                <w:color w:val="auto"/>
                <w:spacing w:val="0"/>
                <w:sz w:val="28"/>
                <w:szCs w:val="28"/>
                <w:vertAlign w:val="baseline"/>
                <w:lang w:eastAsia="zh-CN"/>
              </w:rPr>
              <w:t>现状相关照片</w:t>
            </w:r>
          </w:p>
        </w:tc>
      </w:tr>
    </w:tbl>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rPr>
      </w:pPr>
      <w:r>
        <w:rPr>
          <w:rFonts w:hint="eastAsia" w:ascii="黑体" w:hAnsi="黑体" w:eastAsia="黑体" w:cs="黑体"/>
          <w:b w:val="0"/>
          <w:bCs w:val="0"/>
          <w:color w:val="auto"/>
          <w:spacing w:val="0"/>
          <w:kern w:val="21"/>
          <w:sz w:val="32"/>
          <w:szCs w:val="32"/>
        </w:rPr>
        <w:t>第</w:t>
      </w:r>
      <w:r>
        <w:rPr>
          <w:rFonts w:hint="eastAsia" w:ascii="黑体" w:hAnsi="黑体" w:eastAsia="黑体" w:cs="黑体"/>
          <w:b w:val="0"/>
          <w:bCs w:val="0"/>
          <w:color w:val="auto"/>
          <w:spacing w:val="0"/>
          <w:kern w:val="21"/>
          <w:sz w:val="32"/>
          <w:szCs w:val="32"/>
          <w:lang w:val="en-US" w:eastAsia="zh-CN"/>
        </w:rPr>
        <w:t>三</w:t>
      </w:r>
      <w:r>
        <w:rPr>
          <w:rFonts w:hint="eastAsia" w:ascii="黑体" w:hAnsi="黑体" w:eastAsia="黑体" w:cs="黑体"/>
          <w:b w:val="0"/>
          <w:bCs w:val="0"/>
          <w:color w:val="auto"/>
          <w:spacing w:val="0"/>
          <w:kern w:val="21"/>
          <w:sz w:val="32"/>
          <w:szCs w:val="32"/>
        </w:rPr>
        <w:t>条</w:t>
      </w:r>
      <w:bookmarkStart w:id="1" w:name="_Toc18184"/>
      <w:bookmarkStart w:id="2" w:name="_Toc27824"/>
      <w:r>
        <w:rPr>
          <w:rFonts w:hint="eastAsia" w:ascii="黑体" w:hAnsi="黑体" w:eastAsia="黑体" w:cs="黑体"/>
          <w:b w:val="0"/>
          <w:bCs w:val="0"/>
          <w:color w:val="auto"/>
          <w:spacing w:val="0"/>
          <w:kern w:val="21"/>
          <w:sz w:val="32"/>
          <w:szCs w:val="32"/>
        </w:rPr>
        <w:t>【古树名木和历史建筑物核查情况</w:t>
      </w:r>
      <w:bookmarkEnd w:id="1"/>
      <w:bookmarkEnd w:id="2"/>
      <w:r>
        <w:rPr>
          <w:rFonts w:hint="eastAsia" w:ascii="黑体" w:hAnsi="黑体" w:eastAsia="黑体" w:cs="黑体"/>
          <w:b w:val="0"/>
          <w:bCs w:val="0"/>
          <w:color w:val="auto"/>
          <w:spacing w:val="0"/>
          <w:kern w:val="21"/>
          <w:sz w:val="32"/>
          <w:szCs w:val="32"/>
        </w:rPr>
        <w:t>】</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highlight w:val="none"/>
          <w:lang w:val="en-US" w:eastAsia="zh-CN"/>
        </w:rPr>
      </w:pPr>
      <w:r>
        <w:rPr>
          <w:rFonts w:hint="eastAsia" w:ascii="仿宋_GB2312" w:hAnsi="仿宋" w:eastAsia="仿宋_GB2312" w:cs="Times New Roman"/>
          <w:color w:val="auto"/>
          <w:spacing w:val="0"/>
          <w:kern w:val="21"/>
          <w:sz w:val="32"/>
          <w:szCs w:val="32"/>
          <w:highlight w:val="none"/>
          <w:lang w:val="en-US" w:eastAsia="zh-CN"/>
        </w:rPr>
        <w:t>本项目征收范围不涉及古树名木和历史建筑物。</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rPr>
      </w:pPr>
      <w:r>
        <w:rPr>
          <w:rFonts w:hint="eastAsia" w:ascii="黑体" w:hAnsi="黑体" w:eastAsia="黑体" w:cs="黑体"/>
          <w:b w:val="0"/>
          <w:bCs w:val="0"/>
          <w:color w:val="auto"/>
          <w:spacing w:val="0"/>
          <w:kern w:val="21"/>
          <w:sz w:val="32"/>
          <w:szCs w:val="32"/>
        </w:rPr>
        <w:t>第</w:t>
      </w:r>
      <w:r>
        <w:rPr>
          <w:rFonts w:hint="eastAsia" w:ascii="黑体" w:hAnsi="黑体" w:eastAsia="黑体" w:cs="黑体"/>
          <w:b w:val="0"/>
          <w:bCs w:val="0"/>
          <w:color w:val="auto"/>
          <w:spacing w:val="0"/>
          <w:kern w:val="21"/>
          <w:sz w:val="32"/>
          <w:szCs w:val="32"/>
          <w:lang w:val="en-US" w:eastAsia="zh-CN"/>
        </w:rPr>
        <w:t>四</w:t>
      </w:r>
      <w:r>
        <w:rPr>
          <w:rFonts w:hint="eastAsia" w:ascii="黑体" w:hAnsi="黑体" w:eastAsia="黑体" w:cs="黑体"/>
          <w:b w:val="0"/>
          <w:bCs w:val="0"/>
          <w:color w:val="auto"/>
          <w:spacing w:val="0"/>
          <w:kern w:val="21"/>
          <w:sz w:val="32"/>
          <w:szCs w:val="32"/>
        </w:rPr>
        <w:t>条【征收补偿内容】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仿宋" w:eastAsia="仿宋_GB2312" w:cs="Times New Roman"/>
          <w:color w:val="auto"/>
          <w:spacing w:val="0"/>
          <w:kern w:val="21"/>
          <w:sz w:val="32"/>
          <w:szCs w:val="32"/>
          <w:lang w:val="en-US" w:eastAsia="zh-CN"/>
        </w:rPr>
        <w:t>房屋征收部门对被征收人以及符合规定的合法使用人给予的补偿内容包括：</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Calibri" w:eastAsia="仿宋_GB2312" w:cs="Times New Roman"/>
          <w:color w:val="auto"/>
          <w:spacing w:val="0"/>
          <w:kern w:val="21"/>
          <w:sz w:val="32"/>
          <w:szCs w:val="32"/>
        </w:rPr>
      </w:pPr>
      <w:r>
        <w:rPr>
          <w:rFonts w:hint="eastAsia" w:ascii="仿宋_GB2312" w:hAnsi="Calibri" w:eastAsia="仿宋_GB2312" w:cs="Times New Roman"/>
          <w:color w:val="auto"/>
          <w:spacing w:val="0"/>
          <w:kern w:val="21"/>
          <w:sz w:val="32"/>
          <w:szCs w:val="32"/>
        </w:rPr>
        <w:t>（一）被征收房屋价值（含已经取得的合法国有土地使用权的价值）的补偿；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Calibri" w:eastAsia="仿宋_GB2312" w:cs="Times New Roman"/>
          <w:color w:val="auto"/>
          <w:spacing w:val="0"/>
          <w:kern w:val="21"/>
          <w:sz w:val="32"/>
          <w:szCs w:val="32"/>
        </w:rPr>
      </w:pPr>
      <w:r>
        <w:rPr>
          <w:rFonts w:hint="eastAsia" w:ascii="仿宋_GB2312" w:hAnsi="Calibri" w:eastAsia="仿宋_GB2312" w:cs="Times New Roman"/>
          <w:color w:val="auto"/>
          <w:spacing w:val="0"/>
          <w:kern w:val="21"/>
          <w:sz w:val="32"/>
          <w:szCs w:val="32"/>
        </w:rPr>
        <w:t>（二）因征收房屋造成的搬迁、临时安置的补偿；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default" w:ascii="仿宋_GB2312" w:hAnsi="Calibri" w:eastAsia="仿宋_GB2312" w:cs="Times New Roman"/>
          <w:color w:val="auto"/>
          <w:spacing w:val="0"/>
          <w:kern w:val="21"/>
          <w:sz w:val="32"/>
          <w:szCs w:val="32"/>
        </w:rPr>
      </w:pPr>
      <w:r>
        <w:rPr>
          <w:rFonts w:hint="eastAsia" w:ascii="仿宋_GB2312" w:hAnsi="Calibri" w:eastAsia="仿宋_GB2312" w:cs="Times New Roman"/>
          <w:color w:val="auto"/>
          <w:spacing w:val="0"/>
          <w:kern w:val="21"/>
          <w:sz w:val="32"/>
          <w:szCs w:val="32"/>
        </w:rPr>
        <w:t>（三）因征收房屋造成的停产停业损失的补偿；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Calibri" w:eastAsia="仿宋_GB2312" w:cs="Times New Roman"/>
          <w:color w:val="auto"/>
          <w:spacing w:val="0"/>
          <w:kern w:val="21"/>
          <w:sz w:val="32"/>
          <w:szCs w:val="32"/>
        </w:rPr>
      </w:pPr>
      <w:r>
        <w:rPr>
          <w:rFonts w:hint="eastAsia" w:ascii="仿宋_GB2312" w:hAnsi="Calibri" w:eastAsia="仿宋_GB2312" w:cs="Times New Roman"/>
          <w:color w:val="auto"/>
          <w:spacing w:val="0"/>
          <w:kern w:val="21"/>
          <w:sz w:val="32"/>
          <w:szCs w:val="32"/>
        </w:rPr>
        <w:t>（四）</w:t>
      </w:r>
      <w:r>
        <w:rPr>
          <w:rFonts w:hint="eastAsia" w:ascii="仿宋_GB2312" w:hAnsi="Calibri" w:eastAsia="仿宋_GB2312" w:cs="Times New Roman"/>
          <w:color w:val="auto"/>
          <w:spacing w:val="0"/>
          <w:kern w:val="21"/>
          <w:sz w:val="32"/>
          <w:szCs w:val="32"/>
          <w:lang w:val="en-US" w:eastAsia="zh-CN"/>
        </w:rPr>
        <w:t>34</w:t>
      </w:r>
      <w:r>
        <w:rPr>
          <w:rFonts w:hint="eastAsia" w:ascii="仿宋_GB2312" w:hAnsi="Calibri" w:eastAsia="仿宋_GB2312" w:cs="Times New Roman"/>
          <w:color w:val="auto"/>
          <w:spacing w:val="0"/>
          <w:kern w:val="21"/>
          <w:sz w:val="32"/>
          <w:szCs w:val="32"/>
        </w:rPr>
        <w:t>2号</w:t>
      </w:r>
      <w:r>
        <w:rPr>
          <w:rFonts w:hint="eastAsia" w:ascii="仿宋_GB2312" w:hAnsi="Calibri" w:eastAsia="仿宋_GB2312" w:cs="Times New Roman"/>
          <w:color w:val="auto"/>
          <w:spacing w:val="0"/>
          <w:kern w:val="21"/>
          <w:sz w:val="32"/>
          <w:szCs w:val="32"/>
          <w:lang w:val="en-US" w:eastAsia="zh-CN"/>
        </w:rPr>
        <w:t>令</w:t>
      </w:r>
      <w:r>
        <w:rPr>
          <w:rFonts w:hint="eastAsia" w:ascii="仿宋_GB2312" w:hAnsi="Calibri" w:eastAsia="仿宋_GB2312" w:cs="Times New Roman"/>
          <w:color w:val="auto"/>
          <w:spacing w:val="0"/>
          <w:kern w:val="21"/>
          <w:sz w:val="32"/>
          <w:szCs w:val="32"/>
        </w:rPr>
        <w:t>规定的其他应补偿内容。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rPr>
      </w:pPr>
      <w:r>
        <w:rPr>
          <w:rFonts w:hint="eastAsia" w:ascii="黑体" w:hAnsi="黑体" w:eastAsia="黑体" w:cs="黑体"/>
          <w:b w:val="0"/>
          <w:bCs w:val="0"/>
          <w:color w:val="auto"/>
          <w:spacing w:val="0"/>
          <w:kern w:val="21"/>
          <w:sz w:val="32"/>
          <w:szCs w:val="32"/>
        </w:rPr>
        <w:t>第</w:t>
      </w:r>
      <w:r>
        <w:rPr>
          <w:rFonts w:hint="eastAsia" w:ascii="黑体" w:hAnsi="黑体" w:eastAsia="黑体" w:cs="黑体"/>
          <w:b w:val="0"/>
          <w:bCs w:val="0"/>
          <w:color w:val="auto"/>
          <w:spacing w:val="0"/>
          <w:kern w:val="21"/>
          <w:sz w:val="32"/>
          <w:szCs w:val="32"/>
          <w:lang w:val="en-US" w:eastAsia="zh-CN"/>
        </w:rPr>
        <w:t>五</w:t>
      </w:r>
      <w:r>
        <w:rPr>
          <w:rFonts w:hint="eastAsia" w:ascii="黑体" w:hAnsi="黑体" w:eastAsia="黑体" w:cs="黑体"/>
          <w:b w:val="0"/>
          <w:bCs w:val="0"/>
          <w:color w:val="auto"/>
          <w:spacing w:val="0"/>
          <w:kern w:val="21"/>
          <w:sz w:val="32"/>
          <w:szCs w:val="32"/>
        </w:rPr>
        <w:t>条【不予补偿范围】</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仿宋" w:eastAsia="仿宋_GB2312" w:cs="Times New Roman"/>
          <w:color w:val="auto"/>
          <w:spacing w:val="0"/>
          <w:kern w:val="21"/>
          <w:sz w:val="32"/>
          <w:szCs w:val="32"/>
          <w:lang w:val="en-US" w:eastAsia="zh-CN"/>
        </w:rPr>
        <w:t>对经规划土地监察机构审查属于依法应当拆除或者没收的历史遗留违法建筑，不予补偿。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仿宋" w:eastAsia="仿宋_GB2312" w:cs="Times New Roman"/>
          <w:color w:val="auto"/>
          <w:spacing w:val="0"/>
          <w:kern w:val="21"/>
          <w:sz w:val="32"/>
          <w:szCs w:val="32"/>
          <w:lang w:val="en-US" w:eastAsia="zh-CN"/>
        </w:rPr>
        <w:t>自征收提示发布之日起，因下列行为导致增加房屋征收补偿费用的，对增加部分将不予补偿：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Calibri" w:eastAsia="仿宋_GB2312" w:cs="Times New Roman"/>
          <w:color w:val="auto"/>
          <w:spacing w:val="0"/>
          <w:kern w:val="21"/>
          <w:sz w:val="32"/>
          <w:szCs w:val="32"/>
        </w:rPr>
        <w:t>（一）</w:t>
      </w:r>
      <w:r>
        <w:rPr>
          <w:rFonts w:hint="eastAsia" w:ascii="仿宋_GB2312" w:hAnsi="仿宋" w:eastAsia="仿宋_GB2312" w:cs="Times New Roman"/>
          <w:color w:val="auto"/>
          <w:spacing w:val="0"/>
          <w:kern w:val="21"/>
          <w:sz w:val="32"/>
          <w:szCs w:val="32"/>
          <w:lang w:val="en-US" w:eastAsia="zh-CN"/>
        </w:rPr>
        <w:t>新建、改建、扩建、装修房屋；</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Calibri" w:eastAsia="仿宋_GB2312" w:cs="Times New Roman"/>
          <w:color w:val="auto"/>
          <w:spacing w:val="0"/>
          <w:kern w:val="21"/>
          <w:sz w:val="32"/>
          <w:szCs w:val="32"/>
        </w:rPr>
        <w:t>（</w:t>
      </w:r>
      <w:r>
        <w:rPr>
          <w:rFonts w:hint="eastAsia" w:ascii="仿宋_GB2312" w:hAnsi="Calibri" w:eastAsia="仿宋_GB2312" w:cs="Times New Roman"/>
          <w:color w:val="auto"/>
          <w:spacing w:val="0"/>
          <w:kern w:val="21"/>
          <w:sz w:val="32"/>
          <w:szCs w:val="32"/>
          <w:lang w:val="en-US" w:eastAsia="zh-CN"/>
        </w:rPr>
        <w:t>二</w:t>
      </w:r>
      <w:r>
        <w:rPr>
          <w:rFonts w:hint="eastAsia" w:ascii="仿宋_GB2312" w:hAnsi="Calibri" w:eastAsia="仿宋_GB2312" w:cs="Times New Roman"/>
          <w:color w:val="auto"/>
          <w:spacing w:val="0"/>
          <w:kern w:val="21"/>
          <w:sz w:val="32"/>
          <w:szCs w:val="32"/>
        </w:rPr>
        <w:t>）</w:t>
      </w:r>
      <w:r>
        <w:rPr>
          <w:rFonts w:hint="eastAsia" w:ascii="仿宋_GB2312" w:hAnsi="仿宋" w:eastAsia="仿宋_GB2312" w:cs="Times New Roman"/>
          <w:color w:val="auto"/>
          <w:spacing w:val="0"/>
          <w:kern w:val="21"/>
          <w:sz w:val="32"/>
          <w:szCs w:val="32"/>
          <w:lang w:val="en-US" w:eastAsia="zh-CN"/>
        </w:rPr>
        <w:t>改变房屋和土地用途；</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Calibri" w:eastAsia="仿宋_GB2312" w:cs="Times New Roman"/>
          <w:color w:val="auto"/>
          <w:spacing w:val="0"/>
          <w:kern w:val="21"/>
          <w:sz w:val="32"/>
          <w:szCs w:val="32"/>
        </w:rPr>
        <w:t>（</w:t>
      </w:r>
      <w:r>
        <w:rPr>
          <w:rFonts w:hint="eastAsia" w:ascii="仿宋_GB2312" w:hAnsi="Calibri" w:eastAsia="仿宋_GB2312" w:cs="Times New Roman"/>
          <w:color w:val="auto"/>
          <w:spacing w:val="0"/>
          <w:kern w:val="21"/>
          <w:sz w:val="32"/>
          <w:szCs w:val="32"/>
          <w:lang w:val="en-US" w:eastAsia="zh-CN"/>
        </w:rPr>
        <w:t>三</w:t>
      </w:r>
      <w:r>
        <w:rPr>
          <w:rFonts w:hint="eastAsia" w:ascii="仿宋_GB2312" w:hAnsi="Calibri" w:eastAsia="仿宋_GB2312" w:cs="Times New Roman"/>
          <w:color w:val="auto"/>
          <w:spacing w:val="0"/>
          <w:kern w:val="21"/>
          <w:sz w:val="32"/>
          <w:szCs w:val="32"/>
        </w:rPr>
        <w:t>）</w:t>
      </w:r>
      <w:r>
        <w:rPr>
          <w:rFonts w:hint="eastAsia" w:ascii="仿宋_GB2312" w:hAnsi="仿宋" w:eastAsia="仿宋_GB2312" w:cs="Times New Roman"/>
          <w:color w:val="auto"/>
          <w:spacing w:val="0"/>
          <w:kern w:val="21"/>
          <w:sz w:val="32"/>
          <w:szCs w:val="32"/>
          <w:lang w:val="en-US" w:eastAsia="zh-CN"/>
        </w:rPr>
        <w:t>已依法取得建房批准文件但尚未建造完毕的房屋的续建；</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Calibri" w:eastAsia="仿宋_GB2312" w:cs="Times New Roman"/>
          <w:color w:val="auto"/>
          <w:spacing w:val="0"/>
          <w:kern w:val="21"/>
          <w:sz w:val="32"/>
          <w:szCs w:val="32"/>
        </w:rPr>
        <w:t>（</w:t>
      </w:r>
      <w:r>
        <w:rPr>
          <w:rFonts w:hint="eastAsia" w:ascii="仿宋_GB2312" w:hAnsi="Calibri" w:eastAsia="仿宋_GB2312" w:cs="Times New Roman"/>
          <w:color w:val="auto"/>
          <w:spacing w:val="0"/>
          <w:kern w:val="21"/>
          <w:sz w:val="32"/>
          <w:szCs w:val="32"/>
          <w:lang w:val="en-US" w:eastAsia="zh-CN"/>
        </w:rPr>
        <w:t>四</w:t>
      </w:r>
      <w:r>
        <w:rPr>
          <w:rFonts w:hint="eastAsia" w:ascii="仿宋_GB2312" w:hAnsi="Calibri" w:eastAsia="仿宋_GB2312" w:cs="Times New Roman"/>
          <w:color w:val="auto"/>
          <w:spacing w:val="0"/>
          <w:kern w:val="21"/>
          <w:sz w:val="32"/>
          <w:szCs w:val="32"/>
        </w:rPr>
        <w:t>）</w:t>
      </w:r>
      <w:r>
        <w:rPr>
          <w:rFonts w:hint="eastAsia" w:ascii="仿宋_GB2312" w:hAnsi="仿宋" w:eastAsia="仿宋_GB2312" w:cs="Times New Roman"/>
          <w:color w:val="auto"/>
          <w:spacing w:val="0"/>
          <w:kern w:val="21"/>
          <w:sz w:val="32"/>
          <w:szCs w:val="32"/>
          <w:lang w:val="en-US" w:eastAsia="zh-CN"/>
        </w:rPr>
        <w:t>新签订租赁期限截止日在征收提示发布之日起1年以后的房屋租赁合同；</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Calibri" w:eastAsia="仿宋_GB2312" w:cs="Times New Roman"/>
          <w:color w:val="auto"/>
          <w:spacing w:val="0"/>
          <w:kern w:val="21"/>
          <w:sz w:val="32"/>
          <w:szCs w:val="32"/>
        </w:rPr>
        <w:t>（</w:t>
      </w:r>
      <w:r>
        <w:rPr>
          <w:rFonts w:hint="eastAsia" w:ascii="仿宋_GB2312" w:hAnsi="Calibri" w:eastAsia="仿宋_GB2312" w:cs="Times New Roman"/>
          <w:color w:val="auto"/>
          <w:spacing w:val="0"/>
          <w:kern w:val="21"/>
          <w:sz w:val="32"/>
          <w:szCs w:val="32"/>
          <w:lang w:val="en-US" w:eastAsia="zh-CN"/>
        </w:rPr>
        <w:t>五</w:t>
      </w:r>
      <w:r>
        <w:rPr>
          <w:rFonts w:hint="eastAsia" w:ascii="仿宋_GB2312" w:hAnsi="Calibri" w:eastAsia="仿宋_GB2312" w:cs="Times New Roman"/>
          <w:color w:val="auto"/>
          <w:spacing w:val="0"/>
          <w:kern w:val="21"/>
          <w:sz w:val="32"/>
          <w:szCs w:val="32"/>
        </w:rPr>
        <w:t>）</w:t>
      </w:r>
      <w:r>
        <w:rPr>
          <w:rFonts w:hint="eastAsia" w:ascii="仿宋_GB2312" w:hAnsi="仿宋" w:eastAsia="仿宋_GB2312" w:cs="Times New Roman"/>
          <w:color w:val="auto"/>
          <w:spacing w:val="0"/>
          <w:kern w:val="21"/>
          <w:sz w:val="32"/>
          <w:szCs w:val="32"/>
          <w:lang w:val="en-US" w:eastAsia="zh-CN"/>
        </w:rPr>
        <w:t>除婚姻、出生、回国、军人退伍转业、刑满释放等必须办理户口迁入、分户之外的其他户口迁入和分户；</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Calibri" w:eastAsia="仿宋_GB2312" w:cs="Times New Roman"/>
          <w:color w:val="auto"/>
          <w:spacing w:val="0"/>
          <w:kern w:val="21"/>
          <w:sz w:val="32"/>
          <w:szCs w:val="32"/>
        </w:rPr>
        <w:t>（</w:t>
      </w:r>
      <w:r>
        <w:rPr>
          <w:rFonts w:hint="eastAsia" w:ascii="仿宋_GB2312" w:hAnsi="Calibri" w:eastAsia="仿宋_GB2312" w:cs="Times New Roman"/>
          <w:color w:val="auto"/>
          <w:spacing w:val="0"/>
          <w:kern w:val="21"/>
          <w:sz w:val="32"/>
          <w:szCs w:val="32"/>
          <w:lang w:val="en-US" w:eastAsia="zh-CN"/>
        </w:rPr>
        <w:t>六</w:t>
      </w:r>
      <w:r>
        <w:rPr>
          <w:rFonts w:hint="eastAsia" w:ascii="仿宋_GB2312" w:hAnsi="Calibri" w:eastAsia="仿宋_GB2312" w:cs="Times New Roman"/>
          <w:color w:val="auto"/>
          <w:spacing w:val="0"/>
          <w:kern w:val="21"/>
          <w:sz w:val="32"/>
          <w:szCs w:val="32"/>
        </w:rPr>
        <w:t>）</w:t>
      </w:r>
      <w:r>
        <w:rPr>
          <w:rFonts w:hint="eastAsia" w:ascii="仿宋_GB2312" w:hAnsi="仿宋" w:eastAsia="仿宋_GB2312" w:cs="Times New Roman"/>
          <w:color w:val="auto"/>
          <w:spacing w:val="0"/>
          <w:kern w:val="21"/>
          <w:sz w:val="32"/>
          <w:szCs w:val="32"/>
          <w:lang w:val="en-US" w:eastAsia="zh-CN"/>
        </w:rPr>
        <w:t>以被征收房屋为注册地址办理工商注册登记、变更手续；</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Calibri" w:eastAsia="仿宋_GB2312" w:cs="Times New Roman"/>
          <w:color w:val="auto"/>
          <w:spacing w:val="0"/>
          <w:kern w:val="21"/>
          <w:sz w:val="32"/>
          <w:szCs w:val="32"/>
        </w:rPr>
        <w:t>（</w:t>
      </w:r>
      <w:r>
        <w:rPr>
          <w:rFonts w:hint="eastAsia" w:ascii="仿宋_GB2312" w:hAnsi="Calibri" w:eastAsia="仿宋_GB2312" w:cs="Times New Roman"/>
          <w:color w:val="auto"/>
          <w:spacing w:val="0"/>
          <w:kern w:val="21"/>
          <w:sz w:val="32"/>
          <w:szCs w:val="32"/>
          <w:lang w:val="en-US" w:eastAsia="zh-CN"/>
        </w:rPr>
        <w:t>七</w:t>
      </w:r>
      <w:r>
        <w:rPr>
          <w:rFonts w:hint="eastAsia" w:ascii="仿宋_GB2312" w:hAnsi="Calibri" w:eastAsia="仿宋_GB2312" w:cs="Times New Roman"/>
          <w:color w:val="auto"/>
          <w:spacing w:val="0"/>
          <w:kern w:val="21"/>
          <w:sz w:val="32"/>
          <w:szCs w:val="32"/>
        </w:rPr>
        <w:t>）</w:t>
      </w:r>
      <w:r>
        <w:rPr>
          <w:rFonts w:hint="eastAsia" w:ascii="仿宋_GB2312" w:hAnsi="仿宋" w:eastAsia="仿宋_GB2312" w:cs="Times New Roman"/>
          <w:color w:val="auto"/>
          <w:spacing w:val="0"/>
          <w:kern w:val="21"/>
          <w:sz w:val="32"/>
          <w:szCs w:val="32"/>
          <w:lang w:val="en-US" w:eastAsia="zh-CN"/>
        </w:rPr>
        <w:t>其他不当增加补偿费用的行为。</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lang w:val="en-US" w:eastAsia="zh-CN"/>
        </w:rPr>
      </w:pPr>
      <w:r>
        <w:rPr>
          <w:rFonts w:hint="eastAsia" w:ascii="黑体" w:hAnsi="黑体" w:eastAsia="黑体" w:cs="黑体"/>
          <w:b w:val="0"/>
          <w:bCs w:val="0"/>
          <w:color w:val="auto"/>
          <w:spacing w:val="0"/>
          <w:kern w:val="21"/>
          <w:sz w:val="32"/>
          <w:szCs w:val="32"/>
          <w:lang w:val="en-US" w:eastAsia="zh-CN"/>
        </w:rPr>
        <w:t>第六条【房屋面积与用途认定】</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仿宋" w:eastAsia="仿宋_GB2312" w:cs="Times New Roman"/>
          <w:color w:val="auto"/>
          <w:spacing w:val="0"/>
          <w:kern w:val="21"/>
          <w:sz w:val="32"/>
          <w:szCs w:val="32"/>
          <w:lang w:val="en-US" w:eastAsia="zh-CN"/>
        </w:rPr>
        <w:t>被征收房屋的建筑面积（包括套内建筑面积）与房屋用途的认定，以房地产权证书、房地产登记簿记载的面积和用途为准；但房地产权证书记载与房地产登记簿记载不一致的，以房地产登记簿记载为准。</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仿宋" w:eastAsia="仿宋_GB2312" w:cs="Times New Roman"/>
          <w:color w:val="auto"/>
          <w:spacing w:val="0"/>
          <w:kern w:val="21"/>
          <w:sz w:val="32"/>
          <w:szCs w:val="32"/>
          <w:lang w:val="en-US" w:eastAsia="zh-CN"/>
        </w:rPr>
        <w:t>房地产权证书、房地产登记簿未记载或者记载不明的，可以根据合法有效的竣工测绘报告认定房屋建筑面积（包括套内建筑面积），根据合法有效的规划证明文件认定房屋用途。</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仿宋" w:eastAsia="仿宋_GB2312" w:cs="Times New Roman"/>
          <w:color w:val="auto"/>
          <w:spacing w:val="0"/>
          <w:kern w:val="21"/>
          <w:sz w:val="32"/>
          <w:szCs w:val="32"/>
          <w:lang w:val="en-US" w:eastAsia="zh-CN"/>
        </w:rPr>
        <w:t>根据前款规定仍无法认定被征收房屋的建筑面积（包括套内建筑面积）的，应当根据</w:t>
      </w:r>
      <w:r>
        <w:rPr>
          <w:rFonts w:hint="eastAsia" w:ascii="仿宋_GB2312" w:hAnsi="Calibri" w:eastAsia="仿宋_GB2312" w:cs="Times New Roman"/>
          <w:color w:val="auto"/>
          <w:spacing w:val="0"/>
          <w:kern w:val="21"/>
          <w:sz w:val="32"/>
          <w:szCs w:val="32"/>
          <w:lang w:val="en-US" w:eastAsia="zh-CN"/>
        </w:rPr>
        <w:t>34</w:t>
      </w:r>
      <w:r>
        <w:rPr>
          <w:rFonts w:hint="eastAsia" w:ascii="仿宋_GB2312" w:hAnsi="Calibri" w:eastAsia="仿宋_GB2312" w:cs="Times New Roman"/>
          <w:color w:val="auto"/>
          <w:spacing w:val="0"/>
          <w:kern w:val="21"/>
          <w:sz w:val="32"/>
          <w:szCs w:val="32"/>
        </w:rPr>
        <w:t>2号</w:t>
      </w:r>
      <w:r>
        <w:rPr>
          <w:rFonts w:hint="eastAsia" w:ascii="仿宋_GB2312" w:hAnsi="Calibri" w:eastAsia="仿宋_GB2312" w:cs="Times New Roman"/>
          <w:color w:val="auto"/>
          <w:spacing w:val="0"/>
          <w:kern w:val="21"/>
          <w:sz w:val="32"/>
          <w:szCs w:val="32"/>
          <w:lang w:val="en-US" w:eastAsia="zh-CN"/>
        </w:rPr>
        <w:t>令</w:t>
      </w:r>
      <w:r>
        <w:rPr>
          <w:rFonts w:hint="eastAsia" w:ascii="仿宋_GB2312" w:hAnsi="仿宋" w:eastAsia="仿宋_GB2312" w:cs="Times New Roman"/>
          <w:color w:val="auto"/>
          <w:spacing w:val="0"/>
          <w:kern w:val="21"/>
          <w:sz w:val="32"/>
          <w:szCs w:val="32"/>
          <w:lang w:val="en-US" w:eastAsia="zh-CN"/>
        </w:rPr>
        <w:t>第五章的规定进行测绘。</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rPr>
      </w:pPr>
      <w:r>
        <w:rPr>
          <w:rFonts w:hint="eastAsia" w:ascii="黑体" w:hAnsi="黑体" w:eastAsia="黑体" w:cs="黑体"/>
          <w:b w:val="0"/>
          <w:bCs w:val="0"/>
          <w:color w:val="auto"/>
          <w:spacing w:val="0"/>
          <w:kern w:val="21"/>
          <w:sz w:val="32"/>
          <w:szCs w:val="32"/>
        </w:rPr>
        <w:t>第</w:t>
      </w:r>
      <w:r>
        <w:rPr>
          <w:rFonts w:hint="eastAsia" w:ascii="黑体" w:hAnsi="黑体" w:eastAsia="黑体" w:cs="黑体"/>
          <w:b w:val="0"/>
          <w:bCs w:val="0"/>
          <w:color w:val="auto"/>
          <w:spacing w:val="0"/>
          <w:kern w:val="21"/>
          <w:sz w:val="32"/>
          <w:szCs w:val="32"/>
          <w:lang w:val="en-US" w:eastAsia="zh-CN"/>
        </w:rPr>
        <w:t>七</w:t>
      </w:r>
      <w:r>
        <w:rPr>
          <w:rFonts w:hint="eastAsia" w:ascii="黑体" w:hAnsi="黑体" w:eastAsia="黑体" w:cs="黑体"/>
          <w:b w:val="0"/>
          <w:bCs w:val="0"/>
          <w:color w:val="auto"/>
          <w:spacing w:val="0"/>
          <w:kern w:val="21"/>
          <w:sz w:val="32"/>
          <w:szCs w:val="32"/>
        </w:rPr>
        <w:t>条【资金概算】</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Calibri" w:eastAsia="仿宋_GB2312" w:cs="Times New Roman"/>
          <w:color w:val="auto"/>
          <w:spacing w:val="0"/>
          <w:kern w:val="21"/>
          <w:sz w:val="32"/>
          <w:szCs w:val="32"/>
        </w:rPr>
      </w:pPr>
      <w:r>
        <w:rPr>
          <w:rFonts w:hint="eastAsia" w:ascii="仿宋_GB2312" w:hAnsi="Calibri" w:eastAsia="仿宋_GB2312" w:cs="Times New Roman"/>
          <w:color w:val="auto"/>
          <w:spacing w:val="0"/>
          <w:kern w:val="21"/>
          <w:sz w:val="32"/>
          <w:szCs w:val="32"/>
        </w:rPr>
        <w:t>项目费用概算按本方案确定的货币补偿原则测算，保障项目所需费用充足。</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rPr>
      </w:pPr>
      <w:r>
        <w:rPr>
          <w:rFonts w:hint="eastAsia" w:ascii="黑体" w:hAnsi="黑体" w:eastAsia="黑体" w:cs="黑体"/>
          <w:b w:val="0"/>
          <w:bCs w:val="0"/>
          <w:color w:val="auto"/>
          <w:spacing w:val="0"/>
          <w:kern w:val="21"/>
          <w:sz w:val="32"/>
          <w:szCs w:val="32"/>
        </w:rPr>
        <w:t>第</w:t>
      </w:r>
      <w:r>
        <w:rPr>
          <w:rFonts w:hint="eastAsia" w:ascii="黑体" w:hAnsi="黑体" w:eastAsia="黑体" w:cs="黑体"/>
          <w:b w:val="0"/>
          <w:bCs w:val="0"/>
          <w:color w:val="auto"/>
          <w:spacing w:val="0"/>
          <w:kern w:val="21"/>
          <w:sz w:val="32"/>
          <w:szCs w:val="32"/>
          <w:lang w:val="en-US" w:eastAsia="zh-CN"/>
        </w:rPr>
        <w:t>八</w:t>
      </w:r>
      <w:r>
        <w:rPr>
          <w:rFonts w:hint="eastAsia" w:ascii="黑体" w:hAnsi="黑体" w:eastAsia="黑体" w:cs="黑体"/>
          <w:b w:val="0"/>
          <w:bCs w:val="0"/>
          <w:color w:val="auto"/>
          <w:spacing w:val="0"/>
          <w:kern w:val="21"/>
          <w:sz w:val="32"/>
          <w:szCs w:val="32"/>
        </w:rPr>
        <w:t>条【价值时点】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color w:val="auto"/>
          <w:spacing w:val="0"/>
          <w:kern w:val="21"/>
          <w:sz w:val="32"/>
          <w:szCs w:val="32"/>
          <w:lang w:val="en-US" w:eastAsia="zh-CN"/>
        </w:rPr>
      </w:pPr>
      <w:r>
        <w:rPr>
          <w:rFonts w:hint="eastAsia" w:ascii="仿宋_GB2312" w:hAnsi="仿宋" w:eastAsia="仿宋_GB2312" w:cs="Times New Roman"/>
          <w:b w:val="0"/>
          <w:bCs w:val="0"/>
          <w:color w:val="auto"/>
          <w:spacing w:val="0"/>
          <w:kern w:val="21"/>
          <w:sz w:val="32"/>
          <w:szCs w:val="32"/>
          <w:lang w:val="en-US" w:eastAsia="zh-CN"/>
        </w:rPr>
        <w:t>（一）H123-0020宗地涉及的房屋等征收评估价值时点。</w:t>
      </w:r>
      <w:r>
        <w:rPr>
          <w:rFonts w:hint="eastAsia" w:ascii="仿宋_GB2312" w:hAnsi="仿宋" w:eastAsia="仿宋_GB2312" w:cs="Times New Roman"/>
          <w:color w:val="auto"/>
          <w:spacing w:val="0"/>
          <w:kern w:val="21"/>
          <w:sz w:val="32"/>
          <w:szCs w:val="32"/>
          <w:lang w:val="en-US" w:eastAsia="zh-CN"/>
        </w:rPr>
        <w:t>结合本项目实际情况，H123-0020宗地涉及的房屋等征收评估价值时点为</w:t>
      </w:r>
      <w:r>
        <w:rPr>
          <w:rFonts w:hint="eastAsia" w:ascii="仿宋_GB2312" w:hAnsi="仿宋" w:eastAsia="仿宋_GB2312" w:cs="Times New Roman"/>
          <w:color w:val="auto"/>
          <w:spacing w:val="0"/>
          <w:kern w:val="21"/>
          <w:sz w:val="32"/>
          <w:szCs w:val="32"/>
          <w:highlight w:val="none"/>
          <w:lang w:val="en-US" w:eastAsia="zh-CN"/>
        </w:rPr>
        <w:t>2023年11月1日；</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黑体" w:hAnsi="黑体" w:eastAsia="黑体" w:cs="黑体"/>
          <w:color w:val="auto"/>
          <w:spacing w:val="0"/>
          <w:kern w:val="21"/>
          <w:sz w:val="32"/>
          <w:szCs w:val="32"/>
          <w:lang w:val="en-US" w:eastAsia="zh-CN"/>
        </w:rPr>
      </w:pPr>
      <w:r>
        <w:rPr>
          <w:rFonts w:hint="eastAsia" w:ascii="仿宋_GB2312" w:hAnsi="仿宋" w:eastAsia="仿宋_GB2312" w:cs="Times New Roman"/>
          <w:b w:val="0"/>
          <w:bCs w:val="0"/>
          <w:color w:val="auto"/>
          <w:spacing w:val="0"/>
          <w:kern w:val="21"/>
          <w:sz w:val="32"/>
          <w:szCs w:val="32"/>
          <w:lang w:val="en-US" w:eastAsia="zh-CN"/>
        </w:rPr>
        <w:t>（二）H123-0021宗地涉及的房屋等征收评估价值时点。</w:t>
      </w:r>
      <w:r>
        <w:rPr>
          <w:rFonts w:hint="eastAsia" w:ascii="仿宋_GB2312" w:hAnsi="仿宋" w:eastAsia="仿宋_GB2312" w:cs="Times New Roman"/>
          <w:color w:val="auto"/>
          <w:spacing w:val="0"/>
          <w:kern w:val="21"/>
          <w:sz w:val="32"/>
          <w:szCs w:val="32"/>
          <w:lang w:val="en-US" w:eastAsia="zh-CN"/>
        </w:rPr>
        <w:t>H123-0021宗地涉及的房屋等征收评估价值时点以本项目征收提示公告之日为准，用于产权调换房屋价值评估时点与被征收房屋价值评估时点一致。</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0" w:firstLineChars="0"/>
        <w:jc w:val="center"/>
        <w:textAlignment w:val="auto"/>
        <w:outlineLvl w:val="0"/>
        <w:rPr>
          <w:rFonts w:hint="eastAsia" w:ascii="黑体" w:hAnsi="黑体" w:eastAsia="黑体" w:cs="黑体"/>
          <w:b w:val="0"/>
          <w:bCs w:val="0"/>
          <w:color w:val="auto"/>
          <w:spacing w:val="0"/>
          <w:kern w:val="21"/>
          <w:sz w:val="32"/>
          <w:szCs w:val="32"/>
        </w:rPr>
      </w:pPr>
      <w:r>
        <w:rPr>
          <w:rFonts w:hint="eastAsia" w:ascii="黑体" w:hAnsi="黑体" w:eastAsia="黑体" w:cs="黑体"/>
          <w:b w:val="0"/>
          <w:bCs w:val="0"/>
          <w:color w:val="auto"/>
          <w:spacing w:val="0"/>
          <w:kern w:val="21"/>
          <w:sz w:val="32"/>
          <w:szCs w:val="32"/>
          <w:lang w:val="en-US" w:eastAsia="zh-CN"/>
        </w:rPr>
        <w:t xml:space="preserve">第二章 </w:t>
      </w:r>
      <w:r>
        <w:rPr>
          <w:rFonts w:hint="eastAsia" w:ascii="黑体" w:hAnsi="黑体" w:eastAsia="黑体" w:cs="黑体"/>
          <w:b w:val="0"/>
          <w:bCs w:val="0"/>
          <w:color w:val="auto"/>
          <w:spacing w:val="0"/>
          <w:kern w:val="21"/>
          <w:sz w:val="32"/>
          <w:szCs w:val="32"/>
        </w:rPr>
        <w:t>房屋</w:t>
      </w:r>
      <w:r>
        <w:rPr>
          <w:rFonts w:hint="eastAsia" w:ascii="黑体" w:hAnsi="黑体" w:eastAsia="黑体" w:cs="黑体"/>
          <w:b w:val="0"/>
          <w:bCs w:val="0"/>
          <w:color w:val="auto"/>
          <w:spacing w:val="0"/>
          <w:kern w:val="21"/>
          <w:sz w:val="32"/>
          <w:szCs w:val="32"/>
          <w:lang w:eastAsia="zh-CN"/>
        </w:rPr>
        <w:t>征收</w:t>
      </w:r>
      <w:r>
        <w:rPr>
          <w:rFonts w:hint="eastAsia" w:ascii="黑体" w:hAnsi="黑体" w:eastAsia="黑体" w:cs="黑体"/>
          <w:b w:val="0"/>
          <w:bCs w:val="0"/>
          <w:color w:val="auto"/>
          <w:spacing w:val="0"/>
          <w:kern w:val="21"/>
          <w:sz w:val="32"/>
          <w:szCs w:val="32"/>
        </w:rPr>
        <w:t>补偿标准</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rPr>
      </w:pPr>
      <w:r>
        <w:rPr>
          <w:rFonts w:hint="eastAsia" w:ascii="黑体" w:hAnsi="黑体" w:eastAsia="黑体" w:cs="黑体"/>
          <w:b w:val="0"/>
          <w:bCs w:val="0"/>
          <w:color w:val="auto"/>
          <w:spacing w:val="0"/>
          <w:kern w:val="21"/>
          <w:sz w:val="32"/>
          <w:szCs w:val="32"/>
        </w:rPr>
        <w:t>第</w:t>
      </w:r>
      <w:r>
        <w:rPr>
          <w:rFonts w:hint="eastAsia" w:ascii="黑体" w:hAnsi="黑体" w:eastAsia="黑体" w:cs="黑体"/>
          <w:b w:val="0"/>
          <w:bCs w:val="0"/>
          <w:color w:val="auto"/>
          <w:spacing w:val="0"/>
          <w:kern w:val="21"/>
          <w:sz w:val="32"/>
          <w:szCs w:val="32"/>
          <w:lang w:val="en-US" w:eastAsia="zh-CN"/>
        </w:rPr>
        <w:t>九</w:t>
      </w:r>
      <w:r>
        <w:rPr>
          <w:rFonts w:hint="eastAsia" w:ascii="黑体" w:hAnsi="黑体" w:eastAsia="黑体" w:cs="黑体"/>
          <w:b w:val="0"/>
          <w:bCs w:val="0"/>
          <w:color w:val="auto"/>
          <w:spacing w:val="0"/>
          <w:kern w:val="21"/>
          <w:sz w:val="32"/>
          <w:szCs w:val="32"/>
        </w:rPr>
        <w:t>条【征收补偿方式】</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jc w:val="left"/>
        <w:textAlignment w:val="auto"/>
        <w:outlineLvl w:val="1"/>
        <w:rPr>
          <w:rFonts w:hint="eastAsia" w:ascii="仿宋_GB2312" w:hAnsi="仿宋_GB2312" w:eastAsia="仿宋_GB2312" w:cs="仿宋_GB2312"/>
          <w:color w:val="auto"/>
          <w:spacing w:val="0"/>
          <w:kern w:val="21"/>
          <w:sz w:val="32"/>
          <w:szCs w:val="32"/>
          <w:highlight w:val="none"/>
        </w:rPr>
      </w:pPr>
      <w:r>
        <w:rPr>
          <w:rFonts w:hint="eastAsia" w:ascii="仿宋_GB2312" w:hAnsi="仿宋_GB2312" w:eastAsia="仿宋_GB2312" w:cs="仿宋_GB2312"/>
          <w:color w:val="auto"/>
          <w:spacing w:val="0"/>
          <w:kern w:val="21"/>
          <w:sz w:val="32"/>
          <w:szCs w:val="32"/>
          <w:highlight w:val="none"/>
          <w:lang w:val="en-US" w:eastAsia="zh-CN"/>
        </w:rPr>
        <w:t>根据34</w:t>
      </w:r>
      <w:r>
        <w:rPr>
          <w:rFonts w:hint="eastAsia" w:ascii="仿宋_GB2312" w:hAnsi="仿宋_GB2312" w:eastAsia="仿宋_GB2312" w:cs="仿宋_GB2312"/>
          <w:color w:val="auto"/>
          <w:spacing w:val="0"/>
          <w:kern w:val="21"/>
          <w:sz w:val="32"/>
          <w:szCs w:val="32"/>
          <w:highlight w:val="none"/>
        </w:rPr>
        <w:t>2号</w:t>
      </w:r>
      <w:r>
        <w:rPr>
          <w:rFonts w:hint="eastAsia" w:ascii="仿宋_GB2312" w:hAnsi="仿宋_GB2312" w:eastAsia="仿宋_GB2312" w:cs="仿宋_GB2312"/>
          <w:color w:val="auto"/>
          <w:spacing w:val="0"/>
          <w:kern w:val="21"/>
          <w:sz w:val="32"/>
          <w:szCs w:val="32"/>
          <w:highlight w:val="none"/>
          <w:lang w:val="en-US" w:eastAsia="zh-CN"/>
        </w:rPr>
        <w:t>令第二十四条规定，</w:t>
      </w:r>
      <w:r>
        <w:rPr>
          <w:rFonts w:hint="eastAsia" w:ascii="仿宋_GB2312" w:hAnsi="仿宋_GB2312" w:eastAsia="仿宋_GB2312" w:cs="仿宋_GB2312"/>
          <w:b w:val="0"/>
          <w:bCs w:val="0"/>
          <w:color w:val="auto"/>
          <w:spacing w:val="0"/>
          <w:kern w:val="21"/>
          <w:sz w:val="32"/>
          <w:szCs w:val="32"/>
          <w:highlight w:val="none"/>
          <w:lang w:val="en-US" w:eastAsia="zh-CN"/>
        </w:rPr>
        <w:t>H123-0020宗地涉及的</w:t>
      </w:r>
      <w:r>
        <w:rPr>
          <w:rFonts w:hint="eastAsia" w:ascii="仿宋_GB2312" w:hAnsi="仿宋_GB2312" w:eastAsia="仿宋_GB2312" w:cs="仿宋_GB2312"/>
          <w:color w:val="auto"/>
          <w:spacing w:val="0"/>
          <w:kern w:val="21"/>
          <w:sz w:val="32"/>
          <w:szCs w:val="32"/>
          <w:highlight w:val="none"/>
        </w:rPr>
        <w:t>非住宅房屋以及房屋以外的构筑物、其他附着物等实行货币补偿</w:t>
      </w:r>
      <w:r>
        <w:rPr>
          <w:rFonts w:hint="eastAsia" w:ascii="仿宋_GB2312" w:hAnsi="仿宋_GB2312" w:eastAsia="仿宋_GB2312" w:cs="仿宋_GB2312"/>
          <w:color w:val="auto"/>
          <w:spacing w:val="0"/>
          <w:kern w:val="21"/>
          <w:sz w:val="32"/>
          <w:szCs w:val="32"/>
          <w:highlight w:val="none"/>
          <w:lang w:eastAsia="zh-CN"/>
        </w:rPr>
        <w:t>，</w:t>
      </w:r>
      <w:r>
        <w:rPr>
          <w:rFonts w:hint="eastAsia" w:ascii="仿宋_GB2312" w:hAnsi="仿宋_GB2312" w:eastAsia="仿宋_GB2312" w:cs="仿宋_GB2312"/>
          <w:b w:val="0"/>
          <w:bCs w:val="0"/>
          <w:color w:val="auto"/>
          <w:spacing w:val="0"/>
          <w:kern w:val="21"/>
          <w:sz w:val="32"/>
          <w:szCs w:val="32"/>
          <w:highlight w:val="none"/>
          <w:lang w:val="en-US" w:eastAsia="zh-CN"/>
        </w:rPr>
        <w:t>H123-0021宗地涉及的</w:t>
      </w:r>
      <w:r>
        <w:rPr>
          <w:rFonts w:hint="eastAsia" w:ascii="仿宋_GB2312" w:hAnsi="仿宋_GB2312" w:eastAsia="仿宋_GB2312" w:cs="仿宋_GB2312"/>
          <w:color w:val="auto"/>
          <w:spacing w:val="0"/>
          <w:kern w:val="21"/>
          <w:sz w:val="32"/>
          <w:szCs w:val="32"/>
          <w:highlight w:val="none"/>
        </w:rPr>
        <w:t>住宅房屋可以选择货币补偿、产权调换、货币补偿与产权调换相结合的方式进行补偿。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rPr>
      </w:pPr>
      <w:r>
        <w:rPr>
          <w:rFonts w:hint="eastAsia" w:ascii="黑体" w:hAnsi="黑体" w:eastAsia="黑体" w:cs="黑体"/>
          <w:b w:val="0"/>
          <w:bCs w:val="0"/>
          <w:color w:val="auto"/>
          <w:spacing w:val="0"/>
          <w:kern w:val="21"/>
          <w:sz w:val="32"/>
          <w:szCs w:val="32"/>
        </w:rPr>
        <w:t>第</w:t>
      </w:r>
      <w:r>
        <w:rPr>
          <w:rFonts w:hint="eastAsia" w:ascii="黑体" w:hAnsi="黑体" w:eastAsia="黑体" w:cs="黑体"/>
          <w:b w:val="0"/>
          <w:bCs w:val="0"/>
          <w:color w:val="auto"/>
          <w:spacing w:val="0"/>
          <w:kern w:val="21"/>
          <w:sz w:val="32"/>
          <w:szCs w:val="32"/>
          <w:lang w:eastAsia="zh-CN"/>
        </w:rPr>
        <w:t>十</w:t>
      </w:r>
      <w:r>
        <w:rPr>
          <w:rFonts w:hint="eastAsia" w:ascii="黑体" w:hAnsi="黑体" w:eastAsia="黑体" w:cs="黑体"/>
          <w:b w:val="0"/>
          <w:bCs w:val="0"/>
          <w:color w:val="auto"/>
          <w:spacing w:val="0"/>
          <w:kern w:val="21"/>
          <w:sz w:val="32"/>
          <w:szCs w:val="32"/>
        </w:rPr>
        <w:t>条【产权调换】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 w:eastAsia="仿宋_GB2312" w:cs="Times New Roman"/>
          <w:b w:val="0"/>
          <w:bCs w:val="0"/>
          <w:color w:val="auto"/>
          <w:spacing w:val="0"/>
          <w:kern w:val="21"/>
          <w:sz w:val="32"/>
          <w:szCs w:val="32"/>
          <w:highlight w:val="none"/>
          <w:lang w:val="en-US" w:eastAsia="zh-CN"/>
        </w:rPr>
      </w:pPr>
      <w:r>
        <w:rPr>
          <w:rFonts w:hint="eastAsia" w:ascii="仿宋_GB2312" w:hAnsi="仿宋" w:eastAsia="仿宋_GB2312" w:cs="Times New Roman"/>
          <w:b w:val="0"/>
          <w:bCs w:val="0"/>
          <w:color w:val="auto"/>
          <w:spacing w:val="0"/>
          <w:kern w:val="21"/>
          <w:sz w:val="32"/>
          <w:szCs w:val="32"/>
          <w:highlight w:val="none"/>
          <w:lang w:val="en-US" w:eastAsia="zh-CN"/>
        </w:rPr>
        <w:t>H123-0021宗地涉及的</w:t>
      </w:r>
      <w:r>
        <w:rPr>
          <w:rFonts w:hint="eastAsia" w:ascii="仿宋_GB2312" w:hAnsi="仿宋_GB2312" w:eastAsia="仿宋_GB2312" w:cs="仿宋_GB2312"/>
          <w:color w:val="auto"/>
          <w:spacing w:val="0"/>
          <w:kern w:val="21"/>
          <w:sz w:val="32"/>
          <w:szCs w:val="32"/>
          <w:highlight w:val="none"/>
        </w:rPr>
        <w:t>住宅</w:t>
      </w:r>
      <w:r>
        <w:rPr>
          <w:rFonts w:hint="eastAsia" w:ascii="仿宋_GB2312" w:hAnsi="仿宋" w:eastAsia="仿宋_GB2312" w:cs="Times New Roman"/>
          <w:b w:val="0"/>
          <w:bCs w:val="0"/>
          <w:color w:val="auto"/>
          <w:spacing w:val="0"/>
          <w:kern w:val="21"/>
          <w:sz w:val="32"/>
          <w:szCs w:val="32"/>
          <w:highlight w:val="none"/>
          <w:lang w:val="en-US" w:eastAsia="zh-CN"/>
        </w:rPr>
        <w:t>房屋被征收人选择产权调换的，可以获得以下补偿：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楷体_GB2312" w:hAnsi="楷体_GB2312" w:eastAsia="楷体_GB2312" w:cs="楷体_GB2312"/>
          <w:color w:val="auto"/>
          <w:spacing w:val="0"/>
          <w:kern w:val="21"/>
          <w:sz w:val="32"/>
          <w:szCs w:val="32"/>
          <w:lang w:val="en-US" w:eastAsia="zh-CN"/>
        </w:rPr>
      </w:pPr>
      <w:r>
        <w:rPr>
          <w:rFonts w:hint="eastAsia" w:ascii="楷体_GB2312" w:hAnsi="楷体_GB2312" w:eastAsia="楷体_GB2312" w:cs="楷体_GB2312"/>
          <w:color w:val="auto"/>
          <w:spacing w:val="0"/>
          <w:kern w:val="21"/>
          <w:sz w:val="32"/>
          <w:szCs w:val="32"/>
          <w:lang w:val="en-US" w:eastAsia="zh-CN"/>
        </w:rPr>
        <w:t>（一）被征收人选择产权调换的，按被征收房屋的产权登记建筑面积1：1.2予以产权调换。</w:t>
      </w:r>
    </w:p>
    <w:p>
      <w:pPr>
        <w:keepNext w:val="0"/>
        <w:keepLines w:val="0"/>
        <w:pageBreakBefore w:val="0"/>
        <w:widowControl w:val="0"/>
        <w:tabs>
          <w:tab w:val="center" w:pos="4422"/>
        </w:tabs>
        <w:kinsoku/>
        <w:wordWrap/>
        <w:overflowPunct w:val="0"/>
        <w:topLinePunct w:val="0"/>
        <w:autoSpaceDE/>
        <w:autoSpaceDN/>
        <w:bidi w:val="0"/>
        <w:adjustRightInd/>
        <w:snapToGrid/>
        <w:spacing w:line="560" w:lineRule="exact"/>
        <w:ind w:firstLine="652" w:firstLineChars="200"/>
        <w:textAlignment w:val="auto"/>
        <w:outlineLvl w:val="3"/>
        <w:rPr>
          <w:rFonts w:hint="eastAsia" w:ascii="仿宋_GB2312" w:hAnsi="仿宋_GB2312" w:eastAsia="仿宋_GB2312" w:cs="仿宋_GB2312"/>
          <w:color w:val="auto"/>
          <w:spacing w:val="0"/>
          <w:kern w:val="21"/>
          <w:sz w:val="32"/>
          <w:szCs w:val="32"/>
          <w:highlight w:val="none"/>
          <w:lang w:val="en-US" w:eastAsia="zh-CN"/>
        </w:rPr>
      </w:pPr>
      <w:r>
        <w:rPr>
          <w:rFonts w:hint="eastAsia" w:ascii="仿宋_GB2312" w:hAnsi="仿宋_GB2312" w:eastAsia="仿宋_GB2312" w:cs="仿宋_GB2312"/>
          <w:color w:val="auto"/>
          <w:spacing w:val="0"/>
          <w:kern w:val="21"/>
          <w:sz w:val="32"/>
          <w:szCs w:val="32"/>
          <w:highlight w:val="none"/>
          <w:lang w:val="en-US" w:eastAsia="zh-CN"/>
        </w:rPr>
        <w:t>1.产权调换房屋位置</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none"/>
          <w:lang w:val="en-US" w:eastAsia="zh-CN"/>
        </w:rPr>
      </w:pPr>
      <w:r>
        <w:rPr>
          <w:rFonts w:hint="eastAsia" w:ascii="仿宋_GB2312" w:hAnsi="仿宋_GB2312" w:eastAsia="仿宋_GB2312" w:cs="仿宋_GB2312"/>
          <w:color w:val="auto"/>
          <w:spacing w:val="0"/>
          <w:kern w:val="21"/>
          <w:sz w:val="32"/>
          <w:szCs w:val="32"/>
          <w:highlight w:val="none"/>
          <w:lang w:val="en-US" w:eastAsia="zh-CN"/>
        </w:rPr>
        <w:t>本项目产权调换房屋有期房和现房两种类型，具体位置如下：</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none"/>
          <w:lang w:val="en-US" w:eastAsia="zh-CN"/>
        </w:rPr>
      </w:pPr>
      <w:r>
        <w:rPr>
          <w:rFonts w:hint="eastAsia" w:ascii="仿宋_GB2312" w:hAnsi="仿宋_GB2312" w:eastAsia="仿宋_GB2312" w:cs="仿宋_GB2312"/>
          <w:color w:val="auto"/>
          <w:spacing w:val="0"/>
          <w:kern w:val="21"/>
          <w:sz w:val="32"/>
          <w:szCs w:val="32"/>
          <w:highlight w:val="none"/>
          <w:lang w:val="en-US" w:eastAsia="zh-CN"/>
        </w:rPr>
        <w:t>（1）期房类型</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none"/>
          <w:lang w:val="en-US" w:eastAsia="zh-CN"/>
        </w:rPr>
      </w:pPr>
      <w:r>
        <w:rPr>
          <w:rFonts w:hint="eastAsia" w:ascii="仿宋_GB2312" w:hAnsi="仿宋_GB2312" w:eastAsia="仿宋_GB2312" w:cs="仿宋_GB2312"/>
          <w:color w:val="auto"/>
          <w:spacing w:val="0"/>
          <w:kern w:val="21"/>
          <w:sz w:val="32"/>
          <w:szCs w:val="32"/>
          <w:highlight w:val="none"/>
          <w:lang w:val="en-US" w:eastAsia="zh-CN"/>
        </w:rPr>
        <w:t>产权调换房屋类型为期房的，按原地回迁方式进行补偿，期房房屋位于本项目H123-0020、H123-0021宗地范围内，具体以最终规划位置为准。</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none"/>
          <w:lang w:val="en-US" w:eastAsia="zh-CN"/>
        </w:rPr>
      </w:pPr>
      <w:r>
        <w:rPr>
          <w:rFonts w:hint="eastAsia" w:ascii="仿宋_GB2312" w:hAnsi="仿宋_GB2312" w:eastAsia="仿宋_GB2312" w:cs="仿宋_GB2312"/>
          <w:color w:val="auto"/>
          <w:spacing w:val="0"/>
          <w:kern w:val="21"/>
          <w:sz w:val="32"/>
          <w:szCs w:val="32"/>
          <w:highlight w:val="none"/>
          <w:lang w:val="en-US" w:eastAsia="zh-CN"/>
        </w:rPr>
        <w:t>（2）现房类型</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none"/>
          <w:lang w:val="en-US" w:eastAsia="zh-CN"/>
        </w:rPr>
      </w:pPr>
      <w:r>
        <w:rPr>
          <w:rFonts w:hint="eastAsia" w:ascii="仿宋_GB2312" w:hAnsi="仿宋_GB2312" w:eastAsia="仿宋_GB2312" w:cs="仿宋_GB2312"/>
          <w:color w:val="auto"/>
          <w:spacing w:val="0"/>
          <w:kern w:val="21"/>
          <w:sz w:val="32"/>
          <w:szCs w:val="32"/>
          <w:highlight w:val="none"/>
          <w:lang w:val="en-US" w:eastAsia="zh-CN"/>
        </w:rPr>
        <w:t>产权调换房屋类型为现房的，现房房屋位于笋岗街道宝岗花园、南湖街道向西路向西花园、莲塘街道聚宝路191号、黄贝街道西岭花园。</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3"/>
        <w:rPr>
          <w:rFonts w:hint="eastAsia" w:ascii="仿宋_GB2312" w:hAnsi="仿宋_GB2312" w:eastAsia="仿宋_GB2312" w:cs="仿宋_GB2312"/>
          <w:color w:val="auto"/>
          <w:spacing w:val="0"/>
          <w:kern w:val="21"/>
          <w:sz w:val="32"/>
          <w:szCs w:val="32"/>
          <w:lang w:val="en-US" w:eastAsia="zh-CN"/>
        </w:rPr>
      </w:pPr>
      <w:r>
        <w:rPr>
          <w:rFonts w:hint="eastAsia" w:ascii="仿宋_GB2312" w:hAnsi="仿宋_GB2312" w:eastAsia="仿宋_GB2312" w:cs="仿宋_GB2312"/>
          <w:color w:val="auto"/>
          <w:spacing w:val="0"/>
          <w:kern w:val="21"/>
          <w:sz w:val="32"/>
          <w:szCs w:val="32"/>
          <w:lang w:val="en-US" w:eastAsia="zh-CN"/>
        </w:rPr>
        <w:t>2.产权调换原则</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val="en-US" w:eastAsia="zh-CN"/>
        </w:rPr>
      </w:pPr>
      <w:r>
        <w:rPr>
          <w:rFonts w:hint="eastAsia" w:ascii="仿宋_GB2312" w:hAnsi="仿宋_GB2312" w:eastAsia="仿宋_GB2312" w:cs="仿宋_GB2312"/>
          <w:color w:val="auto"/>
          <w:spacing w:val="0"/>
          <w:kern w:val="21"/>
          <w:sz w:val="32"/>
          <w:szCs w:val="32"/>
          <w:lang w:val="en-US" w:eastAsia="zh-CN"/>
        </w:rPr>
        <w:t>被征收房屋产权性质为市场商品房的，以商品性质期房或商品性质现房进行产权调换；被征收房屋产权性质为非商品性质住宅房屋的，以非商品性质期房或非商品性质现房进行产权调换，其所调换房屋的产权仍受相应限制。</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val="en-US" w:eastAsia="zh-CN"/>
        </w:rPr>
      </w:pPr>
      <w:r>
        <w:rPr>
          <w:rFonts w:hint="eastAsia" w:ascii="仿宋_GB2312" w:hAnsi="仿宋_GB2312" w:eastAsia="仿宋_GB2312" w:cs="仿宋_GB2312"/>
          <w:color w:val="auto"/>
          <w:spacing w:val="0"/>
          <w:kern w:val="21"/>
          <w:sz w:val="32"/>
          <w:szCs w:val="32"/>
          <w:lang w:val="en-US" w:eastAsia="zh-CN"/>
        </w:rPr>
        <w:t>被征收人选择产权调换的，一套房屋原则上调换一套房屋，选房总建筑面积与应补偿总建筑面积</w:t>
      </w:r>
      <w:r>
        <w:rPr>
          <w:rFonts w:hint="eastAsia" w:ascii="仿宋_GB2312" w:hAnsi="仿宋_GB2312" w:eastAsia="仿宋_GB2312" w:cs="仿宋_GB2312"/>
          <w:color w:val="auto"/>
          <w:spacing w:val="0"/>
          <w:kern w:val="21"/>
          <w:sz w:val="32"/>
          <w:szCs w:val="32"/>
          <w:highlight w:val="none"/>
          <w:lang w:val="en-US" w:eastAsia="zh-CN"/>
        </w:rPr>
        <w:t>相当。</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3"/>
        <w:rPr>
          <w:rFonts w:hint="eastAsia" w:ascii="仿宋_GB2312" w:hAnsi="仿宋_GB2312" w:eastAsia="仿宋_GB2312" w:cs="仿宋_GB2312"/>
          <w:color w:val="auto"/>
          <w:spacing w:val="0"/>
          <w:kern w:val="21"/>
          <w:sz w:val="32"/>
          <w:szCs w:val="32"/>
          <w:highlight w:val="none"/>
          <w:lang w:val="en-US" w:eastAsia="zh-CN"/>
        </w:rPr>
      </w:pPr>
      <w:r>
        <w:rPr>
          <w:rFonts w:hint="eastAsia" w:ascii="仿宋_GB2312" w:hAnsi="仿宋_GB2312" w:eastAsia="仿宋_GB2312" w:cs="仿宋_GB2312"/>
          <w:color w:val="auto"/>
          <w:spacing w:val="0"/>
          <w:kern w:val="21"/>
          <w:sz w:val="32"/>
          <w:szCs w:val="32"/>
          <w:lang w:val="en-US" w:eastAsia="zh-CN"/>
        </w:rPr>
        <w:t>3.被征收房屋与产权调换房屋之间的差价结算</w:t>
      </w:r>
      <w:r>
        <w:rPr>
          <w:rFonts w:hint="eastAsia" w:ascii="仿宋_GB2312" w:hAnsi="仿宋_GB2312" w:eastAsia="仿宋_GB2312" w:cs="仿宋_GB2312"/>
          <w:color w:val="auto"/>
          <w:spacing w:val="0"/>
          <w:kern w:val="21"/>
          <w:sz w:val="32"/>
          <w:szCs w:val="32"/>
          <w:highlight w:val="none"/>
          <w:lang w:val="en-US" w:eastAsia="zh-CN"/>
        </w:rPr>
        <w:t>规定</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red"/>
          <w:lang w:val="en-US" w:eastAsia="zh-CN"/>
        </w:rPr>
      </w:pPr>
      <w:r>
        <w:rPr>
          <w:rFonts w:hint="eastAsia" w:ascii="仿宋_GB2312" w:hAnsi="仿宋_GB2312" w:eastAsia="仿宋_GB2312" w:cs="仿宋_GB2312"/>
          <w:color w:val="auto"/>
          <w:spacing w:val="0"/>
          <w:kern w:val="21"/>
          <w:sz w:val="32"/>
          <w:szCs w:val="32"/>
          <w:lang w:val="en-US" w:eastAsia="zh-CN"/>
        </w:rPr>
        <w:t>产权调换房屋总建筑面积超过应补偿总建筑面积的，超出面积部分以产权调换房屋市场评估价结算差价；产权调换房屋总建筑面积小于应补偿总建筑面积的，差异面积部分以产权调换房屋市场评估价结算差价；被征收房屋市场评估价格高于产权调换房屋市场评估价格的，以市场评估价的差额结算差价。被征收房屋价格与产权调换房屋价格，由具有相应资质的房地产价格评估机构依法评估确定。</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4"/>
        <w:rPr>
          <w:rFonts w:hint="eastAsia" w:ascii="楷体_GB2312" w:hAnsi="楷体_GB2312" w:eastAsia="楷体_GB2312" w:cs="楷体_GB2312"/>
          <w:color w:val="auto"/>
          <w:spacing w:val="0"/>
          <w:kern w:val="21"/>
          <w:sz w:val="32"/>
          <w:szCs w:val="32"/>
          <w:lang w:val="en-US" w:eastAsia="zh-CN"/>
        </w:rPr>
      </w:pPr>
      <w:r>
        <w:rPr>
          <w:rFonts w:hint="eastAsia" w:ascii="楷体_GB2312" w:hAnsi="楷体_GB2312" w:eastAsia="楷体_GB2312" w:cs="楷体_GB2312"/>
          <w:color w:val="auto"/>
          <w:spacing w:val="0"/>
          <w:kern w:val="21"/>
          <w:sz w:val="32"/>
          <w:szCs w:val="32"/>
          <w:lang w:val="en-US" w:eastAsia="zh-CN"/>
        </w:rPr>
        <w:t>（二）室内自行装修装饰费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val="en-US" w:eastAsia="zh-CN"/>
        </w:rPr>
      </w:pPr>
      <w:r>
        <w:rPr>
          <w:rFonts w:hint="eastAsia" w:ascii="仿宋_GB2312" w:hAnsi="仿宋_GB2312" w:eastAsia="仿宋_GB2312" w:cs="仿宋_GB2312"/>
          <w:color w:val="auto"/>
          <w:spacing w:val="0"/>
          <w:kern w:val="21"/>
          <w:sz w:val="32"/>
          <w:szCs w:val="32"/>
          <w:lang w:val="en-US" w:eastAsia="zh-CN"/>
        </w:rPr>
        <w:t>1.被征收房屋室内自行装修装饰按建筑面积计算，按1000元/平方米的标准进行补偿，被征收人有异议的，被征收人提出评估申请后，按照评估确定的重置成新价给予补偿，无论评估结果高于或低于1000元/平方米，均以评估结果为标准进行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val="en-US" w:eastAsia="zh-CN"/>
        </w:rPr>
      </w:pPr>
      <w:r>
        <w:rPr>
          <w:rFonts w:hint="eastAsia" w:ascii="仿宋_GB2312" w:hAnsi="仿宋_GB2312" w:eastAsia="仿宋_GB2312" w:cs="仿宋_GB2312"/>
          <w:color w:val="auto"/>
          <w:spacing w:val="0"/>
          <w:kern w:val="21"/>
          <w:sz w:val="32"/>
          <w:szCs w:val="32"/>
          <w:lang w:val="en-US" w:eastAsia="zh-CN"/>
        </w:rPr>
        <w:t>2.室内装修装饰由承租人投资的，出租人与承租人无约定或者不能达成协议的，房屋征收部门应当向出租人支付装修装饰补偿费；出租人与承租人有约定或者达成协议的，按约定或者达成的协议处理。</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4"/>
        <w:rPr>
          <w:rFonts w:hint="eastAsia" w:ascii="楷体_GB2312" w:hAnsi="楷体_GB2312" w:eastAsia="楷体_GB2312" w:cs="楷体_GB2312"/>
          <w:color w:val="auto"/>
          <w:spacing w:val="0"/>
          <w:kern w:val="21"/>
          <w:sz w:val="32"/>
          <w:szCs w:val="32"/>
          <w:lang w:val="en-US" w:eastAsia="zh-CN"/>
        </w:rPr>
      </w:pPr>
      <w:r>
        <w:rPr>
          <w:rFonts w:hint="eastAsia" w:ascii="楷体_GB2312" w:hAnsi="楷体_GB2312" w:eastAsia="楷体_GB2312" w:cs="楷体_GB2312"/>
          <w:color w:val="auto"/>
          <w:spacing w:val="0"/>
          <w:kern w:val="21"/>
          <w:sz w:val="32"/>
          <w:szCs w:val="32"/>
          <w:lang w:val="en-US" w:eastAsia="zh-CN"/>
        </w:rPr>
        <w:t>（三）搬迁费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val="en-US" w:eastAsia="zh-CN"/>
        </w:rPr>
      </w:pPr>
      <w:r>
        <w:rPr>
          <w:rFonts w:hint="eastAsia" w:ascii="仿宋_GB2312" w:hAnsi="仿宋_GB2312" w:eastAsia="仿宋_GB2312" w:cs="仿宋_GB2312"/>
          <w:color w:val="auto"/>
          <w:spacing w:val="0"/>
          <w:kern w:val="21"/>
          <w:sz w:val="32"/>
          <w:szCs w:val="32"/>
          <w:lang w:val="en-US" w:eastAsia="zh-CN"/>
        </w:rPr>
        <w:t>1.选择产权调换的住宅房屋，以被征收房屋的建筑面积为计算依据，按40元/平方米/次标准计算，</w:t>
      </w:r>
      <w:r>
        <w:rPr>
          <w:rFonts w:hint="eastAsia" w:ascii="仿宋_GB2312" w:hAnsi="仿宋_GB2312" w:eastAsia="仿宋_GB2312" w:cs="仿宋_GB2312"/>
          <w:color w:val="auto"/>
          <w:spacing w:val="0"/>
          <w:kern w:val="21"/>
          <w:sz w:val="32"/>
          <w:szCs w:val="32"/>
        </w:rPr>
        <w:t>给予</w:t>
      </w:r>
      <w:r>
        <w:rPr>
          <w:rFonts w:hint="eastAsia" w:ascii="仿宋_GB2312" w:hAnsi="仿宋_GB2312" w:eastAsia="仿宋_GB2312" w:cs="仿宋_GB2312"/>
          <w:color w:val="auto"/>
          <w:spacing w:val="0"/>
          <w:kern w:val="21"/>
          <w:sz w:val="32"/>
          <w:szCs w:val="32"/>
          <w:lang w:val="en-US" w:eastAsia="zh-CN"/>
        </w:rPr>
        <w:t>被征收人</w:t>
      </w:r>
      <w:r>
        <w:rPr>
          <w:rFonts w:hint="eastAsia" w:ascii="仿宋_GB2312" w:hAnsi="仿宋_GB2312" w:eastAsia="仿宋_GB2312" w:cs="仿宋_GB2312"/>
          <w:color w:val="auto"/>
          <w:spacing w:val="0"/>
          <w:kern w:val="21"/>
          <w:sz w:val="32"/>
          <w:szCs w:val="32"/>
        </w:rPr>
        <w:t>二次搬迁费用</w:t>
      </w:r>
      <w:r>
        <w:rPr>
          <w:rFonts w:hint="eastAsia" w:ascii="仿宋_GB2312" w:hAnsi="仿宋_GB2312" w:eastAsia="仿宋_GB2312" w:cs="仿宋_GB2312"/>
          <w:color w:val="auto"/>
          <w:spacing w:val="0"/>
          <w:kern w:val="21"/>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val="en-US" w:eastAsia="zh-CN"/>
        </w:rPr>
      </w:pPr>
      <w:r>
        <w:rPr>
          <w:rFonts w:hint="eastAsia" w:ascii="仿宋_GB2312" w:hAnsi="仿宋_GB2312" w:eastAsia="仿宋_GB2312" w:cs="仿宋_GB2312"/>
          <w:color w:val="auto"/>
          <w:spacing w:val="0"/>
          <w:kern w:val="21"/>
          <w:sz w:val="32"/>
          <w:szCs w:val="32"/>
          <w:lang w:val="en-US" w:eastAsia="zh-CN"/>
        </w:rPr>
        <w:t>2.</w:t>
      </w:r>
      <w:r>
        <w:rPr>
          <w:rFonts w:hint="eastAsia" w:ascii="仿宋_GB2312" w:hAnsi="仿宋_GB2312" w:eastAsia="仿宋_GB2312" w:cs="仿宋_GB2312"/>
          <w:color w:val="auto"/>
          <w:spacing w:val="0"/>
          <w:kern w:val="21"/>
          <w:sz w:val="32"/>
          <w:szCs w:val="32"/>
          <w:lang w:eastAsia="zh-CN"/>
        </w:rPr>
        <w:t>被征收人不同意参照搬迁费标准的，可以委托具备法定资质的评估机构对须搬迁的生活用品、办公用品、机器设备和库存产品的搬迁费用进行评估。不能搬迁或者拆除后无法恢复使用的，按评估确定的重置成新价给予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4"/>
        <w:rPr>
          <w:rFonts w:hint="eastAsia" w:ascii="楷体_GB2312" w:hAnsi="楷体_GB2312" w:eastAsia="楷体_GB2312" w:cs="楷体_GB2312"/>
          <w:color w:val="auto"/>
          <w:spacing w:val="0"/>
          <w:kern w:val="21"/>
          <w:sz w:val="32"/>
          <w:szCs w:val="32"/>
          <w:lang w:val="en-US" w:eastAsia="zh-CN"/>
        </w:rPr>
      </w:pPr>
      <w:r>
        <w:rPr>
          <w:rFonts w:hint="eastAsia" w:ascii="楷体_GB2312" w:hAnsi="楷体_GB2312" w:eastAsia="楷体_GB2312" w:cs="楷体_GB2312"/>
          <w:color w:val="auto"/>
          <w:spacing w:val="0"/>
          <w:kern w:val="21"/>
          <w:sz w:val="32"/>
          <w:szCs w:val="32"/>
          <w:lang w:val="en-US" w:eastAsia="zh-CN"/>
        </w:rPr>
        <w:t>（四）临时安置费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none"/>
          <w:lang w:val="en-US" w:eastAsia="zh-CN"/>
        </w:rPr>
      </w:pPr>
      <w:r>
        <w:rPr>
          <w:rFonts w:hint="eastAsia" w:ascii="仿宋_GB2312" w:hAnsi="仿宋_GB2312" w:eastAsia="仿宋_GB2312" w:cs="仿宋_GB2312"/>
          <w:color w:val="auto"/>
          <w:spacing w:val="0"/>
          <w:kern w:val="21"/>
          <w:sz w:val="32"/>
          <w:szCs w:val="32"/>
          <w:highlight w:val="none"/>
          <w:lang w:eastAsia="zh-CN"/>
        </w:rPr>
        <w:t>以被征收房屋的建筑面积为计算依据，按80元/平方米</w:t>
      </w:r>
      <w:r>
        <w:rPr>
          <w:rFonts w:hint="eastAsia" w:ascii="方正仿宋_GBK" w:hAnsi="方正仿宋_GBK" w:eastAsia="方正仿宋_GBK" w:cs="方正仿宋_GBK"/>
          <w:color w:val="auto"/>
          <w:spacing w:val="0"/>
          <w:kern w:val="21"/>
          <w:sz w:val="32"/>
          <w:szCs w:val="32"/>
          <w:highlight w:val="none"/>
          <w:lang w:eastAsia="zh-CN"/>
        </w:rPr>
        <w:t>·</w:t>
      </w:r>
      <w:r>
        <w:rPr>
          <w:rFonts w:hint="eastAsia" w:ascii="仿宋_GB2312" w:hAnsi="仿宋_GB2312" w:eastAsia="仿宋_GB2312" w:cs="仿宋_GB2312"/>
          <w:color w:val="auto"/>
          <w:spacing w:val="0"/>
          <w:kern w:val="21"/>
          <w:sz w:val="32"/>
          <w:szCs w:val="32"/>
          <w:highlight w:val="none"/>
          <w:lang w:eastAsia="zh-CN"/>
        </w:rPr>
        <w:t>月的标准给予补偿。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val="en-US" w:eastAsia="zh-CN"/>
        </w:rPr>
        <w:t>1.</w:t>
      </w:r>
      <w:r>
        <w:rPr>
          <w:rFonts w:hint="eastAsia" w:ascii="仿宋_GB2312" w:hAnsi="仿宋_GB2312" w:eastAsia="仿宋_GB2312" w:cs="仿宋_GB2312"/>
          <w:color w:val="auto"/>
          <w:spacing w:val="0"/>
          <w:kern w:val="21"/>
          <w:sz w:val="32"/>
          <w:szCs w:val="32"/>
          <w:lang w:eastAsia="zh-CN"/>
        </w:rPr>
        <w:t>由被征收人自行安排住处临时过渡，临时安置费计算期限自被征收人按期搬出被征收房屋，并将房屋及房地产权证书、委托书等产权注销所需相关资料移交房屋征收部门之日起（至当月底满15天按一个月计；不满15天按半个月计）至产权调换房屋交付使用之日止，另增加三个月的装修期临时安置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yellow"/>
          <w:lang w:eastAsia="zh-CN"/>
        </w:rPr>
      </w:pPr>
      <w:r>
        <w:rPr>
          <w:rFonts w:hint="eastAsia" w:ascii="仿宋_GB2312" w:hAnsi="仿宋_GB2312" w:eastAsia="仿宋_GB2312" w:cs="仿宋_GB2312"/>
          <w:color w:val="auto"/>
          <w:spacing w:val="0"/>
          <w:kern w:val="21"/>
          <w:sz w:val="32"/>
          <w:szCs w:val="32"/>
          <w:lang w:val="en-US" w:eastAsia="zh-CN"/>
        </w:rPr>
        <w:t>2.</w:t>
      </w:r>
      <w:r>
        <w:rPr>
          <w:rFonts w:hint="eastAsia" w:ascii="仿宋_GB2312" w:hAnsi="仿宋_GB2312" w:eastAsia="仿宋_GB2312" w:cs="仿宋_GB2312"/>
          <w:color w:val="auto"/>
          <w:spacing w:val="0"/>
          <w:kern w:val="21"/>
          <w:sz w:val="32"/>
          <w:szCs w:val="32"/>
          <w:lang w:eastAsia="zh-CN"/>
        </w:rPr>
        <w:t>因征收人的责任，延长过渡期限的，应当自逾期之月起增发临时安置费，逾期1至3个月时按最初逾期前一个月的临时安置费标准增发50%，逾期4至8个月时按最初逾期前一个月的临时安置费标准增发70%，逾期9个月以上时按最初逾期前一个月的临时安置费标准增发100%。</w:t>
      </w:r>
      <w:r>
        <w:rPr>
          <w:rFonts w:hint="eastAsia" w:ascii="仿宋_GB2312" w:hAnsi="仿宋_GB2312" w:eastAsia="仿宋_GB2312" w:cs="仿宋_GB2312"/>
          <w:color w:val="auto"/>
          <w:spacing w:val="0"/>
          <w:kern w:val="21"/>
          <w:sz w:val="32"/>
          <w:szCs w:val="32"/>
          <w:highlight w:val="none"/>
          <w:lang w:eastAsia="zh-CN"/>
        </w:rPr>
        <w:t>过渡期限从本项目建筑主体工程取得《建筑工程施工许可证》之日起按照36个月计算。</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4"/>
        <w:rPr>
          <w:rFonts w:hint="eastAsia" w:ascii="楷体_GB2312" w:hAnsi="楷体_GB2312" w:eastAsia="楷体_GB2312" w:cs="楷体_GB2312"/>
          <w:color w:val="auto"/>
          <w:spacing w:val="0"/>
          <w:kern w:val="21"/>
          <w:sz w:val="32"/>
          <w:szCs w:val="32"/>
          <w:lang w:eastAsia="zh-CN"/>
        </w:rPr>
      </w:pP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color w:val="auto"/>
          <w:spacing w:val="0"/>
          <w:kern w:val="21"/>
          <w:sz w:val="32"/>
          <w:szCs w:val="32"/>
          <w:lang w:val="en-US" w:eastAsia="zh-CN"/>
        </w:rPr>
        <w:t>五</w:t>
      </w:r>
      <w:r>
        <w:rPr>
          <w:rFonts w:hint="eastAsia" w:ascii="楷体_GB2312" w:hAnsi="楷体_GB2312" w:eastAsia="楷体_GB2312" w:cs="楷体_GB2312"/>
          <w:color w:val="auto"/>
          <w:spacing w:val="0"/>
          <w:kern w:val="21"/>
          <w:sz w:val="32"/>
          <w:szCs w:val="32"/>
          <w:lang w:eastAsia="zh-CN"/>
        </w:rPr>
        <w:t>）停产、停业补偿费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rPr>
      </w:pPr>
      <w:r>
        <w:rPr>
          <w:rFonts w:hint="eastAsia" w:ascii="仿宋_GB2312" w:hAnsi="仿宋_GB2312" w:eastAsia="仿宋_GB2312" w:cs="仿宋_GB2312"/>
          <w:color w:val="auto"/>
          <w:spacing w:val="0"/>
          <w:kern w:val="21"/>
          <w:sz w:val="32"/>
          <w:szCs w:val="32"/>
        </w:rPr>
        <w:t>经房屋</w:t>
      </w:r>
      <w:r>
        <w:rPr>
          <w:rFonts w:hint="eastAsia" w:ascii="仿宋_GB2312" w:hAnsi="仿宋_GB2312" w:eastAsia="仿宋_GB2312" w:cs="仿宋_GB2312"/>
          <w:color w:val="auto"/>
          <w:spacing w:val="0"/>
          <w:kern w:val="21"/>
          <w:sz w:val="32"/>
          <w:szCs w:val="32"/>
          <w:lang w:eastAsia="zh-CN"/>
        </w:rPr>
        <w:t>征收</w:t>
      </w:r>
      <w:r>
        <w:rPr>
          <w:rFonts w:hint="eastAsia" w:ascii="仿宋_GB2312" w:hAnsi="仿宋_GB2312" w:eastAsia="仿宋_GB2312" w:cs="仿宋_GB2312"/>
          <w:color w:val="auto"/>
          <w:spacing w:val="0"/>
          <w:kern w:val="21"/>
          <w:sz w:val="32"/>
          <w:szCs w:val="32"/>
        </w:rPr>
        <w:t>部门核实，因</w:t>
      </w:r>
      <w:r>
        <w:rPr>
          <w:rFonts w:hint="eastAsia" w:ascii="仿宋_GB2312" w:hAnsi="仿宋_GB2312" w:eastAsia="仿宋_GB2312" w:cs="仿宋_GB2312"/>
          <w:color w:val="auto"/>
          <w:spacing w:val="0"/>
          <w:kern w:val="21"/>
          <w:sz w:val="32"/>
          <w:szCs w:val="32"/>
          <w:lang w:eastAsia="zh-CN"/>
        </w:rPr>
        <w:t>征收</w:t>
      </w:r>
      <w:r>
        <w:rPr>
          <w:rFonts w:hint="eastAsia" w:ascii="仿宋_GB2312" w:hAnsi="仿宋_GB2312" w:eastAsia="仿宋_GB2312" w:cs="仿宋_GB2312"/>
          <w:color w:val="auto"/>
          <w:spacing w:val="0"/>
          <w:kern w:val="21"/>
          <w:sz w:val="32"/>
          <w:szCs w:val="32"/>
        </w:rPr>
        <w:t>引起停产停业</w:t>
      </w:r>
      <w:r>
        <w:rPr>
          <w:rFonts w:hint="eastAsia" w:ascii="仿宋_GB2312" w:hAnsi="仿宋_GB2312" w:eastAsia="仿宋_GB2312" w:cs="仿宋_GB2312"/>
          <w:color w:val="auto"/>
          <w:spacing w:val="0"/>
          <w:kern w:val="21"/>
          <w:sz w:val="32"/>
          <w:szCs w:val="32"/>
          <w:highlight w:val="none"/>
        </w:rPr>
        <w:t>的，能提供与</w:t>
      </w:r>
      <w:r>
        <w:rPr>
          <w:rFonts w:hint="eastAsia" w:ascii="仿宋_GB2312" w:hAnsi="仿宋_GB2312" w:eastAsia="仿宋_GB2312" w:cs="仿宋_GB2312"/>
          <w:color w:val="auto"/>
          <w:spacing w:val="0"/>
          <w:kern w:val="21"/>
          <w:sz w:val="32"/>
          <w:szCs w:val="32"/>
          <w:highlight w:val="none"/>
          <w:lang w:eastAsia="zh-CN"/>
        </w:rPr>
        <w:t>征收提示公告之日</w:t>
      </w:r>
      <w:r>
        <w:rPr>
          <w:rFonts w:hint="eastAsia" w:ascii="仿宋_GB2312" w:hAnsi="仿宋_GB2312" w:eastAsia="仿宋_GB2312" w:cs="仿宋_GB2312"/>
          <w:color w:val="auto"/>
          <w:spacing w:val="0"/>
          <w:kern w:val="21"/>
          <w:sz w:val="32"/>
          <w:szCs w:val="32"/>
          <w:highlight w:val="none"/>
        </w:rPr>
        <w:t>间隔3个月以上时间有登记、备</w:t>
      </w:r>
      <w:r>
        <w:rPr>
          <w:rFonts w:hint="eastAsia" w:ascii="仿宋_GB2312" w:hAnsi="仿宋_GB2312" w:eastAsia="仿宋_GB2312" w:cs="仿宋_GB2312"/>
          <w:color w:val="auto"/>
          <w:spacing w:val="0"/>
          <w:kern w:val="21"/>
          <w:sz w:val="32"/>
          <w:szCs w:val="32"/>
        </w:rPr>
        <w:t>案凭证的房屋租赁合同的住宅房屋，按同类房屋市场租金给予6个月的一次性租赁经营损失补偿。无登记、备案凭证</w:t>
      </w:r>
      <w:r>
        <w:rPr>
          <w:rFonts w:hint="eastAsia" w:ascii="仿宋_GB2312" w:hAnsi="仿宋_GB2312" w:eastAsia="仿宋_GB2312" w:cs="仿宋_GB2312"/>
          <w:color w:val="auto"/>
          <w:spacing w:val="0"/>
          <w:kern w:val="21"/>
          <w:sz w:val="32"/>
          <w:szCs w:val="32"/>
          <w:highlight w:val="none"/>
        </w:rPr>
        <w:t>的房屋租赁合同</w:t>
      </w:r>
      <w:r>
        <w:rPr>
          <w:rFonts w:hint="eastAsia" w:ascii="仿宋_GB2312" w:hAnsi="仿宋_GB2312" w:eastAsia="仿宋_GB2312" w:cs="仿宋_GB2312"/>
          <w:color w:val="auto"/>
          <w:spacing w:val="0"/>
          <w:kern w:val="21"/>
          <w:sz w:val="32"/>
          <w:szCs w:val="32"/>
          <w:highlight w:val="none"/>
          <w:lang w:val="en-US" w:eastAsia="zh-CN"/>
        </w:rPr>
        <w:t>的</w:t>
      </w:r>
      <w:r>
        <w:rPr>
          <w:rFonts w:hint="eastAsia" w:ascii="仿宋_GB2312" w:hAnsi="仿宋_GB2312" w:eastAsia="仿宋_GB2312" w:cs="仿宋_GB2312"/>
          <w:color w:val="auto"/>
          <w:spacing w:val="0"/>
          <w:kern w:val="21"/>
          <w:sz w:val="32"/>
          <w:szCs w:val="32"/>
        </w:rPr>
        <w:t>出租住宅房屋，不给予租赁经营损失补偿。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4"/>
        <w:rPr>
          <w:rFonts w:hint="eastAsia" w:ascii="楷体_GB2312" w:hAnsi="楷体_GB2312" w:eastAsia="楷体_GB2312" w:cs="楷体_GB2312"/>
          <w:color w:val="auto"/>
          <w:spacing w:val="0"/>
          <w:kern w:val="21"/>
          <w:sz w:val="32"/>
          <w:szCs w:val="32"/>
          <w:lang w:eastAsia="zh-CN"/>
        </w:rPr>
      </w:pP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color w:val="auto"/>
          <w:spacing w:val="0"/>
          <w:kern w:val="21"/>
          <w:sz w:val="32"/>
          <w:szCs w:val="32"/>
          <w:lang w:val="en-US" w:eastAsia="zh-CN"/>
        </w:rPr>
        <w:t>六</w:t>
      </w:r>
      <w:r>
        <w:rPr>
          <w:rFonts w:hint="eastAsia" w:ascii="楷体_GB2312" w:hAnsi="楷体_GB2312" w:eastAsia="楷体_GB2312" w:cs="楷体_GB2312"/>
          <w:color w:val="auto"/>
          <w:spacing w:val="0"/>
          <w:kern w:val="21"/>
          <w:sz w:val="32"/>
          <w:szCs w:val="32"/>
          <w:lang w:eastAsia="zh-CN"/>
        </w:rPr>
        <w:t>）擅自改为经营性用途的适当补偿费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征收产权性质为非经营性用途或者工业用途房屋，未经规划国土部门批准擅自改为经营性用途，但已依法取得营业执照的，除按照原用途予以补偿外的适当补偿标准：</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val="en-US" w:eastAsia="zh-CN"/>
        </w:rPr>
        <w:t>1.</w:t>
      </w:r>
      <w:r>
        <w:rPr>
          <w:rFonts w:hint="eastAsia" w:ascii="仿宋_GB2312" w:hAnsi="仿宋_GB2312" w:eastAsia="仿宋_GB2312" w:cs="仿宋_GB2312"/>
          <w:color w:val="auto"/>
          <w:spacing w:val="0"/>
          <w:kern w:val="21"/>
          <w:sz w:val="32"/>
          <w:szCs w:val="32"/>
          <w:lang w:eastAsia="zh-CN"/>
        </w:rPr>
        <w:t>能提供与</w:t>
      </w:r>
      <w:r>
        <w:rPr>
          <w:rFonts w:hint="eastAsia" w:ascii="仿宋_GB2312" w:hAnsi="仿宋_GB2312" w:eastAsia="仿宋_GB2312" w:cs="仿宋_GB2312"/>
          <w:color w:val="auto"/>
          <w:spacing w:val="0"/>
          <w:kern w:val="21"/>
          <w:sz w:val="32"/>
          <w:szCs w:val="32"/>
          <w:highlight w:val="none"/>
          <w:lang w:eastAsia="zh-CN"/>
        </w:rPr>
        <w:t>征收提示公告之日</w:t>
      </w:r>
      <w:r>
        <w:rPr>
          <w:rFonts w:hint="eastAsia" w:ascii="仿宋_GB2312" w:hAnsi="仿宋_GB2312" w:eastAsia="仿宋_GB2312" w:cs="仿宋_GB2312"/>
          <w:color w:val="auto"/>
          <w:spacing w:val="0"/>
          <w:kern w:val="21"/>
          <w:sz w:val="32"/>
          <w:szCs w:val="32"/>
          <w:lang w:eastAsia="zh-CN"/>
        </w:rPr>
        <w:t>间隔3年以上的工商营业执照的，补偿：（现经营性用途房屋租赁市场租金—原用途房屋租赁市场租金）×擅改部分建筑面积×36月（即3年）。</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rPr>
      </w:pPr>
      <w:r>
        <w:rPr>
          <w:rFonts w:hint="eastAsia" w:ascii="仿宋_GB2312" w:hAnsi="仿宋_GB2312" w:eastAsia="仿宋_GB2312" w:cs="仿宋_GB2312"/>
          <w:color w:val="auto"/>
          <w:spacing w:val="0"/>
          <w:kern w:val="21"/>
          <w:sz w:val="32"/>
          <w:szCs w:val="32"/>
          <w:lang w:val="en-US" w:eastAsia="zh-CN"/>
        </w:rPr>
        <w:t>2.</w:t>
      </w:r>
      <w:r>
        <w:rPr>
          <w:rFonts w:hint="eastAsia" w:ascii="仿宋_GB2312" w:hAnsi="仿宋_GB2312" w:eastAsia="仿宋_GB2312" w:cs="仿宋_GB2312"/>
          <w:color w:val="auto"/>
          <w:spacing w:val="0"/>
          <w:kern w:val="21"/>
          <w:sz w:val="32"/>
          <w:szCs w:val="32"/>
          <w:lang w:eastAsia="zh-CN"/>
        </w:rPr>
        <w:t>能提供与</w:t>
      </w:r>
      <w:r>
        <w:rPr>
          <w:rFonts w:hint="eastAsia" w:ascii="仿宋_GB2312" w:hAnsi="仿宋_GB2312" w:eastAsia="仿宋_GB2312" w:cs="仿宋_GB2312"/>
          <w:color w:val="auto"/>
          <w:spacing w:val="0"/>
          <w:kern w:val="21"/>
          <w:sz w:val="32"/>
          <w:szCs w:val="32"/>
          <w:highlight w:val="none"/>
          <w:lang w:eastAsia="zh-CN"/>
        </w:rPr>
        <w:t>征收提示公告之日</w:t>
      </w:r>
      <w:r>
        <w:rPr>
          <w:rFonts w:hint="eastAsia" w:ascii="仿宋_GB2312" w:hAnsi="仿宋_GB2312" w:eastAsia="仿宋_GB2312" w:cs="仿宋_GB2312"/>
          <w:color w:val="auto"/>
          <w:spacing w:val="0"/>
          <w:kern w:val="21"/>
          <w:sz w:val="32"/>
          <w:szCs w:val="32"/>
          <w:lang w:eastAsia="zh-CN"/>
        </w:rPr>
        <w:t>间隔不到3年的工商营业执照的，补偿：（现经营性用途房屋租赁市场租金—原用途房屋租赁市场租金）×擅改部分建筑面积×间隔月份（不足1个月的按1个月计算）。</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rPr>
      </w:pPr>
      <w:r>
        <w:rPr>
          <w:rFonts w:hint="eastAsia" w:ascii="黑体" w:hAnsi="黑体" w:eastAsia="黑体" w:cs="黑体"/>
          <w:b w:val="0"/>
          <w:bCs w:val="0"/>
          <w:color w:val="auto"/>
          <w:spacing w:val="0"/>
          <w:kern w:val="21"/>
          <w:sz w:val="32"/>
          <w:szCs w:val="32"/>
        </w:rPr>
        <w:t>第十</w:t>
      </w:r>
      <w:r>
        <w:rPr>
          <w:rFonts w:hint="eastAsia" w:ascii="黑体" w:hAnsi="黑体" w:eastAsia="黑体" w:cs="黑体"/>
          <w:b w:val="0"/>
          <w:bCs w:val="0"/>
          <w:color w:val="auto"/>
          <w:spacing w:val="0"/>
          <w:kern w:val="21"/>
          <w:sz w:val="32"/>
          <w:szCs w:val="32"/>
          <w:lang w:val="en-US" w:eastAsia="zh-CN"/>
        </w:rPr>
        <w:t>一</w:t>
      </w:r>
      <w:r>
        <w:rPr>
          <w:rFonts w:hint="eastAsia" w:ascii="黑体" w:hAnsi="黑体" w:eastAsia="黑体" w:cs="黑体"/>
          <w:b w:val="0"/>
          <w:bCs w:val="0"/>
          <w:color w:val="auto"/>
          <w:spacing w:val="0"/>
          <w:kern w:val="21"/>
          <w:sz w:val="32"/>
          <w:szCs w:val="32"/>
        </w:rPr>
        <w:t>条【货币补偿】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b w:val="0"/>
          <w:bCs w:val="0"/>
          <w:color w:val="auto"/>
          <w:spacing w:val="0"/>
          <w:kern w:val="21"/>
          <w:sz w:val="32"/>
          <w:szCs w:val="32"/>
          <w:lang w:val="en-US" w:eastAsia="zh-CN"/>
        </w:rPr>
      </w:pPr>
      <w:r>
        <w:rPr>
          <w:rFonts w:hint="eastAsia" w:ascii="仿宋_GB2312" w:hAnsi="仿宋_GB2312" w:eastAsia="仿宋_GB2312" w:cs="仿宋_GB2312"/>
          <w:b w:val="0"/>
          <w:bCs w:val="0"/>
          <w:color w:val="auto"/>
          <w:spacing w:val="0"/>
          <w:kern w:val="21"/>
          <w:sz w:val="32"/>
          <w:szCs w:val="32"/>
          <w:lang w:val="en-US" w:eastAsia="zh-CN"/>
        </w:rPr>
        <w:t>被征收人选择货币补偿的，可以获得以下补偿：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9"/>
        <w:rPr>
          <w:rFonts w:hint="eastAsia" w:ascii="楷体_GB2312" w:hAnsi="楷体_GB2312" w:eastAsia="楷体_GB2312" w:cs="楷体_GB2312"/>
          <w:b w:val="0"/>
          <w:bCs w:val="0"/>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lang w:val="en-US" w:eastAsia="zh-CN"/>
        </w:rPr>
        <w:t>（一）H123-0020宗地涉及的房屋等</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3"/>
        <w:rPr>
          <w:rFonts w:hint="eastAsia" w:ascii="仿宋_GB2312" w:hAnsi="仿宋_GB2312" w:eastAsia="仿宋_GB2312" w:cs="仿宋_GB2312"/>
          <w:b w:val="0"/>
          <w:bCs w:val="0"/>
          <w:color w:val="auto"/>
          <w:spacing w:val="0"/>
          <w:kern w:val="21"/>
          <w:sz w:val="32"/>
          <w:szCs w:val="32"/>
          <w:lang w:eastAsia="zh-CN"/>
        </w:rPr>
      </w:pPr>
      <w:r>
        <w:rPr>
          <w:rFonts w:hint="eastAsia" w:ascii="仿宋_GB2312" w:hAnsi="仿宋_GB2312" w:eastAsia="仿宋_GB2312" w:cs="仿宋_GB2312"/>
          <w:b w:val="0"/>
          <w:bCs w:val="0"/>
          <w:color w:val="auto"/>
          <w:spacing w:val="0"/>
          <w:kern w:val="21"/>
          <w:sz w:val="32"/>
          <w:szCs w:val="32"/>
          <w:lang w:val="en-US" w:eastAsia="zh-CN"/>
        </w:rPr>
        <w:t>1.</w:t>
      </w:r>
      <w:r>
        <w:rPr>
          <w:rFonts w:hint="eastAsia" w:ascii="仿宋_GB2312" w:hAnsi="仿宋_GB2312" w:eastAsia="仿宋_GB2312" w:cs="仿宋_GB2312"/>
          <w:b w:val="0"/>
          <w:bCs w:val="0"/>
          <w:color w:val="auto"/>
          <w:spacing w:val="0"/>
          <w:kern w:val="21"/>
          <w:sz w:val="32"/>
          <w:szCs w:val="32"/>
          <w:lang w:eastAsia="zh-CN"/>
        </w:rPr>
        <w:t>土地开发费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none"/>
          <w:lang w:eastAsia="zh-CN"/>
        </w:rPr>
      </w:pPr>
      <w:r>
        <w:rPr>
          <w:rFonts w:hint="eastAsia" w:ascii="仿宋_GB2312" w:hAnsi="仿宋_GB2312" w:eastAsia="仿宋_GB2312" w:cs="仿宋_GB2312"/>
          <w:color w:val="auto"/>
          <w:spacing w:val="0"/>
          <w:kern w:val="21"/>
          <w:sz w:val="32"/>
          <w:szCs w:val="32"/>
          <w:highlight w:val="none"/>
          <w:lang w:eastAsia="zh-CN"/>
        </w:rPr>
        <w:t>由用地单位自行支付征地拆迁补偿费用且自行平整的土地，参照《深圳市宗地地价测算规则（试行）（深规土〔2013〕12号）》相关规定，土地开发费按120元</w:t>
      </w:r>
      <w:r>
        <w:rPr>
          <w:rFonts w:hint="eastAsia" w:ascii="仿宋_GB2312" w:hAnsi="仿宋_GB2312" w:eastAsia="仿宋_GB2312" w:cs="仿宋_GB2312"/>
          <w:color w:val="auto"/>
          <w:spacing w:val="0"/>
          <w:kern w:val="21"/>
          <w:sz w:val="32"/>
          <w:szCs w:val="32"/>
          <w:highlight w:val="none"/>
          <w:lang w:val="en-US" w:eastAsia="zh-CN"/>
        </w:rPr>
        <w:t>/平方米进行补偿</w:t>
      </w:r>
      <w:r>
        <w:rPr>
          <w:rFonts w:hint="eastAsia" w:ascii="仿宋_GB2312" w:hAnsi="仿宋_GB2312" w:eastAsia="仿宋_GB2312" w:cs="仿宋_GB2312"/>
          <w:color w:val="auto"/>
          <w:spacing w:val="0"/>
          <w:kern w:val="21"/>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3"/>
        <w:rPr>
          <w:rFonts w:hint="eastAsia" w:ascii="仿宋_GB2312" w:hAnsi="仿宋_GB2312" w:eastAsia="仿宋_GB2312" w:cs="仿宋_GB2312"/>
          <w:b w:val="0"/>
          <w:bCs w:val="0"/>
          <w:color w:val="auto"/>
          <w:spacing w:val="0"/>
          <w:kern w:val="21"/>
          <w:sz w:val="32"/>
          <w:szCs w:val="32"/>
          <w:lang w:val="en-US" w:eastAsia="zh-CN"/>
        </w:rPr>
      </w:pPr>
      <w:r>
        <w:rPr>
          <w:rFonts w:hint="eastAsia" w:ascii="仿宋_GB2312" w:hAnsi="仿宋_GB2312" w:eastAsia="仿宋_GB2312" w:cs="仿宋_GB2312"/>
          <w:b w:val="0"/>
          <w:bCs w:val="0"/>
          <w:color w:val="auto"/>
          <w:spacing w:val="0"/>
          <w:kern w:val="21"/>
          <w:sz w:val="32"/>
          <w:szCs w:val="32"/>
          <w:lang w:val="en-US" w:eastAsia="zh-CN"/>
        </w:rPr>
        <w:t>2.地上建筑物、附着物</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val="en-US" w:eastAsia="zh-CN"/>
        </w:rPr>
      </w:pPr>
      <w:r>
        <w:rPr>
          <w:rFonts w:hint="eastAsia" w:ascii="仿宋_GB2312" w:hAnsi="仿宋_GB2312" w:eastAsia="仿宋_GB2312" w:cs="仿宋_GB2312"/>
          <w:color w:val="auto"/>
          <w:spacing w:val="0"/>
          <w:kern w:val="21"/>
          <w:sz w:val="32"/>
          <w:szCs w:val="32"/>
          <w:lang w:val="en-US" w:eastAsia="zh-CN"/>
        </w:rPr>
        <w:t>结合《深圳市土地征用与收回条例》相关规定，对于地上建筑物、附着物的补偿金额，按评估确定的重置成新价给予补偿。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3"/>
        <w:rPr>
          <w:rFonts w:hint="eastAsia" w:ascii="仿宋_GB2312" w:hAnsi="仿宋_GB2312" w:eastAsia="仿宋_GB2312" w:cs="仿宋_GB2312"/>
          <w:color w:val="auto"/>
          <w:spacing w:val="0"/>
          <w:kern w:val="21"/>
          <w:sz w:val="32"/>
          <w:szCs w:val="32"/>
          <w:lang w:val="en-US" w:eastAsia="zh-CN"/>
        </w:rPr>
      </w:pPr>
      <w:r>
        <w:rPr>
          <w:rFonts w:hint="eastAsia" w:ascii="仿宋_GB2312" w:hAnsi="仿宋_GB2312" w:eastAsia="仿宋_GB2312" w:cs="仿宋_GB2312"/>
          <w:color w:val="auto"/>
          <w:spacing w:val="0"/>
          <w:kern w:val="21"/>
          <w:sz w:val="32"/>
          <w:szCs w:val="32"/>
          <w:lang w:val="en-US" w:eastAsia="zh-CN"/>
        </w:rPr>
        <w:t>3.室内自行装修装饰费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val="en-US" w:eastAsia="zh-CN"/>
        </w:rPr>
      </w:pPr>
      <w:r>
        <w:rPr>
          <w:rFonts w:hint="eastAsia" w:ascii="仿宋_GB2312" w:hAnsi="仿宋_GB2312" w:eastAsia="仿宋_GB2312" w:cs="仿宋_GB2312"/>
          <w:color w:val="auto"/>
          <w:spacing w:val="0"/>
          <w:kern w:val="21"/>
          <w:sz w:val="32"/>
          <w:szCs w:val="32"/>
          <w:lang w:val="en-US" w:eastAsia="zh-CN"/>
        </w:rPr>
        <w:t>按评估确定的重置成新价给予补偿。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3"/>
        <w:rPr>
          <w:rFonts w:hint="eastAsia" w:ascii="仿宋_GB2312" w:hAnsi="仿宋_GB2312" w:eastAsia="仿宋_GB2312" w:cs="仿宋_GB2312"/>
          <w:color w:val="auto"/>
          <w:spacing w:val="0"/>
          <w:kern w:val="21"/>
          <w:sz w:val="32"/>
          <w:szCs w:val="32"/>
          <w:lang w:val="en-US" w:eastAsia="zh-CN"/>
        </w:rPr>
      </w:pPr>
      <w:r>
        <w:rPr>
          <w:rFonts w:hint="eastAsia" w:ascii="仿宋_GB2312" w:hAnsi="仿宋_GB2312" w:eastAsia="仿宋_GB2312" w:cs="仿宋_GB2312"/>
          <w:color w:val="auto"/>
          <w:spacing w:val="0"/>
          <w:kern w:val="21"/>
          <w:sz w:val="32"/>
          <w:szCs w:val="32"/>
          <w:lang w:val="en-US" w:eastAsia="zh-CN"/>
        </w:rPr>
        <w:t>4.搬迁费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val="en-US" w:eastAsia="zh-CN"/>
        </w:rPr>
        <w:t>（1）</w:t>
      </w:r>
      <w:r>
        <w:rPr>
          <w:rFonts w:hint="eastAsia" w:ascii="仿宋_GB2312" w:hAnsi="仿宋_GB2312" w:eastAsia="仿宋_GB2312" w:cs="仿宋_GB2312"/>
          <w:color w:val="auto"/>
          <w:spacing w:val="0"/>
          <w:kern w:val="21"/>
          <w:sz w:val="32"/>
          <w:szCs w:val="32"/>
          <w:lang w:eastAsia="zh-CN"/>
        </w:rPr>
        <w:t>以被征收房屋的建筑面积为计算依据，现状商业用途房屋按</w:t>
      </w:r>
      <w:r>
        <w:rPr>
          <w:rFonts w:hint="eastAsia" w:ascii="仿宋_GB2312" w:hAnsi="仿宋_GB2312" w:eastAsia="仿宋_GB2312" w:cs="仿宋_GB2312"/>
          <w:color w:val="auto"/>
          <w:spacing w:val="0"/>
          <w:kern w:val="21"/>
          <w:sz w:val="32"/>
          <w:szCs w:val="32"/>
          <w:lang w:val="en-US" w:eastAsia="zh-CN"/>
        </w:rPr>
        <w:t>60元/平方米的标准、其他用途房屋</w:t>
      </w:r>
      <w:r>
        <w:rPr>
          <w:rFonts w:hint="eastAsia" w:ascii="仿宋_GB2312" w:hAnsi="仿宋_GB2312" w:eastAsia="仿宋_GB2312" w:cs="仿宋_GB2312"/>
          <w:color w:val="auto"/>
          <w:spacing w:val="0"/>
          <w:kern w:val="21"/>
          <w:sz w:val="32"/>
          <w:szCs w:val="32"/>
          <w:lang w:eastAsia="zh-CN"/>
        </w:rPr>
        <w:t>按40元/平方米的标准支付给被征收人。</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val="en-US" w:eastAsia="zh-CN"/>
        </w:rPr>
        <w:t>（2）</w:t>
      </w:r>
      <w:r>
        <w:rPr>
          <w:rFonts w:hint="eastAsia" w:ascii="仿宋_GB2312" w:hAnsi="仿宋_GB2312" w:eastAsia="仿宋_GB2312" w:cs="仿宋_GB2312"/>
          <w:color w:val="auto"/>
          <w:spacing w:val="0"/>
          <w:kern w:val="21"/>
          <w:sz w:val="32"/>
          <w:szCs w:val="32"/>
          <w:lang w:eastAsia="zh-CN"/>
        </w:rPr>
        <w:t>被征收人不同意参照搬迁费标准的，可以委托具备法定资质的评估机构对须搬迁的生活用品、办公用品、机器设备和库存产品的搬迁费用进行评估。不能搬迁或者拆除后无法恢复使用的，按评估确定的重置成新价给予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none"/>
          <w:lang w:val="en-US" w:eastAsia="zh-CN"/>
        </w:rPr>
      </w:pPr>
      <w:r>
        <w:rPr>
          <w:rFonts w:hint="eastAsia" w:ascii="仿宋_GB2312" w:hAnsi="仿宋_GB2312" w:eastAsia="仿宋_GB2312" w:cs="仿宋_GB2312"/>
          <w:color w:val="auto"/>
          <w:spacing w:val="0"/>
          <w:kern w:val="21"/>
          <w:sz w:val="32"/>
          <w:szCs w:val="32"/>
          <w:highlight w:val="none"/>
          <w:lang w:val="en-US" w:eastAsia="zh-CN"/>
        </w:rPr>
        <w:t>（3）</w:t>
      </w:r>
      <w:r>
        <w:rPr>
          <w:rFonts w:hint="eastAsia" w:ascii="仿宋_GB2312" w:hAnsi="仿宋_GB2312" w:eastAsia="仿宋_GB2312" w:cs="仿宋_GB2312"/>
          <w:color w:val="auto"/>
          <w:spacing w:val="0"/>
          <w:kern w:val="21"/>
          <w:sz w:val="32"/>
          <w:szCs w:val="32"/>
          <w:highlight w:val="none"/>
        </w:rPr>
        <w:t>对于</w:t>
      </w:r>
      <w:r>
        <w:rPr>
          <w:rFonts w:hint="eastAsia" w:ascii="仿宋_GB2312" w:hAnsi="仿宋_GB2312" w:eastAsia="仿宋_GB2312" w:cs="仿宋_GB2312"/>
          <w:color w:val="auto"/>
          <w:spacing w:val="0"/>
          <w:kern w:val="21"/>
          <w:sz w:val="32"/>
          <w:szCs w:val="32"/>
          <w:highlight w:val="none"/>
          <w:lang w:eastAsia="zh-CN"/>
        </w:rPr>
        <w:t>位于地下</w:t>
      </w:r>
      <w:r>
        <w:rPr>
          <w:rFonts w:hint="eastAsia" w:ascii="仿宋_GB2312" w:hAnsi="仿宋_GB2312" w:eastAsia="仿宋_GB2312" w:cs="仿宋_GB2312"/>
          <w:color w:val="auto"/>
          <w:spacing w:val="0"/>
          <w:kern w:val="21"/>
          <w:sz w:val="32"/>
          <w:szCs w:val="32"/>
          <w:highlight w:val="none"/>
        </w:rPr>
        <w:t>隐性工程</w:t>
      </w:r>
      <w:r>
        <w:rPr>
          <w:rFonts w:hint="eastAsia" w:ascii="仿宋_GB2312" w:hAnsi="仿宋_GB2312" w:eastAsia="仿宋_GB2312" w:cs="仿宋_GB2312"/>
          <w:color w:val="auto"/>
          <w:spacing w:val="0"/>
          <w:kern w:val="21"/>
          <w:sz w:val="32"/>
          <w:szCs w:val="32"/>
          <w:highlight w:val="none"/>
          <w:lang w:eastAsia="zh-CN"/>
        </w:rPr>
        <w:t>等</w:t>
      </w:r>
      <w:r>
        <w:rPr>
          <w:rFonts w:hint="eastAsia" w:ascii="仿宋_GB2312" w:hAnsi="仿宋_GB2312" w:eastAsia="仿宋_GB2312" w:cs="仿宋_GB2312"/>
          <w:color w:val="auto"/>
          <w:spacing w:val="0"/>
          <w:kern w:val="21"/>
          <w:sz w:val="32"/>
          <w:szCs w:val="32"/>
          <w:highlight w:val="none"/>
        </w:rPr>
        <w:t>特殊</w:t>
      </w:r>
      <w:r>
        <w:rPr>
          <w:rFonts w:hint="eastAsia" w:ascii="仿宋_GB2312" w:hAnsi="仿宋_GB2312" w:eastAsia="仿宋_GB2312" w:cs="仿宋_GB2312"/>
          <w:color w:val="auto"/>
          <w:spacing w:val="0"/>
          <w:kern w:val="21"/>
          <w:sz w:val="32"/>
          <w:szCs w:val="32"/>
          <w:highlight w:val="none"/>
          <w:lang w:eastAsia="zh-CN"/>
        </w:rPr>
        <w:t>的</w:t>
      </w:r>
      <w:r>
        <w:rPr>
          <w:rFonts w:hint="eastAsia" w:ascii="仿宋_GB2312" w:hAnsi="仿宋_GB2312" w:eastAsia="仿宋_GB2312" w:cs="仿宋_GB2312"/>
          <w:color w:val="auto"/>
          <w:spacing w:val="0"/>
          <w:kern w:val="21"/>
          <w:sz w:val="32"/>
          <w:szCs w:val="32"/>
          <w:highlight w:val="none"/>
        </w:rPr>
        <w:t>设施</w:t>
      </w:r>
      <w:r>
        <w:rPr>
          <w:rFonts w:hint="eastAsia" w:ascii="仿宋_GB2312" w:hAnsi="仿宋_GB2312" w:eastAsia="仿宋_GB2312" w:cs="仿宋_GB2312"/>
          <w:color w:val="auto"/>
          <w:spacing w:val="0"/>
          <w:kern w:val="21"/>
          <w:sz w:val="32"/>
          <w:szCs w:val="32"/>
          <w:highlight w:val="none"/>
          <w:lang w:eastAsia="zh-CN"/>
        </w:rPr>
        <w:t>、设备，</w:t>
      </w:r>
      <w:r>
        <w:rPr>
          <w:rFonts w:hint="eastAsia" w:ascii="仿宋_GB2312" w:hAnsi="仿宋_GB2312" w:eastAsia="仿宋_GB2312" w:cs="仿宋_GB2312"/>
          <w:color w:val="auto"/>
          <w:spacing w:val="0"/>
          <w:kern w:val="21"/>
          <w:sz w:val="32"/>
          <w:szCs w:val="32"/>
          <w:highlight w:val="none"/>
          <w:lang w:val="en-US" w:eastAsia="zh-CN"/>
        </w:rPr>
        <w:t>根据</w:t>
      </w:r>
      <w:r>
        <w:rPr>
          <w:rFonts w:hint="eastAsia" w:ascii="仿宋_GB2312" w:hAnsi="仿宋_GB2312" w:eastAsia="仿宋_GB2312" w:cs="仿宋_GB2312"/>
          <w:color w:val="auto"/>
          <w:spacing w:val="0"/>
          <w:kern w:val="21"/>
          <w:sz w:val="32"/>
          <w:szCs w:val="32"/>
          <w:highlight w:val="none"/>
          <w:lang w:eastAsia="zh-CN"/>
        </w:rPr>
        <w:t>后续开挖</w:t>
      </w:r>
      <w:r>
        <w:rPr>
          <w:rFonts w:hint="eastAsia" w:ascii="仿宋_GB2312" w:hAnsi="仿宋_GB2312" w:eastAsia="仿宋_GB2312" w:cs="仿宋_GB2312"/>
          <w:color w:val="auto"/>
          <w:spacing w:val="0"/>
          <w:kern w:val="21"/>
          <w:sz w:val="32"/>
          <w:szCs w:val="32"/>
          <w:highlight w:val="none"/>
          <w:lang w:val="en-US" w:eastAsia="zh-CN"/>
        </w:rPr>
        <w:t>后实际清点情况</w:t>
      </w:r>
      <w:r>
        <w:rPr>
          <w:rFonts w:hint="eastAsia" w:ascii="仿宋_GB2312" w:hAnsi="仿宋_GB2312" w:eastAsia="仿宋_GB2312" w:cs="仿宋_GB2312"/>
          <w:color w:val="auto"/>
          <w:spacing w:val="0"/>
          <w:kern w:val="21"/>
          <w:sz w:val="32"/>
          <w:szCs w:val="32"/>
          <w:highlight w:val="none"/>
          <w:lang w:eastAsia="zh-CN"/>
        </w:rPr>
        <w:t>，由具备法定资质的评估机构对须搬迁的设施、设备的搬迁费用进行评估。不能搬迁或者拆除后无法恢复使用的，按评估确定的重置成新价给予补偿。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3"/>
        <w:rPr>
          <w:rFonts w:hint="eastAsia" w:ascii="仿宋_GB2312" w:hAnsi="仿宋_GB2312" w:eastAsia="仿宋_GB2312" w:cs="仿宋_GB2312"/>
          <w:color w:val="auto"/>
          <w:spacing w:val="0"/>
          <w:kern w:val="21"/>
          <w:sz w:val="32"/>
          <w:szCs w:val="32"/>
          <w:lang w:val="en-US" w:eastAsia="zh-CN"/>
        </w:rPr>
      </w:pPr>
      <w:r>
        <w:rPr>
          <w:rFonts w:hint="eastAsia" w:ascii="仿宋_GB2312" w:hAnsi="仿宋_GB2312" w:eastAsia="仿宋_GB2312" w:cs="仿宋_GB2312"/>
          <w:color w:val="auto"/>
          <w:spacing w:val="0"/>
          <w:kern w:val="21"/>
          <w:sz w:val="32"/>
          <w:szCs w:val="32"/>
          <w:lang w:val="en-US" w:eastAsia="zh-CN"/>
        </w:rPr>
        <w:t>5.临时安置费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none"/>
          <w:lang w:eastAsia="zh-CN"/>
        </w:rPr>
      </w:pPr>
      <w:r>
        <w:rPr>
          <w:rFonts w:hint="eastAsia" w:ascii="仿宋_GB2312" w:hAnsi="仿宋_GB2312" w:eastAsia="仿宋_GB2312" w:cs="仿宋_GB2312"/>
          <w:color w:val="auto"/>
          <w:spacing w:val="0"/>
          <w:kern w:val="21"/>
          <w:sz w:val="32"/>
          <w:szCs w:val="32"/>
          <w:highlight w:val="none"/>
          <w:lang w:eastAsia="zh-CN"/>
        </w:rPr>
        <w:t>以被征收房屋的建筑面积为计算依据，按</w:t>
      </w:r>
      <w:r>
        <w:rPr>
          <w:rFonts w:hint="eastAsia" w:ascii="仿宋_GB2312" w:hAnsi="仿宋_GB2312" w:eastAsia="仿宋_GB2312" w:cs="仿宋_GB2312"/>
          <w:color w:val="auto"/>
          <w:spacing w:val="0"/>
          <w:kern w:val="21"/>
          <w:sz w:val="32"/>
          <w:szCs w:val="32"/>
          <w:highlight w:val="none"/>
          <w:lang w:val="en-US" w:eastAsia="zh-CN"/>
        </w:rPr>
        <w:t>50</w:t>
      </w:r>
      <w:r>
        <w:rPr>
          <w:rFonts w:hint="eastAsia" w:ascii="仿宋_GB2312" w:hAnsi="仿宋_GB2312" w:eastAsia="仿宋_GB2312" w:cs="仿宋_GB2312"/>
          <w:color w:val="auto"/>
          <w:spacing w:val="0"/>
          <w:kern w:val="21"/>
          <w:sz w:val="32"/>
          <w:szCs w:val="32"/>
          <w:highlight w:val="none"/>
          <w:lang w:eastAsia="zh-CN"/>
        </w:rPr>
        <w:t>元/平方米</w:t>
      </w:r>
      <w:r>
        <w:rPr>
          <w:rFonts w:hint="eastAsia" w:ascii="方正仿宋_GBK" w:hAnsi="方正仿宋_GBK" w:eastAsia="方正仿宋_GBK" w:cs="方正仿宋_GBK"/>
          <w:color w:val="auto"/>
          <w:spacing w:val="0"/>
          <w:kern w:val="21"/>
          <w:sz w:val="32"/>
          <w:szCs w:val="32"/>
          <w:highlight w:val="none"/>
          <w:lang w:eastAsia="zh-CN"/>
        </w:rPr>
        <w:t>·</w:t>
      </w:r>
      <w:r>
        <w:rPr>
          <w:rFonts w:hint="eastAsia" w:ascii="仿宋_GB2312" w:hAnsi="仿宋_GB2312" w:eastAsia="仿宋_GB2312" w:cs="仿宋_GB2312"/>
          <w:color w:val="auto"/>
          <w:spacing w:val="0"/>
          <w:kern w:val="21"/>
          <w:sz w:val="32"/>
          <w:szCs w:val="32"/>
          <w:highlight w:val="none"/>
          <w:lang w:eastAsia="zh-CN"/>
        </w:rPr>
        <w:t>月的标准，给予被征收人3个月的临时安置费。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3"/>
        <w:rPr>
          <w:rFonts w:hint="eastAsia" w:ascii="仿宋_GB2312" w:hAnsi="仿宋_GB2312" w:eastAsia="仿宋_GB2312" w:cs="仿宋_GB2312"/>
          <w:color w:val="auto"/>
          <w:spacing w:val="0"/>
          <w:kern w:val="21"/>
          <w:sz w:val="32"/>
          <w:szCs w:val="32"/>
          <w:highlight w:val="none"/>
          <w:lang w:eastAsia="zh-CN"/>
        </w:rPr>
      </w:pPr>
      <w:r>
        <w:rPr>
          <w:rFonts w:hint="eastAsia" w:ascii="仿宋_GB2312" w:hAnsi="仿宋_GB2312" w:eastAsia="仿宋_GB2312" w:cs="仿宋_GB2312"/>
          <w:color w:val="auto"/>
          <w:spacing w:val="0"/>
          <w:kern w:val="21"/>
          <w:sz w:val="32"/>
          <w:szCs w:val="32"/>
          <w:highlight w:val="none"/>
          <w:lang w:val="en-US" w:eastAsia="zh-CN"/>
        </w:rPr>
        <w:t>6.</w:t>
      </w:r>
      <w:r>
        <w:rPr>
          <w:rFonts w:hint="eastAsia" w:ascii="仿宋_GB2312" w:hAnsi="仿宋_GB2312" w:eastAsia="仿宋_GB2312" w:cs="仿宋_GB2312"/>
          <w:color w:val="auto"/>
          <w:spacing w:val="0"/>
          <w:kern w:val="21"/>
          <w:sz w:val="32"/>
          <w:szCs w:val="32"/>
          <w:highlight w:val="none"/>
          <w:lang w:eastAsia="zh-CN"/>
        </w:rPr>
        <w:t>停产、停业补偿费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征收合法经营性房屋引起停产、停业的，根据被征收房屋的区位和使用性质，按照下列标准给予一次性停产、停业补偿费：能依据完税证明提供利润标准的，给予6个月税后利润补偿；不能提供利润标准的，按上年度同行业月平均税后利润额计算或者按同类房屋市场租金，给予6个月的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none"/>
          <w:lang w:eastAsia="zh-CN"/>
        </w:rPr>
      </w:pPr>
      <w:r>
        <w:rPr>
          <w:rFonts w:hint="eastAsia" w:ascii="仿宋_GB2312" w:hAnsi="仿宋_GB2312" w:eastAsia="仿宋_GB2312" w:cs="仿宋_GB2312"/>
          <w:color w:val="auto"/>
          <w:spacing w:val="0"/>
          <w:kern w:val="21"/>
          <w:sz w:val="32"/>
          <w:szCs w:val="32"/>
          <w:highlight w:val="none"/>
          <w:lang w:eastAsia="zh-CN"/>
        </w:rPr>
        <w:t>涉及跨宗地红线属于宗地红线外的地上建筑物、附着物等，参照上述</w:t>
      </w:r>
      <w:r>
        <w:rPr>
          <w:rFonts w:hint="eastAsia" w:ascii="仿宋_GB2312" w:hAnsi="仿宋_GB2312" w:eastAsia="仿宋_GB2312" w:cs="仿宋_GB2312"/>
          <w:color w:val="auto"/>
          <w:spacing w:val="0"/>
          <w:kern w:val="21"/>
          <w:sz w:val="32"/>
          <w:szCs w:val="32"/>
          <w:highlight w:val="none"/>
          <w:lang w:val="en-US" w:eastAsia="zh-CN"/>
        </w:rPr>
        <w:t>宗地</w:t>
      </w:r>
      <w:r>
        <w:rPr>
          <w:rFonts w:hint="eastAsia" w:ascii="仿宋_GB2312" w:hAnsi="仿宋_GB2312" w:eastAsia="仿宋_GB2312" w:cs="仿宋_GB2312"/>
          <w:color w:val="auto"/>
          <w:spacing w:val="0"/>
          <w:kern w:val="21"/>
          <w:sz w:val="32"/>
          <w:szCs w:val="32"/>
          <w:highlight w:val="none"/>
          <w:lang w:eastAsia="zh-CN"/>
        </w:rPr>
        <w:t>红线范围内的房屋征收相关标准计算。</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9"/>
        <w:rPr>
          <w:rFonts w:hint="eastAsia" w:ascii="楷体_GB2312" w:hAnsi="楷体_GB2312" w:eastAsia="楷体_GB2312" w:cs="楷体_GB2312"/>
          <w:b w:val="0"/>
          <w:bCs w:val="0"/>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lang w:val="en-US" w:eastAsia="zh-CN"/>
        </w:rPr>
        <w:t>（二）H123-0021宗地涉及的房屋等</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val="en-US" w:eastAsia="zh-CN"/>
        </w:rPr>
      </w:pPr>
      <w:r>
        <w:rPr>
          <w:rFonts w:hint="eastAsia" w:ascii="仿宋_GB2312" w:hAnsi="仿宋_GB2312" w:eastAsia="仿宋_GB2312" w:cs="仿宋_GB2312"/>
          <w:color w:val="auto"/>
          <w:spacing w:val="0"/>
          <w:kern w:val="21"/>
          <w:sz w:val="32"/>
          <w:szCs w:val="32"/>
          <w:lang w:val="en-US" w:eastAsia="zh-CN"/>
        </w:rPr>
        <w:t>1.住宅类被征收房屋本体价值（含已经取得的合法国有土地使用权的价值）的补偿。</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对被征收房屋价值的补偿，不得低于</w:t>
      </w:r>
      <w:r>
        <w:rPr>
          <w:rFonts w:hint="eastAsia" w:ascii="仿宋_GB2312" w:hAnsi="仿宋_GB2312" w:eastAsia="仿宋_GB2312" w:cs="仿宋_GB2312"/>
          <w:color w:val="auto"/>
          <w:spacing w:val="0"/>
          <w:kern w:val="21"/>
          <w:sz w:val="32"/>
          <w:szCs w:val="32"/>
          <w:highlight w:val="none"/>
          <w:lang w:val="en-US" w:eastAsia="zh-CN"/>
        </w:rPr>
        <w:t>本项目征收提示公告之日</w:t>
      </w:r>
      <w:r>
        <w:rPr>
          <w:rFonts w:hint="eastAsia" w:ascii="仿宋_GB2312" w:hAnsi="仿宋_GB2312" w:eastAsia="仿宋_GB2312" w:cs="仿宋_GB2312"/>
          <w:color w:val="auto"/>
          <w:spacing w:val="0"/>
          <w:kern w:val="21"/>
          <w:sz w:val="32"/>
          <w:szCs w:val="32"/>
          <w:lang w:eastAsia="zh-CN"/>
        </w:rPr>
        <w:t>被征收房屋类似房地产的市场价格。被征收房屋的补偿价格由具有相应资质的房地产价格评估机构依法评估确定。</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3"/>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val="en-US" w:eastAsia="zh-CN"/>
        </w:rPr>
        <w:t>2.</w:t>
      </w:r>
      <w:r>
        <w:rPr>
          <w:rFonts w:hint="eastAsia" w:ascii="仿宋_GB2312" w:hAnsi="仿宋_GB2312" w:eastAsia="仿宋_GB2312" w:cs="仿宋_GB2312"/>
          <w:color w:val="auto"/>
          <w:spacing w:val="0"/>
          <w:kern w:val="21"/>
          <w:sz w:val="32"/>
          <w:szCs w:val="32"/>
          <w:lang w:eastAsia="zh-CN"/>
        </w:rPr>
        <w:t>搬迁费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val="en-US" w:eastAsia="zh-CN"/>
        </w:rPr>
        <w:t>（1）</w:t>
      </w:r>
      <w:r>
        <w:rPr>
          <w:rFonts w:hint="eastAsia" w:ascii="仿宋_GB2312" w:hAnsi="仿宋_GB2312" w:eastAsia="仿宋_GB2312" w:cs="仿宋_GB2312"/>
          <w:color w:val="auto"/>
          <w:spacing w:val="0"/>
          <w:kern w:val="21"/>
          <w:sz w:val="32"/>
          <w:szCs w:val="32"/>
          <w:lang w:eastAsia="zh-CN"/>
        </w:rPr>
        <w:t>以被征收房屋的建筑面积为计算依据，</w:t>
      </w:r>
      <w:r>
        <w:rPr>
          <w:rFonts w:hint="eastAsia" w:ascii="仿宋_GB2312" w:hAnsi="仿宋_GB2312" w:eastAsia="仿宋_GB2312" w:cs="仿宋_GB2312"/>
          <w:color w:val="auto"/>
          <w:spacing w:val="0"/>
          <w:kern w:val="21"/>
          <w:sz w:val="32"/>
          <w:szCs w:val="32"/>
          <w:lang w:val="en-US" w:eastAsia="zh-CN"/>
        </w:rPr>
        <w:t>按40元/平方米/次标准计算，</w:t>
      </w:r>
      <w:r>
        <w:rPr>
          <w:rFonts w:hint="eastAsia" w:ascii="仿宋_GB2312" w:hAnsi="仿宋_GB2312" w:eastAsia="仿宋_GB2312" w:cs="仿宋_GB2312"/>
          <w:color w:val="auto"/>
          <w:spacing w:val="0"/>
          <w:kern w:val="21"/>
          <w:sz w:val="32"/>
          <w:szCs w:val="32"/>
        </w:rPr>
        <w:t>给予</w:t>
      </w:r>
      <w:r>
        <w:rPr>
          <w:rFonts w:hint="eastAsia" w:ascii="仿宋_GB2312" w:hAnsi="仿宋_GB2312" w:eastAsia="仿宋_GB2312" w:cs="仿宋_GB2312"/>
          <w:color w:val="auto"/>
          <w:spacing w:val="0"/>
          <w:kern w:val="21"/>
          <w:sz w:val="32"/>
          <w:szCs w:val="32"/>
          <w:lang w:val="en-US" w:eastAsia="zh-CN"/>
        </w:rPr>
        <w:t>被征收人一</w:t>
      </w:r>
      <w:r>
        <w:rPr>
          <w:rFonts w:hint="eastAsia" w:ascii="仿宋_GB2312" w:hAnsi="仿宋_GB2312" w:eastAsia="仿宋_GB2312" w:cs="仿宋_GB2312"/>
          <w:color w:val="auto"/>
          <w:spacing w:val="0"/>
          <w:kern w:val="21"/>
          <w:sz w:val="32"/>
          <w:szCs w:val="32"/>
        </w:rPr>
        <w:t>次搬迁费用</w:t>
      </w:r>
      <w:r>
        <w:rPr>
          <w:rFonts w:hint="eastAsia" w:ascii="仿宋_GB2312" w:hAnsi="仿宋_GB2312" w:eastAsia="仿宋_GB2312" w:cs="仿宋_GB2312"/>
          <w:color w:val="auto"/>
          <w:spacing w:val="0"/>
          <w:kern w:val="21"/>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val="en-US" w:eastAsia="zh-CN"/>
        </w:rPr>
        <w:t>（2）</w:t>
      </w:r>
      <w:r>
        <w:rPr>
          <w:rFonts w:hint="eastAsia" w:ascii="仿宋_GB2312" w:hAnsi="仿宋_GB2312" w:eastAsia="仿宋_GB2312" w:cs="仿宋_GB2312"/>
          <w:color w:val="auto"/>
          <w:spacing w:val="0"/>
          <w:kern w:val="21"/>
          <w:sz w:val="32"/>
          <w:szCs w:val="32"/>
          <w:lang w:eastAsia="zh-CN"/>
        </w:rPr>
        <w:t>被征收人不同意参照搬迁费标准的，可以委托具备法定资质的评估机构对须搬迁的生活用品、办公用品、机器设备和库存产品的搬迁费用进行评估。不能搬迁或者拆除后无法恢复使用的，按评估确定的重置成新价给予补偿。</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3"/>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val="en-US" w:eastAsia="zh-CN"/>
        </w:rPr>
        <w:t>3.</w:t>
      </w:r>
      <w:r>
        <w:rPr>
          <w:rFonts w:hint="eastAsia" w:ascii="仿宋_GB2312" w:hAnsi="仿宋_GB2312" w:eastAsia="仿宋_GB2312" w:cs="仿宋_GB2312"/>
          <w:color w:val="auto"/>
          <w:spacing w:val="0"/>
          <w:kern w:val="21"/>
          <w:sz w:val="32"/>
          <w:szCs w:val="32"/>
          <w:lang w:eastAsia="zh-CN"/>
        </w:rPr>
        <w:t>临时安置费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以被征收房屋的建筑面积为计算依据，</w:t>
      </w:r>
      <w:r>
        <w:rPr>
          <w:rFonts w:hint="eastAsia" w:ascii="仿宋_GB2312" w:hAnsi="仿宋_GB2312" w:eastAsia="仿宋_GB2312" w:cs="仿宋_GB2312"/>
          <w:color w:val="auto"/>
          <w:spacing w:val="0"/>
          <w:kern w:val="21"/>
          <w:sz w:val="32"/>
          <w:szCs w:val="32"/>
          <w:highlight w:val="none"/>
          <w:lang w:eastAsia="zh-CN"/>
        </w:rPr>
        <w:t>按</w:t>
      </w:r>
      <w:r>
        <w:rPr>
          <w:rFonts w:hint="eastAsia" w:ascii="仿宋_GB2312" w:hAnsi="仿宋_GB2312" w:eastAsia="仿宋_GB2312" w:cs="仿宋_GB2312"/>
          <w:color w:val="auto"/>
          <w:spacing w:val="0"/>
          <w:kern w:val="21"/>
          <w:sz w:val="32"/>
          <w:szCs w:val="32"/>
          <w:highlight w:val="none"/>
          <w:lang w:val="en-US" w:eastAsia="zh-CN"/>
        </w:rPr>
        <w:t>80</w:t>
      </w:r>
      <w:r>
        <w:rPr>
          <w:rFonts w:hint="eastAsia" w:ascii="仿宋_GB2312" w:hAnsi="仿宋_GB2312" w:eastAsia="仿宋_GB2312" w:cs="仿宋_GB2312"/>
          <w:color w:val="auto"/>
          <w:spacing w:val="0"/>
          <w:kern w:val="21"/>
          <w:sz w:val="32"/>
          <w:szCs w:val="32"/>
          <w:highlight w:val="none"/>
          <w:lang w:eastAsia="zh-CN"/>
        </w:rPr>
        <w:t>元/平方米</w:t>
      </w:r>
      <w:r>
        <w:rPr>
          <w:rFonts w:hint="eastAsia" w:ascii="方正仿宋_GBK" w:hAnsi="方正仿宋_GBK" w:eastAsia="方正仿宋_GBK" w:cs="方正仿宋_GBK"/>
          <w:color w:val="auto"/>
          <w:spacing w:val="0"/>
          <w:kern w:val="21"/>
          <w:sz w:val="32"/>
          <w:szCs w:val="32"/>
          <w:highlight w:val="none"/>
          <w:lang w:eastAsia="zh-CN"/>
        </w:rPr>
        <w:t>·</w:t>
      </w:r>
      <w:r>
        <w:rPr>
          <w:rFonts w:hint="eastAsia" w:ascii="仿宋_GB2312" w:hAnsi="仿宋_GB2312" w:eastAsia="仿宋_GB2312" w:cs="仿宋_GB2312"/>
          <w:color w:val="auto"/>
          <w:spacing w:val="0"/>
          <w:kern w:val="21"/>
          <w:sz w:val="32"/>
          <w:szCs w:val="32"/>
          <w:highlight w:val="none"/>
          <w:lang w:eastAsia="zh-CN"/>
        </w:rPr>
        <w:t>月</w:t>
      </w:r>
      <w:r>
        <w:rPr>
          <w:rFonts w:hint="eastAsia" w:ascii="仿宋_GB2312" w:hAnsi="仿宋_GB2312" w:eastAsia="仿宋_GB2312" w:cs="仿宋_GB2312"/>
          <w:color w:val="auto"/>
          <w:spacing w:val="0"/>
          <w:kern w:val="21"/>
          <w:sz w:val="32"/>
          <w:szCs w:val="32"/>
          <w:lang w:eastAsia="zh-CN"/>
        </w:rPr>
        <w:t>的标准，给予被征收人3个月的临时安置费。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val="en-US" w:eastAsia="zh-CN"/>
        </w:rPr>
        <w:t>4.</w:t>
      </w:r>
      <w:r>
        <w:rPr>
          <w:rFonts w:hint="eastAsia" w:ascii="仿宋_GB2312" w:hAnsi="仿宋_GB2312" w:eastAsia="仿宋_GB2312" w:cs="仿宋_GB2312"/>
          <w:color w:val="auto"/>
          <w:spacing w:val="0"/>
          <w:kern w:val="21"/>
          <w:sz w:val="32"/>
          <w:szCs w:val="32"/>
          <w:lang w:eastAsia="zh-CN"/>
        </w:rPr>
        <w:t>室内自行装修装饰费、停产、停业补偿费及擅自改为经营性用途的适当补偿费，根据</w:t>
      </w:r>
      <w:r>
        <w:rPr>
          <w:rFonts w:hint="eastAsia" w:ascii="仿宋_GB2312" w:hAnsi="仿宋_GB2312" w:eastAsia="仿宋_GB2312" w:cs="仿宋_GB2312"/>
          <w:color w:val="auto"/>
          <w:spacing w:val="0"/>
          <w:kern w:val="21"/>
          <w:sz w:val="32"/>
          <w:szCs w:val="32"/>
          <w:lang w:val="en-US" w:eastAsia="zh-CN"/>
        </w:rPr>
        <w:t>本方案</w:t>
      </w:r>
      <w:r>
        <w:rPr>
          <w:rFonts w:hint="eastAsia" w:ascii="仿宋_GB2312" w:hAnsi="仿宋_GB2312" w:eastAsia="仿宋_GB2312" w:cs="仿宋_GB2312"/>
          <w:color w:val="auto"/>
          <w:spacing w:val="0"/>
          <w:kern w:val="21"/>
          <w:sz w:val="32"/>
          <w:szCs w:val="32"/>
          <w:lang w:eastAsia="zh-CN"/>
        </w:rPr>
        <w:t>第十条相关补偿标准计算。</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val="en-US" w:eastAsia="zh-CN"/>
        </w:rPr>
        <w:t>5.</w:t>
      </w:r>
      <w:r>
        <w:rPr>
          <w:rFonts w:hint="eastAsia" w:ascii="仿宋_GB2312" w:hAnsi="仿宋_GB2312" w:eastAsia="仿宋_GB2312" w:cs="仿宋_GB2312"/>
          <w:color w:val="auto"/>
          <w:spacing w:val="0"/>
          <w:kern w:val="21"/>
          <w:sz w:val="32"/>
          <w:szCs w:val="32"/>
          <w:lang w:eastAsia="zh-CN"/>
        </w:rPr>
        <w:t>置业补助等其他未尽补偿事宜根据342号</w:t>
      </w:r>
      <w:r>
        <w:rPr>
          <w:rFonts w:hint="eastAsia" w:ascii="仿宋_GB2312" w:hAnsi="仿宋_GB2312" w:eastAsia="仿宋_GB2312" w:cs="仿宋_GB2312"/>
          <w:color w:val="auto"/>
          <w:spacing w:val="0"/>
          <w:kern w:val="21"/>
          <w:sz w:val="32"/>
          <w:szCs w:val="32"/>
          <w:lang w:val="en-US" w:eastAsia="zh-CN"/>
        </w:rPr>
        <w:t>令</w:t>
      </w:r>
      <w:r>
        <w:rPr>
          <w:rFonts w:hint="eastAsia" w:ascii="仿宋_GB2312" w:hAnsi="仿宋_GB2312" w:eastAsia="仿宋_GB2312" w:cs="仿宋_GB2312"/>
          <w:color w:val="auto"/>
          <w:spacing w:val="0"/>
          <w:kern w:val="21"/>
          <w:sz w:val="32"/>
          <w:szCs w:val="32"/>
          <w:lang w:eastAsia="zh-CN"/>
        </w:rPr>
        <w:t>相关规定执行。</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leftChars="0" w:firstLine="0" w:firstLineChars="0"/>
        <w:jc w:val="center"/>
        <w:textAlignment w:val="auto"/>
        <w:outlineLvl w:val="0"/>
        <w:rPr>
          <w:rFonts w:hint="eastAsia" w:ascii="黑体" w:hAnsi="黑体" w:eastAsia="黑体" w:cs="黑体"/>
          <w:b/>
          <w:bCs/>
          <w:color w:val="auto"/>
          <w:spacing w:val="0"/>
          <w:kern w:val="21"/>
          <w:sz w:val="32"/>
          <w:szCs w:val="32"/>
          <w:lang w:eastAsia="zh-CN"/>
        </w:rPr>
      </w:pPr>
      <w:r>
        <w:rPr>
          <w:rFonts w:hint="eastAsia" w:ascii="黑体" w:hAnsi="黑体" w:eastAsia="黑体" w:cs="黑体"/>
          <w:b w:val="0"/>
          <w:bCs w:val="0"/>
          <w:color w:val="auto"/>
          <w:spacing w:val="0"/>
          <w:kern w:val="21"/>
          <w:sz w:val="32"/>
          <w:szCs w:val="32"/>
          <w:lang w:val="en-US" w:eastAsia="zh-CN"/>
        </w:rPr>
        <w:t>第三章</w:t>
      </w:r>
      <w:r>
        <w:rPr>
          <w:rFonts w:hint="eastAsia" w:ascii="黑体" w:hAnsi="黑体" w:eastAsia="黑体" w:cs="黑体"/>
          <w:b w:val="0"/>
          <w:bCs w:val="0"/>
          <w:color w:val="auto"/>
          <w:spacing w:val="0"/>
          <w:kern w:val="21"/>
          <w:sz w:val="32"/>
          <w:szCs w:val="32"/>
          <w:lang w:eastAsia="zh-CN"/>
        </w:rPr>
        <w:t xml:space="preserve"> </w:t>
      </w:r>
      <w:r>
        <w:rPr>
          <w:rFonts w:hint="eastAsia" w:ascii="黑体" w:hAnsi="黑体" w:eastAsia="黑体" w:cs="黑体"/>
          <w:b w:val="0"/>
          <w:bCs w:val="0"/>
          <w:color w:val="auto"/>
          <w:spacing w:val="0"/>
          <w:kern w:val="21"/>
          <w:sz w:val="32"/>
          <w:szCs w:val="32"/>
          <w:lang w:val="en-US" w:eastAsia="zh-CN"/>
        </w:rPr>
        <w:t>签约期限及</w:t>
      </w:r>
      <w:r>
        <w:rPr>
          <w:rFonts w:hint="eastAsia" w:ascii="黑体" w:hAnsi="黑体" w:eastAsia="黑体" w:cs="黑体"/>
          <w:b w:val="0"/>
          <w:bCs w:val="0"/>
          <w:color w:val="auto"/>
          <w:spacing w:val="0"/>
          <w:kern w:val="21"/>
          <w:sz w:val="32"/>
          <w:szCs w:val="32"/>
          <w:lang w:eastAsia="zh-CN"/>
        </w:rPr>
        <w:t>奖励</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rPr>
      </w:pPr>
      <w:bookmarkStart w:id="3" w:name="_Toc13900"/>
      <w:bookmarkStart w:id="4" w:name="_Toc16173"/>
      <w:bookmarkStart w:id="5" w:name="_Toc12161"/>
      <w:bookmarkStart w:id="6" w:name="_Toc29179"/>
      <w:bookmarkStart w:id="7" w:name="_Toc18315"/>
      <w:bookmarkStart w:id="8" w:name="_Toc14291"/>
      <w:bookmarkStart w:id="9" w:name="_Toc10233"/>
      <w:r>
        <w:rPr>
          <w:rFonts w:hint="eastAsia" w:ascii="黑体" w:hAnsi="黑体" w:eastAsia="黑体" w:cs="黑体"/>
          <w:b w:val="0"/>
          <w:bCs w:val="0"/>
          <w:color w:val="auto"/>
          <w:spacing w:val="0"/>
          <w:kern w:val="21"/>
          <w:sz w:val="32"/>
          <w:szCs w:val="32"/>
          <w:lang w:eastAsia="zh-CN"/>
        </w:rPr>
        <w:t>第十</w:t>
      </w:r>
      <w:r>
        <w:rPr>
          <w:rFonts w:hint="eastAsia" w:ascii="黑体" w:hAnsi="黑体" w:eastAsia="黑体" w:cs="黑体"/>
          <w:b w:val="0"/>
          <w:bCs w:val="0"/>
          <w:color w:val="auto"/>
          <w:spacing w:val="0"/>
          <w:kern w:val="21"/>
          <w:sz w:val="32"/>
          <w:szCs w:val="32"/>
          <w:lang w:val="en-US" w:eastAsia="zh-CN"/>
        </w:rPr>
        <w:t>二</w:t>
      </w:r>
      <w:r>
        <w:rPr>
          <w:rFonts w:hint="eastAsia" w:ascii="黑体" w:hAnsi="黑体" w:eastAsia="黑体" w:cs="黑体"/>
          <w:b w:val="0"/>
          <w:bCs w:val="0"/>
          <w:color w:val="auto"/>
          <w:spacing w:val="0"/>
          <w:kern w:val="21"/>
          <w:sz w:val="32"/>
          <w:szCs w:val="32"/>
          <w:lang w:eastAsia="zh-CN"/>
        </w:rPr>
        <w:t>条</w:t>
      </w:r>
      <w:r>
        <w:rPr>
          <w:rFonts w:hint="eastAsia" w:ascii="黑体" w:hAnsi="黑体" w:eastAsia="黑体" w:cs="黑体"/>
          <w:b w:val="0"/>
          <w:bCs w:val="0"/>
          <w:color w:val="auto"/>
          <w:spacing w:val="0"/>
          <w:kern w:val="21"/>
          <w:sz w:val="32"/>
          <w:szCs w:val="32"/>
        </w:rPr>
        <w:t>【</w:t>
      </w:r>
      <w:r>
        <w:rPr>
          <w:rFonts w:hint="eastAsia" w:ascii="黑体" w:hAnsi="黑体" w:eastAsia="黑体" w:cs="黑体"/>
          <w:b w:val="0"/>
          <w:bCs w:val="0"/>
          <w:color w:val="auto"/>
          <w:spacing w:val="0"/>
          <w:kern w:val="21"/>
          <w:sz w:val="32"/>
          <w:szCs w:val="32"/>
          <w:lang w:val="en-US" w:eastAsia="zh-CN"/>
        </w:rPr>
        <w:t>签约期限</w:t>
      </w:r>
      <w:r>
        <w:rPr>
          <w:rFonts w:hint="eastAsia" w:ascii="黑体" w:hAnsi="黑体" w:eastAsia="黑体" w:cs="黑体"/>
          <w:b w:val="0"/>
          <w:bCs w:val="0"/>
          <w:color w:val="auto"/>
          <w:spacing w:val="0"/>
          <w:kern w:val="21"/>
          <w:sz w:val="32"/>
          <w:szCs w:val="32"/>
        </w:rPr>
        <w:t>】</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w w:val="100"/>
          <w:kern w:val="21"/>
          <w:sz w:val="32"/>
          <w:szCs w:val="32"/>
          <w:lang w:eastAsia="zh-CN"/>
        </w:rPr>
      </w:pPr>
      <w:r>
        <w:rPr>
          <w:rFonts w:hint="eastAsia" w:ascii="仿宋_GB2312" w:hAnsi="仿宋_GB2312" w:eastAsia="仿宋_GB2312" w:cs="仿宋_GB2312"/>
          <w:color w:val="auto"/>
          <w:spacing w:val="0"/>
          <w:w w:val="100"/>
          <w:kern w:val="21"/>
          <w:sz w:val="32"/>
          <w:szCs w:val="32"/>
          <w:lang w:eastAsia="zh-CN"/>
        </w:rPr>
        <w:t>本项目签约期限为</w:t>
      </w:r>
      <w:r>
        <w:rPr>
          <w:rFonts w:hint="eastAsia" w:ascii="仿宋_GB2312" w:hAnsi="仿宋_GB2312" w:eastAsia="仿宋_GB2312" w:cs="仿宋_GB2312"/>
          <w:color w:val="auto"/>
          <w:spacing w:val="0"/>
          <w:kern w:val="21"/>
          <w:sz w:val="32"/>
          <w:szCs w:val="32"/>
          <w:highlight w:val="none"/>
          <w:lang w:eastAsia="zh-CN"/>
        </w:rPr>
        <w:t>政府公告的签约启动之日</w:t>
      </w:r>
      <w:r>
        <w:rPr>
          <w:rFonts w:hint="eastAsia" w:ascii="仿宋_GB2312" w:hAnsi="仿宋_GB2312" w:eastAsia="仿宋_GB2312" w:cs="仿宋_GB2312"/>
          <w:color w:val="auto"/>
          <w:spacing w:val="0"/>
          <w:w w:val="100"/>
          <w:kern w:val="21"/>
          <w:sz w:val="32"/>
          <w:szCs w:val="32"/>
          <w:lang w:eastAsia="zh-CN"/>
        </w:rPr>
        <w:t>起90日内（含90日）。</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rPr>
      </w:pPr>
      <w:r>
        <w:rPr>
          <w:rFonts w:hint="eastAsia" w:ascii="黑体" w:hAnsi="黑体" w:eastAsia="黑体" w:cs="黑体"/>
          <w:b w:val="0"/>
          <w:bCs w:val="0"/>
          <w:color w:val="auto"/>
          <w:spacing w:val="0"/>
          <w:kern w:val="21"/>
          <w:sz w:val="32"/>
          <w:szCs w:val="32"/>
          <w:lang w:eastAsia="zh-CN"/>
        </w:rPr>
        <w:t>第十</w:t>
      </w:r>
      <w:r>
        <w:rPr>
          <w:rFonts w:hint="eastAsia" w:ascii="黑体" w:hAnsi="黑体" w:eastAsia="黑体" w:cs="黑体"/>
          <w:b w:val="0"/>
          <w:bCs w:val="0"/>
          <w:color w:val="auto"/>
          <w:spacing w:val="0"/>
          <w:kern w:val="21"/>
          <w:sz w:val="32"/>
          <w:szCs w:val="32"/>
          <w:lang w:val="en-US" w:eastAsia="zh-CN"/>
        </w:rPr>
        <w:t>三</w:t>
      </w:r>
      <w:r>
        <w:rPr>
          <w:rFonts w:hint="eastAsia" w:ascii="黑体" w:hAnsi="黑体" w:eastAsia="黑体" w:cs="黑体"/>
          <w:b w:val="0"/>
          <w:bCs w:val="0"/>
          <w:color w:val="auto"/>
          <w:spacing w:val="0"/>
          <w:kern w:val="21"/>
          <w:sz w:val="32"/>
          <w:szCs w:val="32"/>
          <w:lang w:eastAsia="zh-CN"/>
        </w:rPr>
        <w:t>条</w:t>
      </w:r>
      <w:r>
        <w:rPr>
          <w:rFonts w:hint="eastAsia" w:ascii="黑体" w:hAnsi="黑体" w:eastAsia="黑体" w:cs="黑体"/>
          <w:b w:val="0"/>
          <w:bCs w:val="0"/>
          <w:color w:val="auto"/>
          <w:spacing w:val="0"/>
          <w:kern w:val="21"/>
          <w:sz w:val="32"/>
          <w:szCs w:val="32"/>
        </w:rPr>
        <w:t>【奖励】</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b w:val="0"/>
          <w:bCs w:val="0"/>
          <w:color w:val="auto"/>
          <w:spacing w:val="0"/>
          <w:kern w:val="21"/>
          <w:sz w:val="32"/>
          <w:szCs w:val="32"/>
          <w:lang w:val="en-US" w:eastAsia="zh-CN"/>
        </w:rPr>
      </w:pPr>
      <w:r>
        <w:rPr>
          <w:rFonts w:hint="eastAsia" w:ascii="仿宋_GB2312" w:hAnsi="仿宋_GB2312" w:eastAsia="仿宋_GB2312" w:cs="仿宋_GB2312"/>
          <w:b w:val="0"/>
          <w:bCs w:val="0"/>
          <w:color w:val="auto"/>
          <w:spacing w:val="0"/>
          <w:kern w:val="21"/>
          <w:sz w:val="32"/>
          <w:szCs w:val="32"/>
          <w:lang w:val="en-US" w:eastAsia="zh-CN"/>
        </w:rPr>
        <w:t>对于H123-0021宗地涉及住宅房屋被征收人，按期签约搬迁的，给予一次性奖励。</w:t>
      </w:r>
    </w:p>
    <w:bookmarkEnd w:id="3"/>
    <w:bookmarkEnd w:id="4"/>
    <w:bookmarkEnd w:id="5"/>
    <w:bookmarkEnd w:id="6"/>
    <w:bookmarkEnd w:id="7"/>
    <w:bookmarkEnd w:id="8"/>
    <w:bookmarkEnd w:id="9"/>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none"/>
          <w:lang w:eastAsia="zh-CN"/>
        </w:rPr>
      </w:pPr>
      <w:r>
        <w:rPr>
          <w:rFonts w:hint="eastAsia" w:ascii="仿宋_GB2312" w:hAnsi="仿宋_GB2312" w:eastAsia="仿宋_GB2312" w:cs="仿宋_GB2312"/>
          <w:color w:val="auto"/>
          <w:spacing w:val="0"/>
          <w:kern w:val="21"/>
          <w:sz w:val="32"/>
          <w:szCs w:val="32"/>
          <w:highlight w:val="none"/>
          <w:lang w:eastAsia="zh-CN"/>
        </w:rPr>
        <w:t>（</w:t>
      </w:r>
      <w:r>
        <w:rPr>
          <w:rFonts w:hint="eastAsia" w:ascii="仿宋_GB2312" w:hAnsi="仿宋_GB2312" w:eastAsia="仿宋_GB2312" w:cs="仿宋_GB2312"/>
          <w:color w:val="auto"/>
          <w:spacing w:val="0"/>
          <w:kern w:val="21"/>
          <w:sz w:val="32"/>
          <w:szCs w:val="32"/>
          <w:highlight w:val="none"/>
          <w:lang w:val="en-US" w:eastAsia="zh-CN"/>
        </w:rPr>
        <w:t>一</w:t>
      </w:r>
      <w:r>
        <w:rPr>
          <w:rFonts w:hint="eastAsia" w:ascii="仿宋_GB2312" w:hAnsi="仿宋_GB2312" w:eastAsia="仿宋_GB2312" w:cs="仿宋_GB2312"/>
          <w:color w:val="auto"/>
          <w:spacing w:val="0"/>
          <w:kern w:val="21"/>
          <w:sz w:val="32"/>
          <w:szCs w:val="32"/>
          <w:highlight w:val="none"/>
          <w:lang w:eastAsia="zh-CN"/>
        </w:rPr>
        <w:t>）自本项目政府公告的签约启动之日起</w:t>
      </w:r>
      <w:r>
        <w:rPr>
          <w:rFonts w:hint="eastAsia" w:ascii="仿宋_GB2312" w:hAnsi="仿宋_GB2312" w:eastAsia="仿宋_GB2312" w:cs="仿宋_GB2312"/>
          <w:color w:val="auto"/>
          <w:spacing w:val="0"/>
          <w:kern w:val="21"/>
          <w:sz w:val="32"/>
          <w:szCs w:val="32"/>
          <w:highlight w:val="none"/>
          <w:lang w:val="en-US" w:eastAsia="zh-CN"/>
        </w:rPr>
        <w:t>60</w:t>
      </w:r>
      <w:r>
        <w:rPr>
          <w:rFonts w:hint="eastAsia" w:ascii="仿宋_GB2312" w:hAnsi="仿宋_GB2312" w:eastAsia="仿宋_GB2312" w:cs="仿宋_GB2312"/>
          <w:color w:val="auto"/>
          <w:spacing w:val="0"/>
          <w:kern w:val="21"/>
          <w:sz w:val="32"/>
          <w:szCs w:val="32"/>
          <w:highlight w:val="none"/>
          <w:lang w:eastAsia="zh-CN"/>
        </w:rPr>
        <w:t>日内（含</w:t>
      </w:r>
      <w:r>
        <w:rPr>
          <w:rFonts w:hint="eastAsia" w:ascii="仿宋_GB2312" w:hAnsi="仿宋_GB2312" w:eastAsia="仿宋_GB2312" w:cs="仿宋_GB2312"/>
          <w:color w:val="auto"/>
          <w:spacing w:val="0"/>
          <w:kern w:val="21"/>
          <w:sz w:val="32"/>
          <w:szCs w:val="32"/>
          <w:highlight w:val="none"/>
          <w:lang w:val="en-US" w:eastAsia="zh-CN"/>
        </w:rPr>
        <w:t>60</w:t>
      </w:r>
      <w:r>
        <w:rPr>
          <w:rFonts w:hint="eastAsia" w:ascii="仿宋_GB2312" w:hAnsi="仿宋_GB2312" w:eastAsia="仿宋_GB2312" w:cs="仿宋_GB2312"/>
          <w:color w:val="auto"/>
          <w:spacing w:val="0"/>
          <w:kern w:val="21"/>
          <w:sz w:val="32"/>
          <w:szCs w:val="32"/>
          <w:highlight w:val="none"/>
          <w:lang w:eastAsia="zh-CN"/>
        </w:rPr>
        <w:t>日）完成签约，</w:t>
      </w:r>
      <w:r>
        <w:rPr>
          <w:rFonts w:hint="eastAsia" w:ascii="仿宋_GB2312" w:hAnsi="仿宋_GB2312" w:eastAsia="仿宋_GB2312" w:cs="仿宋_GB2312"/>
          <w:color w:val="auto"/>
          <w:spacing w:val="0"/>
          <w:kern w:val="21"/>
          <w:sz w:val="32"/>
          <w:szCs w:val="32"/>
          <w:highlight w:val="none"/>
          <w:lang w:val="en-US" w:eastAsia="zh-CN"/>
        </w:rPr>
        <w:t>并按</w:t>
      </w:r>
      <w:r>
        <w:rPr>
          <w:rFonts w:hint="eastAsia" w:ascii="仿宋_GB2312" w:hAnsi="仿宋_GB2312" w:eastAsia="仿宋_GB2312" w:cs="仿宋_GB2312"/>
          <w:color w:val="auto"/>
          <w:spacing w:val="0"/>
          <w:kern w:val="21"/>
          <w:sz w:val="32"/>
          <w:szCs w:val="32"/>
          <w:highlight w:val="none"/>
          <w:lang w:eastAsia="zh-CN"/>
        </w:rPr>
        <w:t>搬迁补偿协议约定期限腾空被征收房屋、提交房地产权证书、委托书等产权注销所需相关资料并将被</w:t>
      </w:r>
      <w:r>
        <w:rPr>
          <w:rFonts w:hint="eastAsia" w:ascii="仿宋_GB2312" w:hAnsi="仿宋_GB2312" w:eastAsia="仿宋_GB2312" w:cs="仿宋_GB2312"/>
          <w:color w:val="auto"/>
          <w:spacing w:val="0"/>
          <w:kern w:val="21"/>
          <w:sz w:val="32"/>
          <w:szCs w:val="32"/>
          <w:highlight w:val="none"/>
          <w:lang w:val="en-US" w:eastAsia="zh-CN"/>
        </w:rPr>
        <w:t>征收</w:t>
      </w:r>
      <w:r>
        <w:rPr>
          <w:rFonts w:hint="eastAsia" w:ascii="仿宋_GB2312" w:hAnsi="仿宋_GB2312" w:eastAsia="仿宋_GB2312" w:cs="仿宋_GB2312"/>
          <w:color w:val="auto"/>
          <w:spacing w:val="0"/>
          <w:kern w:val="21"/>
          <w:sz w:val="32"/>
          <w:szCs w:val="32"/>
          <w:highlight w:val="none"/>
          <w:lang w:eastAsia="zh-CN"/>
        </w:rPr>
        <w:t>房屋移交房屋征收部门的，</w:t>
      </w:r>
      <w:r>
        <w:rPr>
          <w:rFonts w:hint="eastAsia" w:ascii="仿宋_GB2312" w:hAnsi="仿宋_GB2312" w:eastAsia="仿宋_GB2312" w:cs="仿宋_GB2312"/>
          <w:i w:val="0"/>
          <w:iCs w:val="0"/>
          <w:caps w:val="0"/>
          <w:color w:val="auto"/>
          <w:spacing w:val="0"/>
          <w:kern w:val="21"/>
          <w:sz w:val="32"/>
          <w:szCs w:val="32"/>
          <w:highlight w:val="none"/>
          <w:shd w:val="clear" w:color="auto" w:fill="auto"/>
        </w:rPr>
        <w:t>按被</w:t>
      </w:r>
      <w:r>
        <w:rPr>
          <w:rFonts w:hint="eastAsia" w:ascii="仿宋_GB2312" w:hAnsi="仿宋_GB2312" w:eastAsia="仿宋_GB2312" w:cs="仿宋_GB2312"/>
          <w:i w:val="0"/>
          <w:iCs w:val="0"/>
          <w:caps w:val="0"/>
          <w:color w:val="auto"/>
          <w:spacing w:val="0"/>
          <w:kern w:val="21"/>
          <w:sz w:val="32"/>
          <w:szCs w:val="32"/>
          <w:highlight w:val="none"/>
          <w:shd w:val="clear" w:color="auto" w:fill="auto"/>
          <w:lang w:eastAsia="zh-CN"/>
        </w:rPr>
        <w:t>征收</w:t>
      </w:r>
      <w:r>
        <w:rPr>
          <w:rFonts w:hint="eastAsia" w:ascii="仿宋_GB2312" w:hAnsi="仿宋_GB2312" w:eastAsia="仿宋_GB2312" w:cs="仿宋_GB2312"/>
          <w:i w:val="0"/>
          <w:iCs w:val="0"/>
          <w:caps w:val="0"/>
          <w:color w:val="auto"/>
          <w:spacing w:val="0"/>
          <w:kern w:val="21"/>
          <w:sz w:val="32"/>
          <w:szCs w:val="32"/>
          <w:highlight w:val="none"/>
          <w:shd w:val="clear" w:color="auto" w:fill="auto"/>
        </w:rPr>
        <w:t>房屋建筑面积500元/</w:t>
      </w:r>
      <w:r>
        <w:rPr>
          <w:rFonts w:hint="eastAsia" w:ascii="仿宋_GB2312" w:hAnsi="仿宋_GB2312" w:eastAsia="仿宋_GB2312" w:cs="仿宋_GB2312"/>
          <w:i w:val="0"/>
          <w:iCs w:val="0"/>
          <w:caps w:val="0"/>
          <w:color w:val="auto"/>
          <w:spacing w:val="0"/>
          <w:kern w:val="21"/>
          <w:sz w:val="32"/>
          <w:szCs w:val="32"/>
          <w:highlight w:val="none"/>
          <w:shd w:val="clear" w:color="auto" w:fill="auto"/>
          <w:lang w:eastAsia="zh-CN"/>
        </w:rPr>
        <w:t>平方米</w:t>
      </w:r>
      <w:r>
        <w:rPr>
          <w:rFonts w:hint="eastAsia" w:ascii="仿宋_GB2312" w:hAnsi="仿宋_GB2312" w:eastAsia="仿宋_GB2312" w:cs="仿宋_GB2312"/>
          <w:i w:val="0"/>
          <w:iCs w:val="0"/>
          <w:caps w:val="0"/>
          <w:color w:val="auto"/>
          <w:spacing w:val="0"/>
          <w:kern w:val="21"/>
          <w:sz w:val="32"/>
          <w:szCs w:val="32"/>
          <w:highlight w:val="none"/>
          <w:shd w:val="clear" w:color="auto" w:fill="auto"/>
        </w:rPr>
        <w:t>给予奖励</w:t>
      </w:r>
      <w:r>
        <w:rPr>
          <w:rFonts w:hint="eastAsia" w:ascii="仿宋_GB2312" w:hAnsi="仿宋_GB2312" w:eastAsia="仿宋_GB2312" w:cs="仿宋_GB2312"/>
          <w:color w:val="auto"/>
          <w:spacing w:val="0"/>
          <w:kern w:val="21"/>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highlight w:val="none"/>
          <w:lang w:eastAsia="zh-CN"/>
        </w:rPr>
      </w:pPr>
      <w:r>
        <w:rPr>
          <w:rFonts w:hint="eastAsia" w:ascii="仿宋_GB2312" w:hAnsi="仿宋_GB2312" w:eastAsia="仿宋_GB2312" w:cs="仿宋_GB2312"/>
          <w:color w:val="auto"/>
          <w:spacing w:val="0"/>
          <w:kern w:val="21"/>
          <w:sz w:val="32"/>
          <w:szCs w:val="32"/>
          <w:highlight w:val="none"/>
          <w:lang w:eastAsia="zh-CN"/>
        </w:rPr>
        <w:t>（二）自本项目政府公告的签约启动之日起</w:t>
      </w:r>
      <w:r>
        <w:rPr>
          <w:rFonts w:hint="eastAsia" w:ascii="仿宋_GB2312" w:hAnsi="仿宋_GB2312" w:eastAsia="仿宋_GB2312" w:cs="仿宋_GB2312"/>
          <w:color w:val="auto"/>
          <w:spacing w:val="0"/>
          <w:kern w:val="21"/>
          <w:sz w:val="32"/>
          <w:szCs w:val="32"/>
          <w:highlight w:val="none"/>
          <w:lang w:val="en-US" w:eastAsia="zh-CN"/>
        </w:rPr>
        <w:t>60—90</w:t>
      </w:r>
      <w:r>
        <w:rPr>
          <w:rFonts w:hint="eastAsia" w:ascii="仿宋_GB2312" w:hAnsi="仿宋_GB2312" w:eastAsia="仿宋_GB2312" w:cs="仿宋_GB2312"/>
          <w:color w:val="auto"/>
          <w:spacing w:val="0"/>
          <w:kern w:val="21"/>
          <w:sz w:val="32"/>
          <w:szCs w:val="32"/>
          <w:highlight w:val="none"/>
          <w:lang w:eastAsia="zh-CN"/>
        </w:rPr>
        <w:t>日内（</w:t>
      </w:r>
      <w:r>
        <w:rPr>
          <w:rFonts w:hint="eastAsia" w:ascii="仿宋_GB2312" w:hAnsi="仿宋_GB2312" w:eastAsia="仿宋_GB2312" w:cs="仿宋_GB2312"/>
          <w:color w:val="auto"/>
          <w:spacing w:val="0"/>
          <w:kern w:val="21"/>
          <w:sz w:val="32"/>
          <w:szCs w:val="32"/>
          <w:highlight w:val="none"/>
          <w:lang w:val="en-US" w:eastAsia="zh-CN"/>
        </w:rPr>
        <w:t>含90</w:t>
      </w:r>
      <w:r>
        <w:rPr>
          <w:rFonts w:hint="eastAsia" w:ascii="仿宋_GB2312" w:hAnsi="仿宋_GB2312" w:eastAsia="仿宋_GB2312" w:cs="仿宋_GB2312"/>
          <w:color w:val="auto"/>
          <w:spacing w:val="0"/>
          <w:kern w:val="21"/>
          <w:sz w:val="32"/>
          <w:szCs w:val="32"/>
          <w:highlight w:val="none"/>
          <w:lang w:eastAsia="zh-CN"/>
        </w:rPr>
        <w:t>日）完成签约，</w:t>
      </w:r>
      <w:r>
        <w:rPr>
          <w:rFonts w:hint="eastAsia" w:ascii="仿宋_GB2312" w:hAnsi="仿宋_GB2312" w:eastAsia="仿宋_GB2312" w:cs="仿宋_GB2312"/>
          <w:color w:val="auto"/>
          <w:spacing w:val="0"/>
          <w:kern w:val="21"/>
          <w:sz w:val="32"/>
          <w:szCs w:val="32"/>
          <w:highlight w:val="none"/>
          <w:lang w:val="en-US" w:eastAsia="zh-CN"/>
        </w:rPr>
        <w:t>并按</w:t>
      </w:r>
      <w:r>
        <w:rPr>
          <w:rFonts w:hint="eastAsia" w:ascii="仿宋_GB2312" w:hAnsi="仿宋_GB2312" w:eastAsia="仿宋_GB2312" w:cs="仿宋_GB2312"/>
          <w:color w:val="auto"/>
          <w:spacing w:val="0"/>
          <w:kern w:val="21"/>
          <w:sz w:val="32"/>
          <w:szCs w:val="32"/>
          <w:highlight w:val="none"/>
          <w:lang w:eastAsia="zh-CN"/>
        </w:rPr>
        <w:t>搬迁补偿协议约定期限腾空被征收房屋、提交房地产权证书、委托书等产权注销所需相关资料并将被</w:t>
      </w:r>
      <w:r>
        <w:rPr>
          <w:rFonts w:hint="eastAsia" w:ascii="仿宋_GB2312" w:hAnsi="仿宋_GB2312" w:eastAsia="仿宋_GB2312" w:cs="仿宋_GB2312"/>
          <w:color w:val="auto"/>
          <w:spacing w:val="0"/>
          <w:kern w:val="21"/>
          <w:sz w:val="32"/>
          <w:szCs w:val="32"/>
          <w:highlight w:val="none"/>
          <w:lang w:val="en-US" w:eastAsia="zh-CN"/>
        </w:rPr>
        <w:t>征收</w:t>
      </w:r>
      <w:r>
        <w:rPr>
          <w:rFonts w:hint="eastAsia" w:ascii="仿宋_GB2312" w:hAnsi="仿宋_GB2312" w:eastAsia="仿宋_GB2312" w:cs="仿宋_GB2312"/>
          <w:color w:val="auto"/>
          <w:spacing w:val="0"/>
          <w:kern w:val="21"/>
          <w:sz w:val="32"/>
          <w:szCs w:val="32"/>
          <w:highlight w:val="none"/>
          <w:lang w:eastAsia="zh-CN"/>
        </w:rPr>
        <w:t>房屋移交房屋征收部门的，</w:t>
      </w:r>
      <w:r>
        <w:rPr>
          <w:rFonts w:hint="eastAsia" w:ascii="仿宋_GB2312" w:hAnsi="仿宋_GB2312" w:eastAsia="仿宋_GB2312" w:cs="仿宋_GB2312"/>
          <w:i w:val="0"/>
          <w:iCs w:val="0"/>
          <w:caps w:val="0"/>
          <w:color w:val="auto"/>
          <w:spacing w:val="0"/>
          <w:kern w:val="21"/>
          <w:sz w:val="32"/>
          <w:szCs w:val="32"/>
          <w:highlight w:val="none"/>
          <w:shd w:val="clear" w:color="auto" w:fill="auto"/>
        </w:rPr>
        <w:t>按被</w:t>
      </w:r>
      <w:r>
        <w:rPr>
          <w:rFonts w:hint="eastAsia" w:ascii="仿宋_GB2312" w:hAnsi="仿宋_GB2312" w:eastAsia="仿宋_GB2312" w:cs="仿宋_GB2312"/>
          <w:i w:val="0"/>
          <w:iCs w:val="0"/>
          <w:caps w:val="0"/>
          <w:color w:val="auto"/>
          <w:spacing w:val="0"/>
          <w:kern w:val="21"/>
          <w:sz w:val="32"/>
          <w:szCs w:val="32"/>
          <w:highlight w:val="none"/>
          <w:shd w:val="clear" w:color="auto" w:fill="auto"/>
          <w:lang w:eastAsia="zh-CN"/>
        </w:rPr>
        <w:t>征收</w:t>
      </w:r>
      <w:r>
        <w:rPr>
          <w:rFonts w:hint="eastAsia" w:ascii="仿宋_GB2312" w:hAnsi="仿宋_GB2312" w:eastAsia="仿宋_GB2312" w:cs="仿宋_GB2312"/>
          <w:i w:val="0"/>
          <w:iCs w:val="0"/>
          <w:caps w:val="0"/>
          <w:color w:val="auto"/>
          <w:spacing w:val="0"/>
          <w:kern w:val="21"/>
          <w:sz w:val="32"/>
          <w:szCs w:val="32"/>
          <w:highlight w:val="none"/>
          <w:shd w:val="clear" w:color="auto" w:fill="auto"/>
        </w:rPr>
        <w:t>房屋建筑面积300元/</w:t>
      </w:r>
      <w:r>
        <w:rPr>
          <w:rFonts w:hint="eastAsia" w:ascii="仿宋_GB2312" w:hAnsi="仿宋_GB2312" w:eastAsia="仿宋_GB2312" w:cs="仿宋_GB2312"/>
          <w:i w:val="0"/>
          <w:iCs w:val="0"/>
          <w:caps w:val="0"/>
          <w:color w:val="auto"/>
          <w:spacing w:val="0"/>
          <w:kern w:val="21"/>
          <w:sz w:val="32"/>
          <w:szCs w:val="32"/>
          <w:highlight w:val="none"/>
          <w:shd w:val="clear" w:color="auto" w:fill="auto"/>
          <w:lang w:eastAsia="zh-CN"/>
        </w:rPr>
        <w:t>平方米</w:t>
      </w:r>
      <w:r>
        <w:rPr>
          <w:rFonts w:hint="eastAsia" w:ascii="仿宋_GB2312" w:hAnsi="仿宋_GB2312" w:eastAsia="仿宋_GB2312" w:cs="仿宋_GB2312"/>
          <w:i w:val="0"/>
          <w:iCs w:val="0"/>
          <w:caps w:val="0"/>
          <w:color w:val="auto"/>
          <w:spacing w:val="0"/>
          <w:kern w:val="21"/>
          <w:sz w:val="32"/>
          <w:szCs w:val="32"/>
          <w:highlight w:val="none"/>
          <w:shd w:val="clear" w:color="auto" w:fill="auto"/>
        </w:rPr>
        <w:t>给予奖励</w:t>
      </w:r>
      <w:r>
        <w:rPr>
          <w:rFonts w:hint="eastAsia" w:ascii="仿宋_GB2312" w:hAnsi="仿宋_GB2312" w:eastAsia="仿宋_GB2312" w:cs="仿宋_GB2312"/>
          <w:color w:val="auto"/>
          <w:spacing w:val="0"/>
          <w:kern w:val="21"/>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rPr>
      </w:pPr>
      <w:r>
        <w:rPr>
          <w:rFonts w:hint="eastAsia" w:ascii="仿宋_GB2312" w:hAnsi="仿宋_GB2312" w:eastAsia="仿宋_GB2312" w:cs="仿宋_GB2312"/>
          <w:color w:val="auto"/>
          <w:spacing w:val="0"/>
          <w:kern w:val="21"/>
          <w:sz w:val="32"/>
          <w:szCs w:val="32"/>
          <w:highlight w:val="none"/>
          <w:lang w:eastAsia="zh-CN"/>
        </w:rPr>
        <w:t>（</w:t>
      </w:r>
      <w:r>
        <w:rPr>
          <w:rFonts w:hint="eastAsia" w:ascii="仿宋_GB2312" w:hAnsi="仿宋_GB2312" w:eastAsia="仿宋_GB2312" w:cs="仿宋_GB2312"/>
          <w:color w:val="auto"/>
          <w:spacing w:val="0"/>
          <w:kern w:val="21"/>
          <w:sz w:val="32"/>
          <w:szCs w:val="32"/>
          <w:highlight w:val="none"/>
          <w:lang w:val="en-US" w:eastAsia="zh-CN"/>
        </w:rPr>
        <w:t>三</w:t>
      </w:r>
      <w:r>
        <w:rPr>
          <w:rFonts w:hint="eastAsia" w:ascii="仿宋_GB2312" w:hAnsi="仿宋_GB2312" w:eastAsia="仿宋_GB2312" w:cs="仿宋_GB2312"/>
          <w:color w:val="auto"/>
          <w:spacing w:val="0"/>
          <w:kern w:val="21"/>
          <w:sz w:val="32"/>
          <w:szCs w:val="32"/>
          <w:highlight w:val="none"/>
          <w:lang w:eastAsia="zh-CN"/>
        </w:rPr>
        <w:t>）</w:t>
      </w:r>
      <w:r>
        <w:rPr>
          <w:rFonts w:hint="eastAsia" w:ascii="仿宋_GB2312" w:hAnsi="Calibri" w:eastAsia="仿宋_GB2312" w:cs="Times New Roman"/>
          <w:color w:val="auto"/>
          <w:spacing w:val="0"/>
          <w:kern w:val="21"/>
          <w:sz w:val="32"/>
          <w:szCs w:val="32"/>
          <w:highlight w:val="none"/>
          <w:lang w:eastAsia="zh-CN"/>
        </w:rPr>
        <w:t>自</w:t>
      </w:r>
      <w:r>
        <w:rPr>
          <w:rFonts w:hint="eastAsia" w:ascii="仿宋_GB2312" w:hAnsi="Calibri" w:eastAsia="仿宋_GB2312" w:cs="Times New Roman"/>
          <w:color w:val="auto"/>
          <w:spacing w:val="0"/>
          <w:kern w:val="21"/>
          <w:sz w:val="32"/>
          <w:szCs w:val="32"/>
          <w:highlight w:val="none"/>
          <w:lang w:val="en-US" w:eastAsia="zh-CN"/>
        </w:rPr>
        <w:t>本项目</w:t>
      </w:r>
      <w:r>
        <w:rPr>
          <w:rFonts w:hint="eastAsia" w:ascii="仿宋_GB2312" w:hAnsi="仿宋_GB2312" w:eastAsia="仿宋_GB2312" w:cs="仿宋_GB2312"/>
          <w:color w:val="auto"/>
          <w:spacing w:val="0"/>
          <w:kern w:val="21"/>
          <w:sz w:val="32"/>
          <w:szCs w:val="32"/>
          <w:highlight w:val="none"/>
          <w:lang w:eastAsia="zh-CN"/>
        </w:rPr>
        <w:t>政府公告的签约启动之日</w:t>
      </w:r>
      <w:r>
        <w:rPr>
          <w:rFonts w:hint="eastAsia" w:ascii="仿宋_GB2312" w:hAnsi="Calibri" w:eastAsia="仿宋_GB2312" w:cs="Times New Roman"/>
          <w:color w:val="auto"/>
          <w:spacing w:val="0"/>
          <w:kern w:val="21"/>
          <w:sz w:val="32"/>
          <w:szCs w:val="32"/>
          <w:highlight w:val="none"/>
        </w:rPr>
        <w:t>起90日后完成签约</w:t>
      </w:r>
      <w:r>
        <w:rPr>
          <w:rFonts w:hint="eastAsia" w:ascii="仿宋_GB2312" w:hAnsi="仿宋_GB2312" w:eastAsia="仿宋_GB2312" w:cs="仿宋_GB2312"/>
          <w:color w:val="auto"/>
          <w:spacing w:val="0"/>
          <w:kern w:val="21"/>
          <w:sz w:val="32"/>
          <w:szCs w:val="32"/>
          <w:highlight w:val="none"/>
          <w:lang w:eastAsia="zh-CN"/>
        </w:rPr>
        <w:t>的，</w:t>
      </w:r>
      <w:r>
        <w:rPr>
          <w:rFonts w:hint="eastAsia" w:ascii="仿宋_GB2312" w:hAnsi="Calibri" w:eastAsia="仿宋_GB2312" w:cs="Times New Roman"/>
          <w:color w:val="auto"/>
          <w:spacing w:val="0"/>
          <w:kern w:val="21"/>
          <w:sz w:val="32"/>
          <w:szCs w:val="32"/>
          <w:highlight w:val="none"/>
        </w:rPr>
        <w:t>不给予奖励。</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leftChars="0" w:firstLine="0" w:firstLineChars="0"/>
        <w:jc w:val="center"/>
        <w:textAlignment w:val="auto"/>
        <w:outlineLvl w:val="0"/>
        <w:rPr>
          <w:rFonts w:hint="eastAsia" w:ascii="黑体" w:hAnsi="黑体" w:eastAsia="黑体" w:cs="黑体"/>
          <w:color w:val="auto"/>
          <w:spacing w:val="0"/>
          <w:kern w:val="21"/>
          <w:sz w:val="32"/>
          <w:szCs w:val="32"/>
        </w:rPr>
      </w:pPr>
      <w:r>
        <w:rPr>
          <w:rFonts w:hint="eastAsia" w:ascii="黑体" w:hAnsi="黑体" w:eastAsia="黑体" w:cs="黑体"/>
          <w:b w:val="0"/>
          <w:bCs w:val="0"/>
          <w:color w:val="auto"/>
          <w:spacing w:val="0"/>
          <w:kern w:val="21"/>
          <w:sz w:val="32"/>
          <w:szCs w:val="32"/>
          <w:lang w:val="en-US" w:eastAsia="zh-CN"/>
        </w:rPr>
        <w:t>第四章</w:t>
      </w:r>
      <w:r>
        <w:rPr>
          <w:rFonts w:hint="eastAsia" w:ascii="黑体" w:hAnsi="黑体" w:eastAsia="黑体" w:cs="黑体"/>
          <w:b w:val="0"/>
          <w:bCs w:val="0"/>
          <w:color w:val="auto"/>
          <w:spacing w:val="0"/>
          <w:kern w:val="21"/>
          <w:sz w:val="32"/>
          <w:szCs w:val="32"/>
          <w:lang w:eastAsia="zh-CN"/>
        </w:rPr>
        <w:t xml:space="preserve"> 附</w:t>
      </w:r>
      <w:r>
        <w:rPr>
          <w:rFonts w:hint="eastAsia" w:ascii="黑体" w:hAnsi="黑体" w:eastAsia="黑体" w:cs="黑体"/>
          <w:b w:val="0"/>
          <w:bCs w:val="0"/>
          <w:color w:val="auto"/>
          <w:spacing w:val="0"/>
          <w:kern w:val="21"/>
          <w:sz w:val="32"/>
          <w:szCs w:val="32"/>
          <w:lang w:val="en-US" w:eastAsia="zh-CN"/>
        </w:rPr>
        <w:t xml:space="preserve">  </w:t>
      </w:r>
      <w:r>
        <w:rPr>
          <w:rFonts w:hint="eastAsia" w:ascii="黑体" w:hAnsi="黑体" w:eastAsia="黑体" w:cs="黑体"/>
          <w:b w:val="0"/>
          <w:bCs w:val="0"/>
          <w:color w:val="auto"/>
          <w:spacing w:val="0"/>
          <w:kern w:val="21"/>
          <w:sz w:val="32"/>
          <w:szCs w:val="32"/>
          <w:lang w:eastAsia="zh-CN"/>
        </w:rPr>
        <w:t>则</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lang w:eastAsia="zh-CN"/>
        </w:rPr>
      </w:pPr>
      <w:r>
        <w:rPr>
          <w:rFonts w:hint="eastAsia" w:ascii="黑体" w:hAnsi="黑体" w:eastAsia="黑体" w:cs="黑体"/>
          <w:b w:val="0"/>
          <w:bCs w:val="0"/>
          <w:color w:val="auto"/>
          <w:spacing w:val="0"/>
          <w:kern w:val="21"/>
          <w:sz w:val="32"/>
          <w:szCs w:val="32"/>
        </w:rPr>
        <w:t>第</w:t>
      </w:r>
      <w:r>
        <w:rPr>
          <w:rFonts w:hint="eastAsia" w:ascii="黑体" w:hAnsi="黑体" w:eastAsia="黑体" w:cs="黑体"/>
          <w:b w:val="0"/>
          <w:bCs w:val="0"/>
          <w:color w:val="auto"/>
          <w:spacing w:val="0"/>
          <w:kern w:val="21"/>
          <w:sz w:val="32"/>
          <w:szCs w:val="32"/>
          <w:lang w:eastAsia="zh-CN"/>
        </w:rPr>
        <w:t>十</w:t>
      </w:r>
      <w:r>
        <w:rPr>
          <w:rFonts w:hint="eastAsia" w:ascii="黑体" w:hAnsi="黑体" w:eastAsia="黑体" w:cs="黑体"/>
          <w:b w:val="0"/>
          <w:bCs w:val="0"/>
          <w:color w:val="auto"/>
          <w:spacing w:val="0"/>
          <w:kern w:val="21"/>
          <w:sz w:val="32"/>
          <w:szCs w:val="32"/>
          <w:lang w:val="en-US" w:eastAsia="zh-CN"/>
        </w:rPr>
        <w:t>四</w:t>
      </w:r>
      <w:r>
        <w:rPr>
          <w:rFonts w:hint="eastAsia" w:ascii="黑体" w:hAnsi="黑体" w:eastAsia="黑体" w:cs="黑体"/>
          <w:b w:val="0"/>
          <w:bCs w:val="0"/>
          <w:color w:val="auto"/>
          <w:spacing w:val="0"/>
          <w:kern w:val="21"/>
          <w:sz w:val="32"/>
          <w:szCs w:val="32"/>
        </w:rPr>
        <w:t>条【</w:t>
      </w:r>
      <w:r>
        <w:rPr>
          <w:rFonts w:hint="eastAsia" w:ascii="黑体" w:hAnsi="黑体" w:eastAsia="黑体" w:cs="黑体"/>
          <w:color w:val="auto"/>
          <w:spacing w:val="0"/>
          <w:kern w:val="21"/>
          <w:sz w:val="32"/>
          <w:szCs w:val="32"/>
        </w:rPr>
        <w:t>其他</w:t>
      </w:r>
      <w:r>
        <w:rPr>
          <w:rFonts w:hint="eastAsia" w:ascii="黑体" w:hAnsi="黑体" w:eastAsia="黑体" w:cs="黑体"/>
          <w:b w:val="0"/>
          <w:bCs w:val="0"/>
          <w:color w:val="auto"/>
          <w:spacing w:val="0"/>
          <w:kern w:val="21"/>
          <w:sz w:val="32"/>
          <w:szCs w:val="32"/>
        </w:rPr>
        <w:t>问题处理】</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2"/>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color w:val="auto"/>
          <w:spacing w:val="0"/>
          <w:kern w:val="21"/>
          <w:sz w:val="32"/>
          <w:szCs w:val="32"/>
          <w:lang w:val="en-US" w:eastAsia="zh-CN"/>
        </w:rPr>
        <w:t>一</w:t>
      </w: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b w:val="0"/>
          <w:bCs w:val="0"/>
          <w:color w:val="auto"/>
          <w:spacing w:val="0"/>
          <w:kern w:val="21"/>
          <w:sz w:val="32"/>
          <w:szCs w:val="32"/>
        </w:rPr>
        <w:t>符合住房保障条件的被征收人可以申请住房保障</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征收个人住宅房屋，被征收人选择货币补偿的，被征收房屋不记录为住房保障申请条件中的自有住房，被征收人符合《深圳市保障性住房条例》规定的住房保障条件的，可以依法申请住房保障。</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2"/>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color w:val="auto"/>
          <w:spacing w:val="0"/>
          <w:kern w:val="21"/>
          <w:sz w:val="32"/>
          <w:szCs w:val="32"/>
          <w:lang w:val="en-US" w:eastAsia="zh-CN"/>
        </w:rPr>
        <w:t>二</w:t>
      </w: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b w:val="0"/>
          <w:bCs w:val="0"/>
          <w:color w:val="auto"/>
          <w:spacing w:val="0"/>
          <w:kern w:val="21"/>
          <w:sz w:val="32"/>
          <w:szCs w:val="32"/>
        </w:rPr>
        <w:t>设定抵押权的房屋处理</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征收设有抵押的房屋，执行国家有关担保的法律、法规的规定。</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被征收人应当与抵押权人就重新设立抵押权或者偿还债务签订相关协议，并按规定注销原抵押权登记。被征收人与抵押权人达成书面协议的，房屋征收部门应当按照协议对被征收人给予补偿。达不成协议，房屋征收部门对被征收人实行货币补偿的，应当将补偿款向公证机构办理提存并通知被征收人；对被征收人实行房屋产权调换的，抵押权人可以变更抵押物。</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2"/>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color w:val="auto"/>
          <w:spacing w:val="0"/>
          <w:kern w:val="21"/>
          <w:sz w:val="32"/>
          <w:szCs w:val="32"/>
          <w:lang w:val="en-US" w:eastAsia="zh-CN"/>
        </w:rPr>
        <w:t>三</w:t>
      </w: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b w:val="0"/>
          <w:bCs w:val="0"/>
          <w:color w:val="auto"/>
          <w:spacing w:val="0"/>
          <w:kern w:val="21"/>
          <w:sz w:val="32"/>
          <w:szCs w:val="32"/>
        </w:rPr>
        <w:t>房地产权利证书的注销</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房屋征收补偿协议签订时，被征收人应当按照协议的约定向房屋征收部门提交被征收房屋房地产权证书及注销房地产权证书委托书；没有房地产权证书的，应当提交相应的产权证明文件及放弃房地产权的声明书。房屋征收部门应当及时向房地产登记机构办理注销手续。</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征收被查封的房地产的，房屋征收部门应当将征收事项通知查封机关。查封机关解除查封后，房屋征收部门应当及时向房地产登记机构办理注销等房地产登记手续。</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2"/>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color w:val="auto"/>
          <w:spacing w:val="0"/>
          <w:kern w:val="21"/>
          <w:sz w:val="32"/>
          <w:szCs w:val="32"/>
          <w:lang w:val="en-US" w:eastAsia="zh-CN"/>
        </w:rPr>
        <w:t>四</w:t>
      </w: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b w:val="0"/>
          <w:bCs w:val="0"/>
          <w:color w:val="auto"/>
          <w:spacing w:val="0"/>
          <w:kern w:val="21"/>
          <w:sz w:val="32"/>
          <w:szCs w:val="32"/>
        </w:rPr>
        <w:t>未达成补偿协议及不履行补偿决定的处理</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房屋征收部门与被征收人在征收补偿方案确定的签约期限内达不成征收补偿协议的，或者被征收房屋所有人不明确的，由房屋征收部门报请作出房屋征收决定的辖区政府作出补偿决定，并在房屋征收范围内予以公告。</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补偿决定应当包括补偿方式、被征收房屋补偿金额、用于产权调换房屋的地点、面积和房地产评估价格、搬迁费、临时安置费、停产停业损失、搬迁期限、过渡方式、过渡期限以及补偿费用支付期限等事项。</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被征收人在法定期限内不申请行政复议或者不提起行政诉讼，在补偿决定规定的期限内又不搬迁的，由深圳市罗湖区人民政府依法向人民法院申请强制执行。</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2"/>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color w:val="auto"/>
          <w:spacing w:val="0"/>
          <w:kern w:val="21"/>
          <w:sz w:val="32"/>
          <w:szCs w:val="32"/>
          <w:lang w:val="en-US" w:eastAsia="zh-CN"/>
        </w:rPr>
        <w:t>五</w:t>
      </w: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b w:val="0"/>
          <w:bCs w:val="0"/>
          <w:color w:val="auto"/>
          <w:spacing w:val="0"/>
          <w:kern w:val="21"/>
          <w:sz w:val="32"/>
          <w:szCs w:val="32"/>
        </w:rPr>
        <w:t>无法评估、测绘的处理</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因被征收人不同意评估、测绘机构进场等原因导致房屋征收的评估、测绘无法正常进行的，房屋征收部门应当依法进行证据保全后，会同依照342号</w:t>
      </w:r>
      <w:r>
        <w:rPr>
          <w:rFonts w:hint="eastAsia" w:ascii="仿宋_GB2312" w:hAnsi="仿宋_GB2312" w:eastAsia="仿宋_GB2312" w:cs="仿宋_GB2312"/>
          <w:color w:val="auto"/>
          <w:spacing w:val="0"/>
          <w:kern w:val="21"/>
          <w:sz w:val="32"/>
          <w:szCs w:val="32"/>
          <w:lang w:val="en-US" w:eastAsia="zh-CN"/>
        </w:rPr>
        <w:t>令</w:t>
      </w:r>
      <w:r>
        <w:rPr>
          <w:rFonts w:hint="eastAsia" w:ascii="仿宋_GB2312" w:hAnsi="仿宋_GB2312" w:eastAsia="仿宋_GB2312" w:cs="仿宋_GB2312"/>
          <w:color w:val="auto"/>
          <w:spacing w:val="0"/>
          <w:kern w:val="21"/>
          <w:sz w:val="32"/>
          <w:szCs w:val="32"/>
          <w:lang w:eastAsia="zh-CN"/>
        </w:rPr>
        <w:t>确定的评估、测绘机构以实测占地面积、目测房屋层数等合理方式估定相关评估、测绘参数，以相关参数作为房屋征收的评估、测绘工作依据，最终确定被征收房屋补偿金额并作出房屋征收补偿决定，有类似被征收房屋的也可以比照类似被征收房屋的补偿金额予以确定。</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2"/>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color w:val="auto"/>
          <w:spacing w:val="0"/>
          <w:kern w:val="21"/>
          <w:sz w:val="32"/>
          <w:szCs w:val="32"/>
          <w:lang w:val="en-US" w:eastAsia="zh-CN"/>
        </w:rPr>
        <w:t>六</w:t>
      </w:r>
      <w:r>
        <w:rPr>
          <w:rFonts w:hint="eastAsia" w:ascii="楷体_GB2312" w:hAnsi="楷体_GB2312" w:eastAsia="楷体_GB2312" w:cs="楷体_GB2312"/>
          <w:color w:val="auto"/>
          <w:spacing w:val="0"/>
          <w:kern w:val="21"/>
          <w:sz w:val="32"/>
          <w:szCs w:val="32"/>
          <w:lang w:eastAsia="zh-CN"/>
        </w:rPr>
        <w:t>）</w:t>
      </w:r>
      <w:r>
        <w:rPr>
          <w:rFonts w:hint="eastAsia" w:ascii="楷体_GB2312" w:hAnsi="楷体_GB2312" w:eastAsia="楷体_GB2312" w:cs="楷体_GB2312"/>
          <w:b w:val="0"/>
          <w:bCs w:val="0"/>
          <w:color w:val="auto"/>
          <w:spacing w:val="0"/>
          <w:kern w:val="21"/>
          <w:sz w:val="32"/>
          <w:szCs w:val="32"/>
        </w:rPr>
        <w:t>评估报告异议的处理方法</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被征收人或者房屋征收部门对评估报告有疑问的，房屋征收评估机构应当作出解释说明。被征收人或房屋征收部门对评估结果有异议的，应当自收到评估报告之日起10日内，向房屋征收评估机构书面申请复核评估。</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原房屋征收评估机构应当自收到书面复核评估申请之日起10日内对评估结果进行复核。复核后，改变原评估结果的，应当重新出具评估报告；评估结果没有改变的，应当书面告知复核评估申请人。</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lang w:eastAsia="zh-CN"/>
        </w:rPr>
      </w:pPr>
      <w:r>
        <w:rPr>
          <w:rFonts w:hint="eastAsia" w:ascii="仿宋_GB2312" w:hAnsi="仿宋_GB2312" w:eastAsia="仿宋_GB2312" w:cs="仿宋_GB2312"/>
          <w:color w:val="auto"/>
          <w:spacing w:val="0"/>
          <w:kern w:val="21"/>
          <w:sz w:val="32"/>
          <w:szCs w:val="32"/>
          <w:lang w:eastAsia="zh-CN"/>
        </w:rPr>
        <w:t>被征收人或者房屋征收部门对房屋征收评估机构的复核结果仍有异议的，可以自收到复核结果之日起10日内，向评估专家委员会申请技术鉴定。</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rPr>
      </w:pPr>
      <w:r>
        <w:rPr>
          <w:rFonts w:hint="eastAsia" w:ascii="仿宋_GB2312" w:hAnsi="仿宋_GB2312" w:eastAsia="仿宋_GB2312" w:cs="仿宋_GB2312"/>
          <w:color w:val="auto"/>
          <w:spacing w:val="0"/>
          <w:kern w:val="21"/>
          <w:sz w:val="32"/>
          <w:szCs w:val="32"/>
          <w:lang w:eastAsia="zh-CN"/>
        </w:rPr>
        <w:t>评估专家委员会应当自收到鉴定申请之日起10日内对申请进行审查，同意受理的应当指派3人以上单数成员组成鉴定组承担鉴定工作，不同意受理的应当书面答复鉴定申请人。鉴定组组成人员中房地产（土地、资产）估价师应当超过半数</w:t>
      </w:r>
      <w:r>
        <w:rPr>
          <w:rFonts w:hint="eastAsia" w:ascii="仿宋_GB2312" w:hAnsi="仿宋_GB2312" w:eastAsia="仿宋_GB2312" w:cs="仿宋_GB2312"/>
          <w:color w:val="auto"/>
          <w:spacing w:val="0"/>
          <w:kern w:val="21"/>
          <w:sz w:val="32"/>
          <w:szCs w:val="32"/>
        </w:rPr>
        <w:t>。</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rPr>
      </w:pPr>
      <w:r>
        <w:rPr>
          <w:rFonts w:hint="eastAsia" w:ascii="黑体" w:hAnsi="黑体" w:eastAsia="黑体" w:cs="黑体"/>
          <w:b w:val="0"/>
          <w:bCs w:val="0"/>
          <w:color w:val="auto"/>
          <w:spacing w:val="0"/>
          <w:kern w:val="21"/>
          <w:sz w:val="32"/>
          <w:szCs w:val="32"/>
        </w:rPr>
        <w:t>第</w:t>
      </w:r>
      <w:r>
        <w:rPr>
          <w:rFonts w:hint="eastAsia" w:ascii="黑体" w:hAnsi="黑体" w:eastAsia="黑体" w:cs="黑体"/>
          <w:b w:val="0"/>
          <w:bCs w:val="0"/>
          <w:color w:val="auto"/>
          <w:spacing w:val="0"/>
          <w:kern w:val="21"/>
          <w:sz w:val="32"/>
          <w:szCs w:val="32"/>
          <w:lang w:eastAsia="zh-CN"/>
        </w:rPr>
        <w:t>十</w:t>
      </w:r>
      <w:r>
        <w:rPr>
          <w:rFonts w:hint="eastAsia" w:ascii="黑体" w:hAnsi="黑体" w:eastAsia="黑体" w:cs="黑体"/>
          <w:b w:val="0"/>
          <w:bCs w:val="0"/>
          <w:color w:val="auto"/>
          <w:spacing w:val="0"/>
          <w:kern w:val="21"/>
          <w:sz w:val="32"/>
          <w:szCs w:val="32"/>
          <w:lang w:val="en-US" w:eastAsia="zh-CN"/>
        </w:rPr>
        <w:t>五</w:t>
      </w:r>
      <w:r>
        <w:rPr>
          <w:rFonts w:hint="eastAsia" w:ascii="黑体" w:hAnsi="黑体" w:eastAsia="黑体" w:cs="黑体"/>
          <w:b w:val="0"/>
          <w:bCs w:val="0"/>
          <w:color w:val="auto"/>
          <w:spacing w:val="0"/>
          <w:kern w:val="21"/>
          <w:sz w:val="32"/>
          <w:szCs w:val="32"/>
        </w:rPr>
        <w:t>条【</w:t>
      </w:r>
      <w:r>
        <w:rPr>
          <w:rFonts w:hint="eastAsia" w:ascii="黑体" w:hAnsi="黑体" w:eastAsia="黑体" w:cs="黑体"/>
          <w:color w:val="auto"/>
          <w:spacing w:val="0"/>
          <w:kern w:val="21"/>
          <w:sz w:val="32"/>
          <w:szCs w:val="32"/>
        </w:rPr>
        <w:t>资金账户</w:t>
      </w:r>
      <w:r>
        <w:rPr>
          <w:rFonts w:hint="eastAsia" w:ascii="黑体" w:hAnsi="黑体" w:eastAsia="黑体" w:cs="黑体"/>
          <w:b w:val="0"/>
          <w:bCs w:val="0"/>
          <w:color w:val="auto"/>
          <w:spacing w:val="0"/>
          <w:kern w:val="21"/>
          <w:sz w:val="32"/>
          <w:szCs w:val="32"/>
        </w:rPr>
        <w:t>】</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rPr>
      </w:pPr>
      <w:r>
        <w:rPr>
          <w:rFonts w:hint="eastAsia" w:ascii="仿宋_GB2312" w:hAnsi="仿宋_GB2312" w:eastAsia="仿宋_GB2312" w:cs="仿宋_GB2312"/>
          <w:color w:val="auto"/>
          <w:spacing w:val="0"/>
          <w:kern w:val="21"/>
          <w:sz w:val="32"/>
          <w:szCs w:val="32"/>
        </w:rPr>
        <w:t>户    名：深圳市罗湖区土地整备中心</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rPr>
      </w:pPr>
      <w:r>
        <w:rPr>
          <w:rFonts w:hint="eastAsia" w:ascii="仿宋_GB2312" w:hAnsi="仿宋_GB2312" w:eastAsia="仿宋_GB2312" w:cs="仿宋_GB2312"/>
          <w:color w:val="auto"/>
          <w:spacing w:val="0"/>
          <w:kern w:val="21"/>
          <w:sz w:val="32"/>
          <w:szCs w:val="32"/>
        </w:rPr>
        <w:t>开户银行：</w:t>
      </w:r>
      <w:r>
        <w:rPr>
          <w:rFonts w:hint="eastAsia" w:ascii="仿宋_GB2312" w:hAnsi="仿宋_GB2312" w:eastAsia="仿宋_GB2312" w:cs="仿宋_GB2312"/>
          <w:color w:val="auto"/>
          <w:spacing w:val="0"/>
          <w:kern w:val="21"/>
          <w:sz w:val="32"/>
          <w:szCs w:val="32"/>
          <w:lang w:val="en-US" w:eastAsia="zh-CN"/>
        </w:rPr>
        <w:t>中国银行深圳深南支行</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0"/>
          <w:kern w:val="21"/>
          <w:sz w:val="32"/>
          <w:szCs w:val="32"/>
        </w:rPr>
      </w:pPr>
      <w:r>
        <w:rPr>
          <w:rFonts w:hint="eastAsia" w:ascii="仿宋_GB2312" w:hAnsi="仿宋_GB2312" w:eastAsia="仿宋_GB2312" w:cs="仿宋_GB2312"/>
          <w:color w:val="auto"/>
          <w:spacing w:val="0"/>
          <w:kern w:val="21"/>
          <w:sz w:val="32"/>
          <w:szCs w:val="32"/>
        </w:rPr>
        <w:t>账    号：</w:t>
      </w:r>
      <w:r>
        <w:rPr>
          <w:rFonts w:hint="eastAsia" w:ascii="仿宋_GB2312" w:hAnsi="仿宋_GB2312" w:eastAsia="仿宋_GB2312" w:cs="仿宋_GB2312"/>
          <w:color w:val="auto"/>
          <w:spacing w:val="0"/>
          <w:kern w:val="21"/>
          <w:sz w:val="32"/>
          <w:szCs w:val="32"/>
          <w:lang w:val="en-US" w:eastAsia="zh-CN"/>
        </w:rPr>
        <w:t>745857945713</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color w:val="auto"/>
          <w:spacing w:val="0"/>
          <w:kern w:val="21"/>
          <w:sz w:val="32"/>
          <w:szCs w:val="32"/>
        </w:rPr>
      </w:pPr>
      <w:r>
        <w:rPr>
          <w:rFonts w:hint="eastAsia" w:ascii="黑体" w:hAnsi="黑体" w:eastAsia="黑体" w:cs="黑体"/>
          <w:b w:val="0"/>
          <w:bCs w:val="0"/>
          <w:color w:val="auto"/>
          <w:spacing w:val="0"/>
          <w:kern w:val="21"/>
          <w:sz w:val="32"/>
          <w:szCs w:val="32"/>
        </w:rPr>
        <w:t>第</w:t>
      </w:r>
      <w:r>
        <w:rPr>
          <w:rFonts w:hint="eastAsia" w:ascii="黑体" w:hAnsi="黑体" w:eastAsia="黑体" w:cs="黑体"/>
          <w:b w:val="0"/>
          <w:bCs w:val="0"/>
          <w:color w:val="auto"/>
          <w:spacing w:val="0"/>
          <w:kern w:val="21"/>
          <w:sz w:val="32"/>
          <w:szCs w:val="32"/>
          <w:lang w:eastAsia="zh-CN"/>
        </w:rPr>
        <w:t>十</w:t>
      </w:r>
      <w:r>
        <w:rPr>
          <w:rFonts w:hint="eastAsia" w:ascii="黑体" w:hAnsi="黑体" w:eastAsia="黑体" w:cs="黑体"/>
          <w:b w:val="0"/>
          <w:bCs w:val="0"/>
          <w:color w:val="auto"/>
          <w:spacing w:val="0"/>
          <w:kern w:val="21"/>
          <w:sz w:val="32"/>
          <w:szCs w:val="32"/>
          <w:lang w:val="en-US" w:eastAsia="zh-CN"/>
        </w:rPr>
        <w:t>六</w:t>
      </w:r>
      <w:r>
        <w:rPr>
          <w:rFonts w:hint="eastAsia" w:ascii="黑体" w:hAnsi="黑体" w:eastAsia="黑体" w:cs="黑体"/>
          <w:b w:val="0"/>
          <w:bCs w:val="0"/>
          <w:color w:val="auto"/>
          <w:spacing w:val="0"/>
          <w:kern w:val="21"/>
          <w:sz w:val="32"/>
          <w:szCs w:val="32"/>
        </w:rPr>
        <w:t xml:space="preserve">条 </w:t>
      </w:r>
      <w:r>
        <w:rPr>
          <w:rFonts w:hint="eastAsia" w:ascii="黑体" w:hAnsi="黑体" w:eastAsia="黑体" w:cs="黑体"/>
          <w:color w:val="auto"/>
          <w:spacing w:val="0"/>
          <w:kern w:val="21"/>
          <w:sz w:val="32"/>
          <w:szCs w:val="32"/>
        </w:rPr>
        <w:t>【生效与废止】</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仿宋_GB2312" w:hAnsi="Calibri" w:eastAsia="仿宋_GB2312" w:cs="Times New Roman"/>
          <w:color w:val="auto"/>
          <w:spacing w:val="0"/>
          <w:kern w:val="21"/>
          <w:sz w:val="32"/>
          <w:szCs w:val="32"/>
        </w:rPr>
      </w:pPr>
      <w:r>
        <w:rPr>
          <w:rFonts w:hint="eastAsia" w:ascii="仿宋_GB2312" w:hAnsi="Calibri" w:eastAsia="仿宋_GB2312" w:cs="Times New Roman"/>
          <w:color w:val="auto"/>
          <w:spacing w:val="0"/>
          <w:kern w:val="21"/>
          <w:sz w:val="32"/>
          <w:szCs w:val="32"/>
        </w:rPr>
        <w:t>本方案自发布之日起施行，至本项目补偿完毕之日</w:t>
      </w:r>
      <w:r>
        <w:rPr>
          <w:rFonts w:hint="eastAsia" w:ascii="仿宋_GB2312" w:hAnsi="Calibri" w:eastAsia="仿宋_GB2312" w:cs="Times New Roman"/>
          <w:color w:val="auto"/>
          <w:spacing w:val="0"/>
          <w:kern w:val="21"/>
          <w:sz w:val="32"/>
          <w:szCs w:val="32"/>
          <w:lang w:val="en-US" w:eastAsia="zh-CN"/>
        </w:rPr>
        <w:t>废止</w:t>
      </w:r>
      <w:r>
        <w:rPr>
          <w:rFonts w:hint="eastAsia" w:ascii="仿宋_GB2312" w:hAnsi="Calibri" w:eastAsia="仿宋_GB2312" w:cs="Times New Roman"/>
          <w:color w:val="auto"/>
          <w:spacing w:val="0"/>
          <w:kern w:val="21"/>
          <w:sz w:val="32"/>
          <w:szCs w:val="32"/>
        </w:rPr>
        <w:t>。</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outlineLvl w:val="1"/>
        <w:rPr>
          <w:rFonts w:hint="eastAsia" w:ascii="黑体" w:hAnsi="黑体" w:eastAsia="黑体" w:cs="黑体"/>
          <w:b w:val="0"/>
          <w:bCs w:val="0"/>
          <w:color w:val="auto"/>
          <w:spacing w:val="0"/>
          <w:kern w:val="21"/>
          <w:sz w:val="32"/>
          <w:szCs w:val="32"/>
        </w:rPr>
      </w:pPr>
      <w:r>
        <w:rPr>
          <w:rFonts w:hint="eastAsia" w:ascii="黑体" w:hAnsi="黑体" w:eastAsia="黑体" w:cs="黑体"/>
          <w:color w:val="auto"/>
          <w:spacing w:val="0"/>
          <w:kern w:val="21"/>
          <w:sz w:val="32"/>
          <w:szCs w:val="32"/>
        </w:rPr>
        <w:t>第</w:t>
      </w:r>
      <w:r>
        <w:rPr>
          <w:rFonts w:hint="eastAsia" w:ascii="黑体" w:hAnsi="黑体" w:eastAsia="黑体" w:cs="黑体"/>
          <w:b w:val="0"/>
          <w:bCs w:val="0"/>
          <w:color w:val="auto"/>
          <w:spacing w:val="0"/>
          <w:kern w:val="21"/>
          <w:sz w:val="32"/>
          <w:szCs w:val="32"/>
          <w:lang w:eastAsia="zh-CN"/>
        </w:rPr>
        <w:t>十</w:t>
      </w:r>
      <w:r>
        <w:rPr>
          <w:rFonts w:hint="eastAsia" w:ascii="黑体" w:hAnsi="黑体" w:eastAsia="黑体" w:cs="黑体"/>
          <w:b w:val="0"/>
          <w:bCs w:val="0"/>
          <w:color w:val="auto"/>
          <w:spacing w:val="0"/>
          <w:kern w:val="21"/>
          <w:sz w:val="32"/>
          <w:szCs w:val="32"/>
          <w:lang w:val="en-US" w:eastAsia="zh-CN"/>
        </w:rPr>
        <w:t>七</w:t>
      </w:r>
      <w:r>
        <w:rPr>
          <w:rFonts w:hint="eastAsia" w:ascii="黑体" w:hAnsi="黑体" w:eastAsia="黑体" w:cs="黑体"/>
          <w:color w:val="auto"/>
          <w:spacing w:val="0"/>
          <w:kern w:val="21"/>
          <w:sz w:val="32"/>
          <w:szCs w:val="32"/>
        </w:rPr>
        <w:t>条</w:t>
      </w:r>
      <w:r>
        <w:rPr>
          <w:rFonts w:hint="eastAsia" w:ascii="黑体" w:hAnsi="黑体" w:eastAsia="黑体" w:cs="黑体"/>
          <w:b w:val="0"/>
          <w:bCs w:val="0"/>
          <w:color w:val="auto"/>
          <w:spacing w:val="0"/>
          <w:kern w:val="21"/>
          <w:sz w:val="32"/>
          <w:szCs w:val="32"/>
        </w:rPr>
        <w:t xml:space="preserve"> 【方案解释】</w:t>
      </w:r>
    </w:p>
    <w:p>
      <w:pPr>
        <w:keepNext w:val="0"/>
        <w:keepLines w:val="0"/>
        <w:pageBreakBefore w:val="0"/>
        <w:widowControl w:val="0"/>
        <w:kinsoku/>
        <w:wordWrap/>
        <w:overflowPunct w:val="0"/>
        <w:topLinePunct w:val="0"/>
        <w:autoSpaceDE/>
        <w:autoSpaceDN/>
        <w:bidi w:val="0"/>
        <w:adjustRightInd/>
        <w:snapToGrid/>
        <w:spacing w:line="560" w:lineRule="exact"/>
        <w:ind w:firstLine="652" w:firstLineChars="200"/>
        <w:textAlignment w:val="auto"/>
        <w:rPr>
          <w:rFonts w:hint="eastAsia" w:ascii="Calibri" w:hAnsi="Calibri" w:eastAsia="宋体"/>
          <w:color w:val="auto"/>
          <w:spacing w:val="0"/>
          <w:kern w:val="21"/>
          <w:sz w:val="21"/>
          <w:szCs w:val="24"/>
          <w:lang w:val="en-US" w:eastAsia="zh-CN"/>
        </w:rPr>
      </w:pPr>
      <w:r>
        <w:rPr>
          <w:rFonts w:hint="eastAsia" w:ascii="仿宋_GB2312" w:hAnsi="仿宋_GB2312" w:eastAsia="仿宋_GB2312" w:cs="仿宋_GB2312"/>
          <w:color w:val="auto"/>
          <w:spacing w:val="0"/>
          <w:kern w:val="21"/>
          <w:sz w:val="32"/>
          <w:szCs w:val="32"/>
          <w:lang w:eastAsia="zh-CN"/>
        </w:rPr>
        <w:t>深圳市罗湖区城市更新和土地整备局负责本方案的解释，本方案中未尽事宜及特殊个案，按照国家、广东省和深圳市现行相关法规政策办理。</w:t>
      </w:r>
    </w:p>
    <w:p>
      <w:pPr>
        <w:rPr>
          <w:rFonts w:hint="default"/>
          <w:lang w:val="en-US" w:eastAsia="zh-CN"/>
        </w:rPr>
      </w:pPr>
    </w:p>
    <w:sectPr>
      <w:headerReference r:id="rId3" w:type="default"/>
      <w:footerReference r:id="rId4" w:type="default"/>
      <w:footerReference r:id="rId5" w:type="even"/>
      <w:pgSz w:w="11905" w:h="16838"/>
      <w:pgMar w:top="2098" w:right="1474" w:bottom="1984" w:left="1587" w:header="851" w:footer="1037" w:gutter="0"/>
      <w:paperSrc/>
      <w:lnNumType w:countBy="0" w:restart="continuous"/>
      <w:pgNumType w:fmt="decimal"/>
      <w:cols w:space="720" w:num="1"/>
      <w:rtlGutter w:val="0"/>
      <w:docGrid w:type="linesAndChars" w:linePitch="592" w:charSpace="122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1" w:usb1="08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1" w:usb1="080E0000" w:usb2="00000000" w:usb3="00000000" w:csb0="00040000" w:csb1="00000000"/>
  </w:font>
  <w:font w:name="方正仿宋_GBK">
    <w:altName w:val="微软雅黑"/>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-570230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keepNext w:val="0"/>
                            <w:keepLines w:val="0"/>
                            <w:pageBreakBefore w:val="0"/>
                            <w:widowControl w:val="0"/>
                            <w:kinsoku/>
                            <w:wordWrap/>
                            <w:overflowPunct/>
                            <w:topLinePunct w:val="0"/>
                            <w:bidi w:val="0"/>
                            <w:adjustRightInd/>
                            <w:snapToGrid w:val="0"/>
                            <w:ind w:left="308" w:leftChars="100" w:right="308" w:rightChars="1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- 1 -</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44.9pt;height:144pt;width:144pt;mso-position-horizontal:outside;mso-position-horizontal-relative:margin;mso-wrap-style:none;z-index:251659264;mso-width-relative:page;mso-height-relative:page;" filled="f" stroked="f" coordsize="21600,21600" o:gfxdata="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x+Ws0wAAAAgBAAAPAAAAAAAA&#10;AAEAIAAAACIAAABkcnMvZG93bnJldi54bWxQSwECFAAUAAAACACHTuJAFE3da94BAAC+AwAADgAA&#10;AAAAAAABACAAAAAiAQAAZHJzL2Uyb0RvYy54bWxQSwUGAAAAAAYABgBZAQAAcgUAAAAA&#10;">
              <v:fill on="f" focussize="0,0"/>
              <v:stroke on="f"/>
              <v:imagedata o:title=""/>
              <o:lock v:ext="edit" aspectratio="f"/>
              <v:textbox inset="0mm,0mm,0mm,0mm" style="mso-fit-shape-to-text:t;">
                <w:txbxContent>
                  <w:p>
                    <w:pPr>
                      <w:keepNext w:val="0"/>
                      <w:keepLines w:val="0"/>
                      <w:pageBreakBefore w:val="0"/>
                      <w:widowControl w:val="0"/>
                      <w:kinsoku/>
                      <w:wordWrap/>
                      <w:overflowPunct/>
                      <w:topLinePunct w:val="0"/>
                      <w:bidi w:val="0"/>
                      <w:adjustRightInd/>
                      <w:snapToGrid w:val="0"/>
                      <w:ind w:left="308" w:leftChars="100" w:right="308" w:rightChars="1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- 1 -</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-361950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2</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wps:txbx>
                    <wps:bodyPr wrap="none" lIns="0" tIns="0" rIns="0" bIns="0" upright="0">
                      <a:spAutoFit/>
                    </wps:bodyPr>
                  </wps:wsp>
                </a:graphicData>
              </a:graphic>
            </wp:anchor>
          </w:drawing>
        </mc:Choice>
        <mc:Fallback>
          <w:pict>
            <v:shape id="文本框 5" o:spid="_x0000_s1026" o:spt="202" type="#_x0000_t202" style="position:absolute;left:0pt;margin-top:-28.5pt;height:144pt;width:144pt;mso-position-horizontal:outside;mso-position-horizontal-relative:margin;mso-wrap-style:none;z-index:251660288;mso-width-relative:page;mso-height-relative:page;" filled="f" stroked="f" coordsize="21600,21600" o:gfxdata="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aqzntQAAAAIAQAADwAAAAAAAAABACAAAAAiAAAAZHJzL2Rvd25y&#10;ZXYueG1sUEsBAhQAFAAAAAgAh07iQMZ+60jJAQAAmQMAAA4AAAAAAAAAAQAgAAAAIwEAAGRycy9l&#10;Mm9Eb2MueG1sUEsFBgAAAAAGAAYAWQEAAF4FAAAAAA==&#10;">
              <v:fill on="f" focussize="0,0"/>
              <v:stroke on="f"/>
              <v:imagedata o:title=""/>
              <o:lock v:ext="edit" aspectratio="f"/>
              <v:textbox inset="0mm,0mm,0mm,0mm" style="mso-fit-shape-to-text:t;">
                <w:txbxContent>
                  <w:p>
                    <w:pPr>
                      <w:widowControl w:val="0"/>
                      <w:snapToGrid w:val="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2</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chineseCountingThousand"/>
      <w:pStyle w:val="14"/>
      <w:suff w:val="space"/>
      <w:lvlText w:val="第%1章"/>
      <w:lvlJc w:val="left"/>
      <w:pPr>
        <w:ind w:left="0" w:firstLine="454"/>
      </w:pPr>
      <w:rPr>
        <w:rFonts w:hint="eastAsia" w:eastAsia="黑体"/>
        <w:color w:val="auto"/>
      </w:rPr>
    </w:lvl>
    <w:lvl w:ilvl="1" w:tentative="0">
      <w:start w:val="1"/>
      <w:numFmt w:val="chineseCountingThousand"/>
      <w:suff w:val="space"/>
      <w:lvlText w:val="第%2条"/>
      <w:lvlJc w:val="left"/>
      <w:pPr>
        <w:ind w:left="0" w:firstLine="0"/>
      </w:pPr>
      <w:rPr>
        <w:rFonts w:hint="eastAsia" w:eastAsia="黑体"/>
        <w:color w:val="auto"/>
      </w:rPr>
    </w:lvl>
    <w:lvl w:ilvl="2" w:tentative="0">
      <w:start w:val="1"/>
      <w:numFmt w:val="chineseCountingThousand"/>
      <w:suff w:val="space"/>
      <w:lvlText w:val="第%3条"/>
      <w:lvlJc w:val="left"/>
      <w:pPr>
        <w:ind w:left="0" w:firstLine="454"/>
      </w:pPr>
      <w:rPr>
        <w:rFonts w:hint="eastAsia"/>
        <w:color w:val="auto"/>
      </w:rPr>
    </w:lvl>
    <w:lvl w:ilvl="3" w:tentative="0">
      <w:start w:val="1"/>
      <w:numFmt w:val="chineseCountingThousand"/>
      <w:suff w:val="space"/>
      <w:lvlText w:val="（%4）"/>
      <w:lvlJc w:val="left"/>
      <w:pPr>
        <w:ind w:left="0" w:firstLine="340"/>
      </w:pPr>
      <w:rPr>
        <w:rFonts w:hint="eastAsia"/>
        <w:color w:val="auto"/>
      </w:rPr>
    </w:lvl>
    <w:lvl w:ilvl="4" w:tentative="0">
      <w:start w:val="1"/>
      <w:numFmt w:val="decimal"/>
      <w:suff w:val="space"/>
      <w:lvlText w:val="%5．"/>
      <w:lvlJc w:val="left"/>
      <w:pPr>
        <w:ind w:left="0" w:firstLine="454"/>
      </w:pPr>
      <w:rPr>
        <w:rFonts w:hint="eastAsia"/>
        <w:color w:val="auto"/>
      </w:rPr>
    </w:lvl>
    <w:lvl w:ilvl="5" w:tentative="0">
      <w:start w:val="1"/>
      <w:numFmt w:val="decimal"/>
      <w:suff w:val="space"/>
      <w:lvlText w:val="（%6）"/>
      <w:lvlJc w:val="left"/>
      <w:pPr>
        <w:ind w:left="0" w:firstLine="340"/>
      </w:pPr>
      <w:rPr>
        <w:rFonts w:hint="eastAsia"/>
        <w:color w:val="auto"/>
      </w:rPr>
    </w:lvl>
    <w:lvl w:ilvl="6" w:tentative="0">
      <w:start w:val="1"/>
      <w:numFmt w:val="decimalEnclosedCircle"/>
      <w:suff w:val="space"/>
      <w:lvlText w:val="%7 "/>
      <w:lvlJc w:val="left"/>
      <w:pPr>
        <w:ind w:left="0" w:firstLine="454"/>
      </w:pPr>
      <w:rPr>
        <w:rFonts w:hint="eastAsia"/>
        <w:color w:val="auto"/>
      </w:rPr>
    </w:lvl>
    <w:lvl w:ilvl="7" w:tentative="0">
      <w:start w:val="1"/>
      <w:numFmt w:val="decimal"/>
      <w:suff w:val="space"/>
      <w:lvlText w:val="%8）"/>
      <w:lvlJc w:val="left"/>
      <w:pPr>
        <w:ind w:left="0" w:firstLine="454"/>
      </w:pPr>
      <w:rPr>
        <w:rFonts w:hint="eastAsia"/>
        <w:color w:val="auto"/>
      </w:rPr>
    </w:lvl>
    <w:lvl w:ilvl="8" w:tentative="0">
      <w:start w:val="1"/>
      <w:numFmt w:val="none"/>
      <w:suff w:val="space"/>
      <w:lvlText w:val="a．"/>
      <w:lvlJc w:val="left"/>
      <w:pPr>
        <w:ind w:left="0" w:firstLine="454"/>
      </w:pPr>
      <w:rPr>
        <w:rFonts w:hint="eastAsia"/>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7"/>
  <w:bordersDoNotSurroundHeader w:val="1"/>
  <w:bordersDoNotSurroundFooter w:val="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attachedTemplate r:id="rId1"/>
  <w:documentProtection w:enforcement="0"/>
  <w:defaultTabStop w:val="420"/>
  <w:hyphenationZone w:val="360"/>
  <w:drawingGridHorizontalSpacing w:val="308"/>
  <w:drawingGridVerticalSpacing w:val="296"/>
  <w:displayHorizontalDrawingGridEvery w:val="1"/>
  <w:displayVerticalDrawingGridEvery w:val="2"/>
  <w:characterSpacingControl w:val="doNotCompress"/>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0NmYyYjY1NmQ5ZDk1MGQ5NDA1NzZhOGJiYWJjYzMifQ=="/>
  </w:docVars>
  <w:rsids>
    <w:rsidRoot w:val="7FDF2B97"/>
    <w:rsid w:val="00071F92"/>
    <w:rsid w:val="001B173E"/>
    <w:rsid w:val="012F690B"/>
    <w:rsid w:val="02D15216"/>
    <w:rsid w:val="0475505E"/>
    <w:rsid w:val="056117E3"/>
    <w:rsid w:val="057A1088"/>
    <w:rsid w:val="071D6BB9"/>
    <w:rsid w:val="07620A32"/>
    <w:rsid w:val="07FB2CF3"/>
    <w:rsid w:val="089B030C"/>
    <w:rsid w:val="08C302C2"/>
    <w:rsid w:val="0B0758A7"/>
    <w:rsid w:val="0B6B681B"/>
    <w:rsid w:val="0B7948E1"/>
    <w:rsid w:val="0DDB40CB"/>
    <w:rsid w:val="0E2231B2"/>
    <w:rsid w:val="0EED5E99"/>
    <w:rsid w:val="0F244062"/>
    <w:rsid w:val="13760AF9"/>
    <w:rsid w:val="16383B80"/>
    <w:rsid w:val="165F0016"/>
    <w:rsid w:val="18FA44BA"/>
    <w:rsid w:val="1AED7FC5"/>
    <w:rsid w:val="1B6C448D"/>
    <w:rsid w:val="1D6567C6"/>
    <w:rsid w:val="1FC15723"/>
    <w:rsid w:val="21672AEF"/>
    <w:rsid w:val="229C47D4"/>
    <w:rsid w:val="236964A7"/>
    <w:rsid w:val="24F95938"/>
    <w:rsid w:val="27B96F91"/>
    <w:rsid w:val="283163FF"/>
    <w:rsid w:val="29D81C33"/>
    <w:rsid w:val="2A994270"/>
    <w:rsid w:val="2C367966"/>
    <w:rsid w:val="2C934B7C"/>
    <w:rsid w:val="2CB97AED"/>
    <w:rsid w:val="2FA6143A"/>
    <w:rsid w:val="331A42E4"/>
    <w:rsid w:val="33B2590B"/>
    <w:rsid w:val="354A33CA"/>
    <w:rsid w:val="36B701C2"/>
    <w:rsid w:val="37C10485"/>
    <w:rsid w:val="38234CA6"/>
    <w:rsid w:val="38D01EDB"/>
    <w:rsid w:val="3B59F521"/>
    <w:rsid w:val="3B617677"/>
    <w:rsid w:val="3F565079"/>
    <w:rsid w:val="3F6FB044"/>
    <w:rsid w:val="3FBE4581"/>
    <w:rsid w:val="40965C4E"/>
    <w:rsid w:val="42DF0DC2"/>
    <w:rsid w:val="44E8249C"/>
    <w:rsid w:val="45B52AE9"/>
    <w:rsid w:val="47466D15"/>
    <w:rsid w:val="4ADF5065"/>
    <w:rsid w:val="4AFB53AB"/>
    <w:rsid w:val="4B5B2430"/>
    <w:rsid w:val="4C0B6D51"/>
    <w:rsid w:val="4C7401A4"/>
    <w:rsid w:val="4DCE1DF5"/>
    <w:rsid w:val="4F047901"/>
    <w:rsid w:val="4F6FBDDB"/>
    <w:rsid w:val="50DA6634"/>
    <w:rsid w:val="510C4885"/>
    <w:rsid w:val="51C904BB"/>
    <w:rsid w:val="53381997"/>
    <w:rsid w:val="5634122E"/>
    <w:rsid w:val="57FD55EA"/>
    <w:rsid w:val="5B526AEB"/>
    <w:rsid w:val="609A3E68"/>
    <w:rsid w:val="633A04D8"/>
    <w:rsid w:val="63886FFF"/>
    <w:rsid w:val="64800B21"/>
    <w:rsid w:val="67522697"/>
    <w:rsid w:val="67ED07E2"/>
    <w:rsid w:val="68CA0EF0"/>
    <w:rsid w:val="6A570C85"/>
    <w:rsid w:val="6B5A17AD"/>
    <w:rsid w:val="6B6D70E5"/>
    <w:rsid w:val="6C7ACE3B"/>
    <w:rsid w:val="6CC04ED4"/>
    <w:rsid w:val="6DC72BAB"/>
    <w:rsid w:val="6F314D39"/>
    <w:rsid w:val="6FF440BA"/>
    <w:rsid w:val="714C6B88"/>
    <w:rsid w:val="72A22A1E"/>
    <w:rsid w:val="74516EE2"/>
    <w:rsid w:val="74B16002"/>
    <w:rsid w:val="74E113E9"/>
    <w:rsid w:val="753E6906"/>
    <w:rsid w:val="76D334A3"/>
    <w:rsid w:val="76DF0815"/>
    <w:rsid w:val="77AF566A"/>
    <w:rsid w:val="77F5035D"/>
    <w:rsid w:val="78A358FC"/>
    <w:rsid w:val="7A7470CE"/>
    <w:rsid w:val="7B444BD7"/>
    <w:rsid w:val="7B7C26CA"/>
    <w:rsid w:val="7BBF1CB2"/>
    <w:rsid w:val="7BE39E3C"/>
    <w:rsid w:val="7D34233B"/>
    <w:rsid w:val="7D8F1BF3"/>
    <w:rsid w:val="7D915F3A"/>
    <w:rsid w:val="7E8816B5"/>
    <w:rsid w:val="7EDE2F39"/>
    <w:rsid w:val="7EFFF47D"/>
    <w:rsid w:val="7FB55A19"/>
    <w:rsid w:val="7FDF2B97"/>
    <w:rsid w:val="7FEA11DC"/>
    <w:rsid w:val="97F20CFE"/>
    <w:rsid w:val="A2BDA513"/>
    <w:rsid w:val="AE77A40E"/>
    <w:rsid w:val="B4E932C3"/>
    <w:rsid w:val="BFFB0492"/>
    <w:rsid w:val="CFDAD03D"/>
    <w:rsid w:val="DE7F63C8"/>
    <w:rsid w:val="E3FEBEC4"/>
    <w:rsid w:val="E8DDC30C"/>
    <w:rsid w:val="EDFFF40C"/>
    <w:rsid w:val="EE7F5BE4"/>
    <w:rsid w:val="EFFCBC21"/>
    <w:rsid w:val="F3E3B4F6"/>
    <w:rsid w:val="FB7D4484"/>
    <w:rsid w:val="FE5FCAD6"/>
    <w:rsid w:val="FFF57E51"/>
    <w:rsid w:val="FFF78E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nhideWhenUsed="0" w:uiPriority="0" w:semiHidden="0"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topLinePunct/>
      <w:autoSpaceDN w:val="0"/>
      <w:jc w:val="both"/>
    </w:pPr>
    <w:rPr>
      <w:rFonts w:hint="eastAsia" w:ascii="Times New Roman" w:hAnsi="Times New Roman" w:eastAsia="仿宋" w:cs="Times New Roman"/>
      <w:spacing w:val="-6"/>
      <w:kern w:val="2"/>
      <w:sz w:val="32"/>
      <w:szCs w:val="32"/>
      <w:lang w:val="en-US" w:eastAsia="zh-CN" w:bidi="ar-SA"/>
    </w:rPr>
  </w:style>
  <w:style w:type="paragraph" w:styleId="3">
    <w:name w:val="heading 1"/>
    <w:qFormat/>
    <w:uiPriority w:val="9"/>
    <w:pPr>
      <w:keepNext w:val="0"/>
      <w:keepLines w:val="0"/>
      <w:widowControl w:val="0"/>
      <w:overflowPunct w:val="0"/>
      <w:topLinePunct/>
      <w:spacing w:beforeLines="0" w:beforeAutospacing="0" w:afterLines="0" w:afterAutospacing="0" w:line="240" w:lineRule="auto"/>
      <w:jc w:val="both"/>
      <w:outlineLvl w:val="0"/>
    </w:pPr>
    <w:rPr>
      <w:rFonts w:ascii="Times New Roman" w:hAnsi="Times New Roman" w:eastAsia="黑体"/>
      <w:kern w:val="2"/>
      <w:sz w:val="32"/>
      <w:szCs w:val="32"/>
    </w:rPr>
  </w:style>
  <w:style w:type="paragraph" w:styleId="4">
    <w:name w:val="heading 2"/>
    <w:unhideWhenUsed/>
    <w:qFormat/>
    <w:uiPriority w:val="9"/>
    <w:pPr>
      <w:keepNext w:val="0"/>
      <w:keepLines w:val="0"/>
      <w:widowControl w:val="0"/>
      <w:overflowPunct w:val="0"/>
      <w:topLinePunct/>
      <w:spacing w:beforeLines="0" w:beforeAutospacing="0" w:afterLines="0" w:afterAutospacing="0" w:line="240" w:lineRule="auto"/>
      <w:jc w:val="both"/>
      <w:outlineLvl w:val="1"/>
    </w:pPr>
    <w:rPr>
      <w:rFonts w:ascii="Times New Roman" w:hAnsi="Times New Roman" w:eastAsia="楷体"/>
      <w:kern w:val="2"/>
      <w:sz w:val="32"/>
      <w:szCs w:val="32"/>
    </w:rPr>
  </w:style>
  <w:style w:type="paragraph" w:styleId="5">
    <w:name w:val="heading 3"/>
    <w:unhideWhenUsed/>
    <w:qFormat/>
    <w:uiPriority w:val="9"/>
    <w:pPr>
      <w:keepNext w:val="0"/>
      <w:keepLines w:val="0"/>
      <w:widowControl w:val="0"/>
      <w:overflowPunct w:val="0"/>
      <w:topLinePunct/>
      <w:spacing w:beforeLines="0" w:beforeAutospacing="0" w:afterLines="0" w:afterAutospacing="0" w:line="240" w:lineRule="auto"/>
      <w:jc w:val="both"/>
      <w:outlineLvl w:val="2"/>
    </w:pPr>
    <w:rPr>
      <w:rFonts w:ascii="Times New Roman" w:hAnsi="Times New Roman" w:eastAsia="仿宋"/>
      <w:kern w:val="2"/>
      <w:sz w:val="32"/>
      <w:szCs w:val="32"/>
    </w:rPr>
  </w:style>
  <w:style w:type="paragraph" w:styleId="6">
    <w:name w:val="heading 4"/>
    <w:unhideWhenUsed/>
    <w:qFormat/>
    <w:uiPriority w:val="9"/>
    <w:pPr>
      <w:keepNext w:val="0"/>
      <w:keepLines w:val="0"/>
      <w:widowControl w:val="0"/>
      <w:overflowPunct w:val="0"/>
      <w:topLinePunct/>
      <w:spacing w:beforeLines="0" w:beforeAutospacing="0" w:afterLines="0" w:afterAutospacing="0" w:line="240" w:lineRule="auto"/>
      <w:jc w:val="both"/>
      <w:outlineLvl w:val="3"/>
    </w:pPr>
    <w:rPr>
      <w:rFonts w:ascii="Times New Roman" w:hAnsi="Times New Roman" w:eastAsia="仿宋"/>
      <w:kern w:val="2"/>
      <w:sz w:val="32"/>
      <w:szCs w:val="32"/>
    </w:rPr>
  </w:style>
  <w:style w:type="character" w:default="1" w:styleId="11">
    <w:name w:val="Default Paragraph Font"/>
    <w:uiPriority w:val="0"/>
  </w:style>
  <w:style w:type="table" w:default="1" w:styleId="9">
    <w:name w:val="Normal Table"/>
    <w:unhideWhenUsed/>
    <w:uiPriority w:val="99"/>
    <w:tblPr>
      <w:tblStyle w:val="9"/>
      <w:tblCellMar>
        <w:top w:w="0" w:type="dxa"/>
        <w:left w:w="108" w:type="dxa"/>
        <w:bottom w:w="0" w:type="dxa"/>
        <w:right w:w="108" w:type="dxa"/>
      </w:tblCellMar>
    </w:tblPr>
  </w:style>
  <w:style w:type="paragraph" w:styleId="2">
    <w:name w:val="Body Text"/>
    <w:next w:val="1"/>
    <w:qFormat/>
    <w:uiPriority w:val="0"/>
    <w:pPr>
      <w:spacing w:line="580" w:lineRule="exact"/>
      <w:ind w:firstLine="200" w:firstLineChars="200"/>
      <w:jc w:val="center"/>
    </w:pPr>
    <w:rPr>
      <w:rFonts w:ascii="宋体" w:hAnsi="Calibri" w:eastAsia="仿宋_GB2312" w:cs="Times New Roman"/>
      <w:kern w:val="2"/>
      <w:sz w:val="44"/>
      <w:szCs w:val="32"/>
      <w:lang w:val="en-US" w:eastAsia="zh-CN" w:bidi="ar-SA"/>
    </w:rPr>
  </w:style>
  <w:style w:type="paragraph" w:styleId="7">
    <w:name w:val="footer"/>
    <w:basedOn w:val="1"/>
    <w:uiPriority w:val="0"/>
    <w:pPr>
      <w:tabs>
        <w:tab w:val="center" w:pos="4153"/>
        <w:tab w:val="right" w:pos="8306"/>
      </w:tabs>
      <w:overflowPunct w:val="0"/>
      <w:autoSpaceDE w:val="0"/>
      <w:autoSpaceDN w:val="0"/>
      <w:adjustRightInd w:val="0"/>
      <w:spacing w:line="240" w:lineRule="atLeast"/>
      <w:jc w:val="both"/>
      <w:textAlignment w:val="baseline"/>
    </w:pPr>
    <w:rPr>
      <w:rFonts w:hint="default" w:ascii="Times New Roman" w:hAnsi="Times New Roman" w:eastAsia="仿宋" w:cs="Times New Roman"/>
      <w:spacing w:val="-6"/>
      <w:sz w:val="20"/>
      <w:szCs w:val="20"/>
    </w:rPr>
  </w:style>
  <w:style w:type="paragraph" w:styleId="8">
    <w:name w:val="header"/>
    <w:basedOn w:val="1"/>
    <w:uiPriority w:val="0"/>
    <w:pPr>
      <w:tabs>
        <w:tab w:val="center" w:pos="4153"/>
        <w:tab w:val="right" w:pos="8306"/>
      </w:tabs>
      <w:overflowPunct w:val="0"/>
      <w:autoSpaceDE w:val="0"/>
      <w:autoSpaceDN w:val="0"/>
      <w:adjustRightInd w:val="0"/>
      <w:spacing w:line="240" w:lineRule="atLeast"/>
      <w:jc w:val="both"/>
      <w:textAlignment w:val="baseline"/>
    </w:pPr>
    <w:rPr>
      <w:rFonts w:hint="default" w:ascii="Times New Roman" w:hAnsi="Times New Roman" w:eastAsia="仿宋" w:cs="Times New Roman"/>
      <w:spacing w:val="-6"/>
      <w:sz w:val="20"/>
      <w:szCs w:val="20"/>
    </w:rPr>
  </w:style>
  <w:style w:type="table" w:styleId="10">
    <w:name w:val="Table Grid"/>
    <w:qFormat/>
    <w:uiPriority w:val="0"/>
    <w:pPr>
      <w:widowControl w:val="0"/>
      <w:jc w:val="both"/>
    </w:pPr>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uiPriority w:val="0"/>
    <w:rPr>
      <w:rFonts w:ascii="Times New Roman" w:hAnsi="Times New Roman" w:eastAsia="宋体" w:cs="Times New Roman"/>
    </w:rPr>
  </w:style>
  <w:style w:type="character" w:styleId="13">
    <w:name w:val="line number"/>
    <w:basedOn w:val="11"/>
    <w:uiPriority w:val="0"/>
    <w:rPr>
      <w:rFonts w:ascii="Times New Roman" w:hAnsi="Times New Roman" w:eastAsia="宋体" w:cs="Times New Roman"/>
    </w:rPr>
  </w:style>
  <w:style w:type="paragraph" w:customStyle="1" w:styleId="14">
    <w:name w:val="居中"/>
    <w:basedOn w:val="1"/>
    <w:uiPriority w:val="0"/>
    <w:pPr>
      <w:numPr>
        <w:ilvl w:val="0"/>
        <w:numId w:val="1"/>
      </w:numPr>
      <w:spacing w:line="240" w:lineRule="atLeast"/>
    </w:pPr>
    <w:rPr>
      <w:rFonts w:hint="default" w:ascii="Times New Roman" w:hAnsi="Times New Roman" w:eastAsia="仿宋" w:cs="Times New Roman"/>
      <w:spacing w:val="-6"/>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opt\kingsoft\wps-office\office6\mui\zh_CN\templates\wps\GB9704_electronic_document_templates\blank_text.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blank_text.wpt</Template>
  <Pages>16</Pages>
  <Words>8067</Words>
  <Characters>8403</Characters>
  <Lines>0</Lines>
  <Paragraphs>0</Paragraphs>
  <TotalTime>12</TotalTime>
  <ScaleCrop>false</ScaleCrop>
  <LinksUpToDate>false</LinksUpToDate>
  <CharactersWithSpaces>8434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2022-12-16T19:29:00Z</dcterms:created>
  <dc:creator>lh</dc:creator>
  <cp:lastModifiedBy>WPS_494482183</cp:lastModifiedBy>
  <dcterms:modified xsi:type="dcterms:W3CDTF">2024-06-07T06:54:58Z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31DF5754D67E4ED9A6F3FD4CB114854C_13</vt:lpwstr>
  </property>
</Properties>
</file>