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1" w:line="220" w:lineRule="auto"/>
        <w:ind w:left="3394"/>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8"/>
          <w:sz w:val="44"/>
          <w:szCs w:val="44"/>
        </w:rPr>
        <w:t>项目榜单</w:t>
      </w:r>
    </w:p>
    <w:p>
      <w:pPr>
        <w:spacing w:line="30" w:lineRule="exact"/>
      </w:pPr>
    </w:p>
    <w:tbl>
      <w:tblPr>
        <w:tblStyle w:val="6"/>
        <w:tblW w:w="89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4"/>
        <w:gridCol w:w="3325"/>
        <w:gridCol w:w="1593"/>
        <w:gridCol w:w="28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194" w:type="dxa"/>
            <w:vAlign w:val="center"/>
          </w:tcPr>
          <w:p>
            <w:pPr>
              <w:spacing w:before="208" w:line="219" w:lineRule="auto"/>
              <w:jc w:val="center"/>
              <w:rPr>
                <w:szCs w:val="21"/>
              </w:rPr>
            </w:pPr>
            <w:r>
              <w:rPr>
                <w:spacing w:val="-2"/>
                <w:szCs w:val="21"/>
              </w:rPr>
              <w:t>榜单名称</w:t>
            </w:r>
          </w:p>
        </w:tc>
        <w:tc>
          <w:tcPr>
            <w:tcW w:w="7772" w:type="dxa"/>
            <w:gridSpan w:val="3"/>
            <w:vAlign w:val="center"/>
          </w:tcPr>
          <w:p>
            <w:pPr>
              <w:jc w:val="center"/>
              <w:rPr>
                <w:szCs w:val="21"/>
              </w:rPr>
            </w:pPr>
            <w:r>
              <w:rPr>
                <w:rFonts w:hint="eastAsia"/>
                <w:szCs w:val="21"/>
              </w:rPr>
              <w:t>长碳链特种聚酰胺产业化与应用关键技术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194" w:type="dxa"/>
            <w:vAlign w:val="center"/>
          </w:tcPr>
          <w:p>
            <w:pPr>
              <w:spacing w:before="72" w:line="248" w:lineRule="auto"/>
              <w:ind w:left="396" w:right="62" w:hanging="311"/>
              <w:rPr>
                <w:szCs w:val="21"/>
              </w:rPr>
            </w:pPr>
            <w:r>
              <w:rPr>
                <w:spacing w:val="-2"/>
                <w:szCs w:val="21"/>
              </w:rPr>
              <w:t>专业领域及</w:t>
            </w:r>
            <w:r>
              <w:rPr>
                <w:szCs w:val="21"/>
              </w:rPr>
              <w:t xml:space="preserve"> </w:t>
            </w:r>
            <w:r>
              <w:rPr>
                <w:spacing w:val="10"/>
                <w:szCs w:val="21"/>
              </w:rPr>
              <w:t>方向</w:t>
            </w:r>
          </w:p>
        </w:tc>
        <w:tc>
          <w:tcPr>
            <w:tcW w:w="7772" w:type="dxa"/>
            <w:gridSpan w:val="3"/>
            <w:vAlign w:val="center"/>
          </w:tcPr>
          <w:p>
            <w:pPr>
              <w:jc w:val="center"/>
              <w:rPr>
                <w:szCs w:val="21"/>
              </w:rPr>
            </w:pPr>
            <w:r>
              <w:rPr>
                <w:rFonts w:hint="eastAsia"/>
                <w:szCs w:val="21"/>
                <w:lang w:eastAsia="zh-CN"/>
              </w:rPr>
              <w:t>新材料领域</w:t>
            </w:r>
            <w:r>
              <w:rPr>
                <w:rFonts w:hint="eastAsia"/>
                <w:szCs w:val="21"/>
                <w:lang w:val="en-US" w:eastAsia="zh-CN"/>
              </w:rPr>
              <w:t>-</w:t>
            </w:r>
            <w:r>
              <w:rPr>
                <w:rFonts w:hint="eastAsia"/>
                <w:szCs w:val="21"/>
              </w:rPr>
              <w:t>化学-高分子化学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194" w:type="dxa"/>
            <w:vAlign w:val="center"/>
          </w:tcPr>
          <w:p>
            <w:pPr>
              <w:spacing w:before="78" w:line="220" w:lineRule="auto"/>
              <w:ind w:left="21"/>
              <w:rPr>
                <w:szCs w:val="21"/>
              </w:rPr>
            </w:pPr>
            <w:r>
              <w:rPr>
                <w:spacing w:val="-7"/>
                <w:szCs w:val="21"/>
              </w:rPr>
              <w:t>启动</w:t>
            </w:r>
            <w:r>
              <w:rPr>
                <w:spacing w:val="3"/>
                <w:szCs w:val="21"/>
              </w:rPr>
              <w:t>时间</w:t>
            </w:r>
          </w:p>
        </w:tc>
        <w:tc>
          <w:tcPr>
            <w:tcW w:w="3325" w:type="dxa"/>
            <w:vAlign w:val="center"/>
          </w:tcPr>
          <w:p>
            <w:pPr>
              <w:jc w:val="center"/>
              <w:rPr>
                <w:szCs w:val="21"/>
              </w:rPr>
            </w:pPr>
            <w:r>
              <w:rPr>
                <w:rFonts w:hint="eastAsia"/>
                <w:szCs w:val="21"/>
              </w:rPr>
              <w:t>2</w:t>
            </w:r>
            <w:r>
              <w:rPr>
                <w:szCs w:val="21"/>
              </w:rPr>
              <w:t>024.1.1</w:t>
            </w:r>
          </w:p>
        </w:tc>
        <w:tc>
          <w:tcPr>
            <w:tcW w:w="1593" w:type="dxa"/>
          </w:tcPr>
          <w:p>
            <w:pPr>
              <w:spacing w:before="78" w:line="221" w:lineRule="auto"/>
              <w:ind w:left="15"/>
              <w:rPr>
                <w:szCs w:val="21"/>
              </w:rPr>
            </w:pPr>
            <w:r>
              <w:rPr>
                <w:spacing w:val="-5"/>
                <w:szCs w:val="21"/>
              </w:rPr>
              <w:t>计划</w:t>
            </w:r>
            <w:r>
              <w:rPr>
                <w:spacing w:val="4"/>
                <w:szCs w:val="21"/>
              </w:rPr>
              <w:t>完成时间</w:t>
            </w:r>
          </w:p>
        </w:tc>
        <w:tc>
          <w:tcPr>
            <w:tcW w:w="2854" w:type="dxa"/>
            <w:vAlign w:val="center"/>
          </w:tcPr>
          <w:p>
            <w:pPr>
              <w:jc w:val="center"/>
              <w:rPr>
                <w:szCs w:val="21"/>
              </w:rPr>
            </w:pPr>
            <w:r>
              <w:rPr>
                <w:rFonts w:hint="eastAsia"/>
                <w:szCs w:val="21"/>
              </w:rPr>
              <w:t>2</w:t>
            </w:r>
            <w:r>
              <w:rPr>
                <w:szCs w:val="21"/>
              </w:rPr>
              <w:t>026.12.31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2" w:hRule="atLeast"/>
        </w:trPr>
        <w:tc>
          <w:tcPr>
            <w:tcW w:w="1194" w:type="dxa"/>
            <w:vAlign w:val="center"/>
          </w:tcPr>
          <w:p>
            <w:pPr>
              <w:spacing w:before="68" w:line="247" w:lineRule="auto"/>
              <w:ind w:left="504" w:right="62" w:hanging="420"/>
              <w:rPr>
                <w:szCs w:val="21"/>
              </w:rPr>
            </w:pPr>
            <w:r>
              <w:rPr>
                <w:spacing w:val="-2"/>
                <w:szCs w:val="21"/>
              </w:rPr>
              <w:t>榜单具体内</w:t>
            </w:r>
            <w:r>
              <w:rPr>
                <w:szCs w:val="21"/>
              </w:rPr>
              <w:t xml:space="preserve"> 容</w:t>
            </w:r>
          </w:p>
        </w:tc>
        <w:tc>
          <w:tcPr>
            <w:tcW w:w="7772" w:type="dxa"/>
            <w:gridSpan w:val="3"/>
            <w:vAlign w:val="center"/>
          </w:tcPr>
          <w:p>
            <w:pPr>
              <w:spacing w:before="259" w:line="268" w:lineRule="auto"/>
              <w:ind w:left="13"/>
              <w:rPr>
                <w:spacing w:val="6"/>
                <w:szCs w:val="21"/>
              </w:rPr>
            </w:pPr>
            <w:r>
              <w:rPr>
                <w:rFonts w:hint="eastAsia"/>
                <w:spacing w:val="6"/>
                <w:szCs w:val="21"/>
              </w:rPr>
              <w:t>研究目标：围绕新能源汽车、高端体育、医疗及食品接触、航空航天等领域现用国外长碳链特种聚酰胺材料的应用痛点问题，基于国产原料，突破特种聚酰胺结构与性能调控技术，建立其组成-工艺-结构-性能之间的构效关系，开发满足关键部件整体性能升级需求的高性能长碳链特种聚酰胺，突破其产业化核心工艺和装备关键技术，实现产业化示范，为从原料、产品到应用完全自主可控产业链的构建奠定坚实基础。</w:t>
            </w:r>
          </w:p>
          <w:p>
            <w:pPr>
              <w:spacing w:before="259" w:line="268" w:lineRule="auto"/>
              <w:ind w:left="13"/>
              <w:rPr>
                <w:spacing w:val="6"/>
                <w:szCs w:val="21"/>
              </w:rPr>
            </w:pPr>
            <w:r>
              <w:rPr>
                <w:rFonts w:hint="eastAsia"/>
                <w:spacing w:val="6"/>
                <w:szCs w:val="21"/>
              </w:rPr>
              <w:t>关键键科学问题：长碳链特种聚酰胺化学组成、序列结构、分子量及其分布等链结构，微交联和支化等拓扑结构与性能的关系及其影响机理。</w:t>
            </w:r>
          </w:p>
          <w:p>
            <w:pPr>
              <w:spacing w:before="259" w:line="268" w:lineRule="auto"/>
              <w:ind w:left="13"/>
              <w:rPr>
                <w:spacing w:val="6"/>
                <w:szCs w:val="21"/>
              </w:rPr>
            </w:pPr>
            <w:r>
              <w:rPr>
                <w:rFonts w:hint="eastAsia"/>
                <w:spacing w:val="6"/>
                <w:szCs w:val="21"/>
              </w:rPr>
              <w:t>技术方案及指标：</w:t>
            </w:r>
          </w:p>
          <w:p>
            <w:pPr>
              <w:spacing w:before="259" w:line="268" w:lineRule="auto"/>
              <w:ind w:left="13"/>
              <w:rPr>
                <w:spacing w:val="6"/>
                <w:szCs w:val="21"/>
              </w:rPr>
            </w:pPr>
            <w:r>
              <w:rPr>
                <w:rFonts w:hint="eastAsia"/>
                <w:spacing w:val="6"/>
                <w:szCs w:val="21"/>
              </w:rPr>
              <w:t>1</w:t>
            </w:r>
            <w:r>
              <w:rPr>
                <w:spacing w:val="6"/>
                <w:szCs w:val="21"/>
              </w:rPr>
              <w:t xml:space="preserve">. </w:t>
            </w:r>
            <w:r>
              <w:rPr>
                <w:rFonts w:hint="eastAsia"/>
                <w:spacing w:val="6"/>
                <w:szCs w:val="21"/>
              </w:rPr>
              <w:t>脂肪族长碳链聚酰胺产业化技术开发</w:t>
            </w:r>
          </w:p>
          <w:p>
            <w:pPr>
              <w:spacing w:before="259" w:line="268" w:lineRule="auto"/>
              <w:ind w:left="13"/>
              <w:rPr>
                <w:spacing w:val="6"/>
                <w:szCs w:val="21"/>
              </w:rPr>
            </w:pPr>
            <w:r>
              <w:rPr>
                <w:rFonts w:hint="eastAsia"/>
                <w:spacing w:val="6"/>
                <w:szCs w:val="21"/>
              </w:rPr>
              <w:t>基于国产单体原材料，利用多元共聚的合成方法，基于树脂多层次结构对产物性能的影响机理图像，从分子结构设计层面，调控树脂性能，实现兼具高强度、高韧性、耐冷却液的透明聚酰胺制备。基于多组分单体的共聚反应机理及动力学特性，利用反应釜流体场模拟技术，对反应釜中的物料传质传热过程进行计算，通过理论计算指导实践，对反应过程工艺参数精确控制，实现高粘度、高性能脂肪族长碳链聚酰胺的产业化制备。产品拉伸强度≥</w:t>
            </w:r>
            <w:r>
              <w:rPr>
                <w:spacing w:val="6"/>
                <w:szCs w:val="21"/>
              </w:rPr>
              <w:t>4</w:t>
            </w:r>
            <w:r>
              <w:rPr>
                <w:rFonts w:hint="eastAsia"/>
                <w:spacing w:val="6"/>
                <w:szCs w:val="21"/>
              </w:rPr>
              <w:t>0MPa，断链伸长率≥</w:t>
            </w:r>
            <w:r>
              <w:rPr>
                <w:spacing w:val="6"/>
                <w:szCs w:val="21"/>
              </w:rPr>
              <w:t>15</w:t>
            </w:r>
            <w:r>
              <w:rPr>
                <w:rFonts w:hint="eastAsia"/>
                <w:spacing w:val="6"/>
                <w:szCs w:val="21"/>
              </w:rPr>
              <w:t>0%，1</w:t>
            </w:r>
            <w:r>
              <w:rPr>
                <w:spacing w:val="6"/>
                <w:szCs w:val="21"/>
              </w:rPr>
              <w:t>000</w:t>
            </w:r>
            <w:r>
              <w:rPr>
                <w:rFonts w:hint="eastAsia"/>
                <w:spacing w:val="6"/>
                <w:szCs w:val="21"/>
              </w:rPr>
              <w:t>h冷却液模量保持率介于</w:t>
            </w:r>
            <w:r>
              <w:rPr>
                <w:spacing w:val="6"/>
                <w:szCs w:val="21"/>
              </w:rPr>
              <w:t>80</w:t>
            </w:r>
            <w:r>
              <w:rPr>
                <w:rFonts w:hint="eastAsia"/>
                <w:spacing w:val="6"/>
                <w:szCs w:val="21"/>
              </w:rPr>
              <w:t>%</w:t>
            </w:r>
            <w:r>
              <w:rPr>
                <w:spacing w:val="6"/>
                <w:szCs w:val="21"/>
              </w:rPr>
              <w:t>~120%</w:t>
            </w:r>
            <w:r>
              <w:rPr>
                <w:rFonts w:hint="eastAsia"/>
                <w:spacing w:val="6"/>
                <w:szCs w:val="21"/>
              </w:rPr>
              <w:t>。建立</w:t>
            </w:r>
            <w:r>
              <w:rPr>
                <w:spacing w:val="6"/>
                <w:szCs w:val="21"/>
              </w:rPr>
              <w:t>2000</w:t>
            </w:r>
            <w:r>
              <w:rPr>
                <w:rFonts w:hint="eastAsia"/>
                <w:spacing w:val="6"/>
                <w:szCs w:val="21"/>
              </w:rPr>
              <w:t>吨/年产业化示范线。</w:t>
            </w:r>
          </w:p>
          <w:p>
            <w:pPr>
              <w:spacing w:before="259" w:line="268" w:lineRule="auto"/>
              <w:ind w:left="13"/>
              <w:rPr>
                <w:spacing w:val="6"/>
                <w:szCs w:val="21"/>
              </w:rPr>
            </w:pPr>
            <w:r>
              <w:rPr>
                <w:spacing w:val="6"/>
                <w:szCs w:val="21"/>
              </w:rPr>
              <w:t xml:space="preserve">2. </w:t>
            </w:r>
            <w:r>
              <w:rPr>
                <w:rFonts w:hint="eastAsia"/>
                <w:spacing w:val="6"/>
                <w:szCs w:val="21"/>
              </w:rPr>
              <w:t>高透明聚酰胺产业化技术开发</w:t>
            </w:r>
          </w:p>
          <w:p>
            <w:pPr>
              <w:spacing w:before="259" w:line="268" w:lineRule="auto"/>
              <w:ind w:left="13"/>
              <w:rPr>
                <w:spacing w:val="6"/>
                <w:szCs w:val="21"/>
              </w:rPr>
            </w:pPr>
            <w:r>
              <w:rPr>
                <w:rFonts w:hint="eastAsia"/>
                <w:spacing w:val="6"/>
                <w:szCs w:val="21"/>
              </w:rPr>
              <w:t>以国产长碳链和脂环族单体为原料，研究组成与序列结构、端基功能化、分子量及其分布、支化和结晶等对性能的影响，解决透明聚酰胺透光率与力学性能、耐温性之间相互掣肘的难题；采用低温熔融缩聚反应，研究高压、高熔体粘度条件下大体积反应釜中传质传热问题，突破核心工艺和装备技术，实现高透光、高韧性、宽温域性能兼具的透明聚酰胺产业化示范。产品透光率≥9</w:t>
            </w:r>
            <w:r>
              <w:rPr>
                <w:spacing w:val="6"/>
                <w:szCs w:val="21"/>
              </w:rPr>
              <w:t>1</w:t>
            </w:r>
            <w:r>
              <w:rPr>
                <w:rFonts w:hint="eastAsia"/>
                <w:spacing w:val="6"/>
                <w:szCs w:val="21"/>
              </w:rPr>
              <w:t>%，简支梁缺口冲击强度≥10kJ/m</w:t>
            </w:r>
            <w:r>
              <w:rPr>
                <w:rFonts w:hint="eastAsia"/>
                <w:spacing w:val="6"/>
                <w:szCs w:val="21"/>
                <w:vertAlign w:val="superscript"/>
              </w:rPr>
              <w:t>2</w:t>
            </w:r>
            <w:r>
              <w:rPr>
                <w:rFonts w:hint="eastAsia"/>
                <w:spacing w:val="6"/>
                <w:szCs w:val="21"/>
              </w:rPr>
              <w:t>，拉伸强度≥60MPa，耐热性Tg≥160℃。建立</w:t>
            </w:r>
            <w:r>
              <w:rPr>
                <w:spacing w:val="6"/>
                <w:szCs w:val="21"/>
              </w:rPr>
              <w:t>1000</w:t>
            </w:r>
            <w:r>
              <w:rPr>
                <w:rFonts w:hint="eastAsia"/>
                <w:spacing w:val="6"/>
                <w:szCs w:val="21"/>
              </w:rPr>
              <w:t>吨/年产业化示范线。</w:t>
            </w:r>
          </w:p>
          <w:p>
            <w:pPr>
              <w:spacing w:before="259" w:line="268" w:lineRule="auto"/>
              <w:ind w:left="13"/>
              <w:rPr>
                <w:spacing w:val="6"/>
                <w:szCs w:val="21"/>
              </w:rPr>
            </w:pPr>
            <w:r>
              <w:rPr>
                <w:spacing w:val="6"/>
                <w:szCs w:val="21"/>
              </w:rPr>
              <w:t xml:space="preserve">3. </w:t>
            </w:r>
            <w:r>
              <w:rPr>
                <w:rFonts w:hint="eastAsia"/>
                <w:spacing w:val="6"/>
                <w:szCs w:val="21"/>
              </w:rPr>
              <w:t>高回弹聚酰胺弹性体产业化技术开发</w:t>
            </w:r>
          </w:p>
          <w:p>
            <w:pPr>
              <w:spacing w:before="259" w:line="268" w:lineRule="auto"/>
              <w:ind w:left="13"/>
              <w:rPr>
                <w:spacing w:val="6"/>
                <w:szCs w:val="21"/>
              </w:rPr>
            </w:pPr>
            <w:r>
              <w:rPr>
                <w:rFonts w:hint="eastAsia"/>
                <w:spacing w:val="6"/>
                <w:szCs w:val="21"/>
              </w:rPr>
              <w:t>研究高效催化、分子链中功能基团的引入以及基于多官能团单体的分子链拓扑结构等对性能的影响，建立聚酰胺弹性体组成-结构-工艺-性能之间的关系，开发出兼具高强韧、高回弹、耐低温的聚酰胺弹性体及其产业化制备技术，实现产业化示范。产品拉伸强度≥20MPa，断链伸长率≥600%，密度≤1.05g/m</w:t>
            </w:r>
            <w:r>
              <w:rPr>
                <w:rFonts w:hint="eastAsia"/>
                <w:spacing w:val="6"/>
                <w:szCs w:val="21"/>
                <w:vertAlign w:val="superscript"/>
              </w:rPr>
              <w:t>3</w:t>
            </w:r>
            <w:r>
              <w:rPr>
                <w:rFonts w:hint="eastAsia"/>
                <w:spacing w:val="6"/>
                <w:szCs w:val="21"/>
              </w:rPr>
              <w:t>。建立</w:t>
            </w:r>
            <w:r>
              <w:rPr>
                <w:spacing w:val="6"/>
                <w:szCs w:val="21"/>
              </w:rPr>
              <w:t>1000</w:t>
            </w:r>
            <w:r>
              <w:rPr>
                <w:rFonts w:hint="eastAsia"/>
                <w:spacing w:val="6"/>
                <w:szCs w:val="21"/>
              </w:rPr>
              <w:t>吨/年产业化示范线。</w:t>
            </w:r>
          </w:p>
          <w:p>
            <w:pPr>
              <w:spacing w:before="259" w:line="268" w:lineRule="auto"/>
              <w:ind w:left="13"/>
              <w:rPr>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3" w:hRule="atLeast"/>
        </w:trPr>
        <w:tc>
          <w:tcPr>
            <w:tcW w:w="1194" w:type="dxa"/>
            <w:vAlign w:val="center"/>
          </w:tcPr>
          <w:p>
            <w:pPr>
              <w:spacing w:before="69" w:line="247" w:lineRule="auto"/>
              <w:ind w:left="502" w:right="62" w:hanging="418"/>
              <w:rPr>
                <w:szCs w:val="21"/>
              </w:rPr>
            </w:pPr>
            <w:r>
              <w:rPr>
                <w:spacing w:val="-12"/>
                <w:szCs w:val="21"/>
              </w:rPr>
              <w:t>榜单效益目</w:t>
            </w:r>
            <w:r>
              <w:rPr>
                <w:szCs w:val="21"/>
              </w:rPr>
              <w:t xml:space="preserve"> 标</w:t>
            </w:r>
          </w:p>
        </w:tc>
        <w:tc>
          <w:tcPr>
            <w:tcW w:w="7772" w:type="dxa"/>
            <w:gridSpan w:val="3"/>
            <w:vAlign w:val="center"/>
          </w:tcPr>
          <w:p>
            <w:pPr>
              <w:widowControl/>
              <w:kinsoku w:val="0"/>
              <w:autoSpaceDE w:val="0"/>
              <w:autoSpaceDN w:val="0"/>
              <w:adjustRightInd w:val="0"/>
              <w:snapToGrid w:val="0"/>
              <w:spacing w:line="269" w:lineRule="auto"/>
              <w:ind w:left="6" w:hanging="6"/>
              <w:textAlignment w:val="baseline"/>
              <w:rPr>
                <w:spacing w:val="6"/>
                <w:szCs w:val="21"/>
              </w:rPr>
            </w:pPr>
          </w:p>
          <w:p>
            <w:pPr>
              <w:widowControl/>
              <w:kinsoku w:val="0"/>
              <w:autoSpaceDE w:val="0"/>
              <w:autoSpaceDN w:val="0"/>
              <w:adjustRightInd w:val="0"/>
              <w:snapToGrid w:val="0"/>
              <w:spacing w:line="269" w:lineRule="auto"/>
              <w:ind w:left="6" w:hanging="6"/>
              <w:textAlignment w:val="baseline"/>
              <w:rPr>
                <w:spacing w:val="6"/>
                <w:szCs w:val="21"/>
              </w:rPr>
            </w:pPr>
            <w:r>
              <w:rPr>
                <w:rFonts w:hint="eastAsia"/>
                <w:spacing w:val="6"/>
                <w:szCs w:val="21"/>
              </w:rPr>
              <w:t>本项目旨在基于国产单体原材料，开发脂肪族长碳链聚酰胺、聚酰胺弹性体和透明聚酰胺三种规格特种聚酰胺成套聚合产业化技术，制备具有优异性能的长碳链特种聚酰胺材料，建立我国特种聚酰胺材料体系，打破国外企业的垄断，为新能源、航空航天、军工等领域提供新型材料解决方案。</w:t>
            </w:r>
          </w:p>
          <w:p>
            <w:pPr>
              <w:widowControl/>
              <w:kinsoku w:val="0"/>
              <w:autoSpaceDE w:val="0"/>
              <w:autoSpaceDN w:val="0"/>
              <w:adjustRightInd w:val="0"/>
              <w:snapToGrid w:val="0"/>
              <w:spacing w:line="269" w:lineRule="auto"/>
              <w:ind w:left="6" w:hanging="6"/>
              <w:textAlignment w:val="baseline"/>
              <w:rPr>
                <w:spacing w:val="6"/>
                <w:szCs w:val="21"/>
              </w:rPr>
            </w:pPr>
            <w:r>
              <w:rPr>
                <w:rFonts w:hint="eastAsia"/>
                <w:spacing w:val="6"/>
                <w:szCs w:val="21"/>
              </w:rPr>
              <w:t>本项目输出的脂肪族长碳链特种聚酰胺产品，可应用于传统燃油汽车燃油管、冷却管、气刹管、排气管等管件与管接头等领域，市场容量约1</w:t>
            </w:r>
            <w:r>
              <w:rPr>
                <w:spacing w:val="6"/>
                <w:szCs w:val="21"/>
              </w:rPr>
              <w:t>5</w:t>
            </w:r>
            <w:r>
              <w:rPr>
                <w:rFonts w:hint="eastAsia"/>
                <w:spacing w:val="6"/>
                <w:szCs w:val="21"/>
              </w:rPr>
              <w:t>万吨/年；并且国内新能源汽车蓬勃发展，其中冷却管和管接头以及软铜排等部件的需求量会迅速攀升，有望对国外材料实现弯道超车；高耐温透明聚酰胺，可耐受水蒸气加热消毒，应用于医疗和食品接触领域，市场容量约1万吨/年，更高耐温规格可替代PMMA，用于飞机舷窗；聚酰胺弹性体，可应用于高端体育用品，例如运动鞋大底、中底、滑雪板、护具等，航空航天中可作为密封件，整体市场容量约1</w:t>
            </w:r>
            <w:r>
              <w:rPr>
                <w:spacing w:val="6"/>
                <w:szCs w:val="21"/>
              </w:rPr>
              <w:t>.5</w:t>
            </w:r>
            <w:r>
              <w:rPr>
                <w:rFonts w:hint="eastAsia"/>
                <w:spacing w:val="6"/>
                <w:szCs w:val="21"/>
              </w:rPr>
              <w:t>万吨/年。</w:t>
            </w:r>
          </w:p>
          <w:p>
            <w:pPr>
              <w:widowControl/>
              <w:kinsoku w:val="0"/>
              <w:autoSpaceDE w:val="0"/>
              <w:autoSpaceDN w:val="0"/>
              <w:adjustRightInd w:val="0"/>
              <w:snapToGrid w:val="0"/>
              <w:spacing w:line="269" w:lineRule="auto"/>
              <w:ind w:left="6" w:hanging="6"/>
              <w:textAlignment w:val="baseline"/>
              <w:rPr>
                <w:spacing w:val="6"/>
                <w:szCs w:val="21"/>
              </w:rPr>
            </w:pPr>
          </w:p>
          <w:p>
            <w:pPr>
              <w:widowControl/>
              <w:kinsoku w:val="0"/>
              <w:autoSpaceDE w:val="0"/>
              <w:autoSpaceDN w:val="0"/>
              <w:adjustRightInd w:val="0"/>
              <w:snapToGrid w:val="0"/>
              <w:spacing w:line="269" w:lineRule="auto"/>
              <w:ind w:left="6" w:hanging="6"/>
              <w:textAlignment w:val="baseline"/>
              <w:rPr>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BkNmUxZGFhZDk5YmU4ZjU3OTM5ZmNjMTRkMzhmMDEifQ=="/>
  </w:docVars>
  <w:rsids>
    <w:rsidRoot w:val="1C386AEC"/>
    <w:rsid w:val="00013152"/>
    <w:rsid w:val="000D2119"/>
    <w:rsid w:val="00123397"/>
    <w:rsid w:val="00157EE5"/>
    <w:rsid w:val="00215D59"/>
    <w:rsid w:val="002219FA"/>
    <w:rsid w:val="00277715"/>
    <w:rsid w:val="002C1173"/>
    <w:rsid w:val="002C318C"/>
    <w:rsid w:val="002E1013"/>
    <w:rsid w:val="00325458"/>
    <w:rsid w:val="00380544"/>
    <w:rsid w:val="003C7B2E"/>
    <w:rsid w:val="003F7A68"/>
    <w:rsid w:val="00425E13"/>
    <w:rsid w:val="00473F6A"/>
    <w:rsid w:val="00556B65"/>
    <w:rsid w:val="0059219B"/>
    <w:rsid w:val="005E6E69"/>
    <w:rsid w:val="0063296B"/>
    <w:rsid w:val="00670215"/>
    <w:rsid w:val="006A68EF"/>
    <w:rsid w:val="006D0663"/>
    <w:rsid w:val="006F73AC"/>
    <w:rsid w:val="00762194"/>
    <w:rsid w:val="00780858"/>
    <w:rsid w:val="007F4D3F"/>
    <w:rsid w:val="0085427E"/>
    <w:rsid w:val="009B2848"/>
    <w:rsid w:val="00A40322"/>
    <w:rsid w:val="00A97711"/>
    <w:rsid w:val="00A97B84"/>
    <w:rsid w:val="00B06ABA"/>
    <w:rsid w:val="00B34272"/>
    <w:rsid w:val="00BB3CF5"/>
    <w:rsid w:val="00C177CB"/>
    <w:rsid w:val="00C6269F"/>
    <w:rsid w:val="00DB29B3"/>
    <w:rsid w:val="00DD17B2"/>
    <w:rsid w:val="00E40D59"/>
    <w:rsid w:val="00E901B1"/>
    <w:rsid w:val="00EA20E2"/>
    <w:rsid w:val="00EB1047"/>
    <w:rsid w:val="00EE5F26"/>
    <w:rsid w:val="00F54817"/>
    <w:rsid w:val="00F63FEF"/>
    <w:rsid w:val="00FA470F"/>
    <w:rsid w:val="05667BAF"/>
    <w:rsid w:val="0BE8472D"/>
    <w:rsid w:val="19B90432"/>
    <w:rsid w:val="1ADC70F3"/>
    <w:rsid w:val="1C386AEC"/>
    <w:rsid w:val="2BC32623"/>
    <w:rsid w:val="310979EB"/>
    <w:rsid w:val="573F59A7"/>
    <w:rsid w:val="6EDC36E2"/>
    <w:rsid w:val="75632345"/>
    <w:rsid w:val="FE73C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table" w:customStyle="1" w:styleId="6">
    <w:name w:val="Table Normal"/>
    <w:unhideWhenUsed/>
    <w:qFormat/>
    <w:uiPriority w:val="0"/>
    <w:tblPr>
      <w:tblCellMar>
        <w:top w:w="0" w:type="dxa"/>
        <w:left w:w="0" w:type="dxa"/>
        <w:bottom w:w="0" w:type="dxa"/>
        <w:right w:w="0" w:type="dxa"/>
      </w:tblCellMar>
    </w:tblPr>
  </w:style>
  <w:style w:type="character" w:customStyle="1" w:styleId="7">
    <w:name w:val="页眉 字符"/>
    <w:basedOn w:val="5"/>
    <w:link w:val="3"/>
    <w:qFormat/>
    <w:uiPriority w:val="0"/>
    <w:rPr>
      <w:rFonts w:ascii="Times New Roman" w:hAnsi="Times New Roman" w:eastAsia="宋体" w:cs="Times New Roman"/>
      <w:kern w:val="2"/>
      <w:sz w:val="18"/>
      <w:szCs w:val="18"/>
    </w:rPr>
  </w:style>
  <w:style w:type="character" w:customStyle="1" w:styleId="8">
    <w:name w:val="页脚 字符"/>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643</Words>
  <Characters>3671</Characters>
  <Lines>30</Lines>
  <Paragraphs>8</Paragraphs>
  <TotalTime>13</TotalTime>
  <ScaleCrop>false</ScaleCrop>
  <LinksUpToDate>false</LinksUpToDate>
  <CharactersWithSpaces>4306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2023-08-15T03:12:00Z</dcterms:created>
  <dc:creator>钱大大</dc:creator>
  <cp:lastModifiedBy>禤维强</cp:lastModifiedBy>
  <dcterms:modified xsi:type="dcterms:W3CDTF">2023-10-26T18:37:19Z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481432C36DFA4A748792C18CA3852F31_11</vt:lpwstr>
  </property>
</Properties>
</file>