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79" w:lineRule="exact"/>
        <w:jc w:val="center"/>
        <w:rPr>
          <w:rFonts w:ascii="黑体" w:hAnsi="黑体" w:eastAsia="黑体" w:cs="黑体"/>
          <w:b/>
          <w:bCs/>
          <w:kern w:val="36"/>
          <w:sz w:val="36"/>
          <w:szCs w:val="36"/>
        </w:rPr>
      </w:pPr>
      <w:r>
        <w:rPr>
          <w:rFonts w:hint="eastAsia" w:ascii="黑体" w:hAnsi="黑体" w:eastAsia="黑体" w:cs="黑体"/>
          <w:b/>
          <w:bCs/>
          <w:kern w:val="36"/>
          <w:sz w:val="36"/>
          <w:szCs w:val="36"/>
        </w:rPr>
        <w:t>深圳市罗湖区建设工程定标工作指引（暂行）</w:t>
      </w:r>
    </w:p>
    <w:p>
      <w:pPr>
        <w:adjustRightInd w:val="0"/>
        <w:snapToGrid w:val="0"/>
        <w:spacing w:line="579" w:lineRule="exact"/>
        <w:jc w:val="center"/>
        <w:rPr>
          <w:rFonts w:ascii="仿宋_GB2312" w:hAnsi="仿宋" w:eastAsia="仿宋_GB2312"/>
          <w:sz w:val="32"/>
          <w:szCs w:val="32"/>
        </w:rPr>
      </w:pPr>
      <w:r>
        <w:rPr>
          <w:rFonts w:hint="eastAsia" w:ascii="仿宋_GB2312" w:hAnsi="仿宋" w:eastAsia="仿宋_GB2312"/>
          <w:sz w:val="32"/>
          <w:szCs w:val="32"/>
        </w:rPr>
        <w:t>（征求意见稿）</w:t>
      </w:r>
    </w:p>
    <w:p>
      <w:pPr>
        <w:shd w:val="clear" w:color="auto" w:fill="FFFFFF"/>
        <w:snapToGrid w:val="0"/>
        <w:spacing w:line="500" w:lineRule="exact"/>
        <w:jc w:val="center"/>
        <w:rPr>
          <w:rFonts w:ascii="仿宋" w:hAnsi="仿宋" w:eastAsia="仿宋" w:cs="Helvetica"/>
          <w:sz w:val="32"/>
          <w:szCs w:val="32"/>
        </w:rPr>
      </w:pPr>
    </w:p>
    <w:p>
      <w:pPr>
        <w:widowControl/>
        <w:shd w:val="clear" w:color="auto" w:fill="FFFFFF"/>
        <w:snapToGrid w:val="0"/>
        <w:spacing w:line="500" w:lineRule="exact"/>
        <w:ind w:firstLine="642" w:firstLineChars="200"/>
        <w:rPr>
          <w:rFonts w:ascii="仿宋" w:hAnsi="仿宋" w:eastAsia="仿宋" w:cs="Helvetica"/>
          <w:sz w:val="32"/>
          <w:szCs w:val="32"/>
        </w:rPr>
      </w:pPr>
      <w:r>
        <w:rPr>
          <w:rFonts w:hint="eastAsia" w:ascii="黑体" w:hAnsi="黑体" w:eastAsia="黑体" w:cs="黑体"/>
          <w:b/>
          <w:sz w:val="32"/>
          <w:szCs w:val="32"/>
        </w:rPr>
        <w:t>第一条</w:t>
      </w:r>
      <w:r>
        <w:rPr>
          <w:rFonts w:hint="eastAsia" w:ascii="黑体" w:hAnsi="黑体" w:eastAsia="黑体" w:cs="黑体"/>
          <w:sz w:val="32"/>
          <w:szCs w:val="32"/>
        </w:rPr>
        <w:t xml:space="preserve"> </w:t>
      </w:r>
      <w:r>
        <w:rPr>
          <w:rFonts w:hint="eastAsia" w:ascii="仿宋" w:hAnsi="仿宋" w:eastAsia="仿宋" w:cs="Helvetica"/>
          <w:sz w:val="32"/>
          <w:szCs w:val="32"/>
        </w:rPr>
        <w:t xml:space="preserve"> </w:t>
      </w:r>
      <w:r>
        <w:rPr>
          <w:rFonts w:hint="eastAsia" w:ascii="仿宋_GB2312" w:hAnsi="仿宋_GB2312" w:eastAsia="仿宋_GB2312" w:cs="仿宋_GB2312"/>
          <w:bCs/>
          <w:sz w:val="32"/>
          <w:szCs w:val="32"/>
        </w:rPr>
        <w:t>为切实维护建设工程招标投标活动的公开、公平和公正，贯彻我市招投标评定分离政策，实现招投标的择优与竞价，根据《深圳经济特区建设工程施工招标投标条例》、《关于建设工程招标投标改革的若干规定》（深府</w:t>
      </w:r>
      <w:r>
        <w:rPr>
          <w:rFonts w:hint="eastAsia" w:ascii="仿宋_GB2312" w:hAnsi="仿宋_GB2312" w:eastAsia="仿宋_GB2312" w:cs="仿宋_GB2312"/>
          <w:sz w:val="32"/>
          <w:szCs w:val="32"/>
        </w:rPr>
        <w:t>[2015]</w:t>
      </w:r>
      <w:r>
        <w:rPr>
          <w:rFonts w:hint="eastAsia" w:ascii="仿宋_GB2312" w:hAnsi="仿宋_GB2312" w:eastAsia="仿宋_GB2312" w:cs="仿宋_GB2312"/>
          <w:bCs/>
          <w:sz w:val="32"/>
          <w:szCs w:val="32"/>
        </w:rPr>
        <w:t>73号）、《深圳市罗湖区建设工程招标投标管理暂行办法》（罗府办</w:t>
      </w:r>
      <w:r>
        <w:rPr>
          <w:rFonts w:hint="eastAsia" w:ascii="仿宋_GB2312" w:hAnsi="仿宋_GB2312" w:eastAsia="仿宋_GB2312" w:cs="仿宋_GB2312"/>
          <w:sz w:val="32"/>
          <w:szCs w:val="32"/>
        </w:rPr>
        <w:t>[2017]</w:t>
      </w:r>
      <w:r>
        <w:rPr>
          <w:rFonts w:hint="eastAsia" w:ascii="仿宋_GB2312" w:hAnsi="仿宋_GB2312" w:eastAsia="仿宋_GB2312" w:cs="仿宋_GB2312"/>
          <w:bCs/>
          <w:sz w:val="32"/>
          <w:szCs w:val="32"/>
        </w:rPr>
        <w:t>号）等相关规定，结合罗湖区实际，制定本指引。</w:t>
      </w:r>
    </w:p>
    <w:p>
      <w:pPr>
        <w:shd w:val="clear" w:color="auto" w:fill="FFFFFF"/>
        <w:snapToGrid w:val="0"/>
        <w:spacing w:line="500" w:lineRule="exact"/>
        <w:ind w:firstLine="642" w:firstLineChars="200"/>
        <w:rPr>
          <w:rFonts w:ascii="仿宋" w:hAnsi="仿宋" w:eastAsia="仿宋" w:cs="Helvetica"/>
          <w:sz w:val="32"/>
          <w:szCs w:val="32"/>
        </w:rPr>
      </w:pPr>
      <w:r>
        <w:rPr>
          <w:rFonts w:hint="eastAsia" w:ascii="黑体" w:hAnsi="黑体" w:eastAsia="黑体" w:cs="黑体"/>
          <w:b/>
          <w:sz w:val="32"/>
          <w:szCs w:val="32"/>
        </w:rPr>
        <w:t>第二条</w:t>
      </w:r>
      <w:r>
        <w:rPr>
          <w:rFonts w:hint="eastAsia" w:ascii="黑体" w:hAnsi="黑体" w:eastAsia="黑体" w:cs="黑体"/>
          <w:sz w:val="32"/>
          <w:szCs w:val="32"/>
        </w:rPr>
        <w:t xml:space="preserve">  </w:t>
      </w:r>
      <w:r>
        <w:rPr>
          <w:rFonts w:hint="eastAsia" w:ascii="仿宋_GB2312" w:hAnsi="仿宋_GB2312" w:eastAsia="仿宋_GB2312" w:cs="仿宋_GB2312"/>
          <w:bCs/>
          <w:sz w:val="32"/>
          <w:szCs w:val="32"/>
        </w:rPr>
        <w:t>本指引适用于罗湖行政区域内</w:t>
      </w:r>
      <w:r>
        <w:rPr>
          <w:rFonts w:hint="eastAsia" w:ascii="仿宋_GB2312" w:hAnsi="仿宋" w:eastAsia="仿宋_GB2312"/>
          <w:color w:val="000000"/>
          <w:sz w:val="32"/>
          <w:szCs w:val="32"/>
        </w:rPr>
        <w:t>国有（含财政性）资金或者集体资金投资</w:t>
      </w:r>
      <w:r>
        <w:rPr>
          <w:rFonts w:hint="eastAsia" w:ascii="仿宋_GB2312" w:hAnsi="仿宋_GB2312" w:eastAsia="仿宋_GB2312" w:cs="仿宋_GB2312"/>
          <w:bCs/>
          <w:sz w:val="32"/>
          <w:szCs w:val="32"/>
        </w:rPr>
        <w:t>建设工程招标投标活动。</w:t>
      </w:r>
    </w:p>
    <w:p>
      <w:pPr>
        <w:shd w:val="clear" w:color="auto" w:fill="FFFFFF"/>
        <w:snapToGrid w:val="0"/>
        <w:spacing w:line="500" w:lineRule="exact"/>
        <w:ind w:firstLine="642" w:firstLineChars="200"/>
        <w:rPr>
          <w:rFonts w:ascii="仿宋" w:hAnsi="仿宋" w:eastAsia="仿宋" w:cs="Helvetica"/>
          <w:sz w:val="32"/>
          <w:szCs w:val="32"/>
        </w:rPr>
      </w:pPr>
      <w:r>
        <w:rPr>
          <w:rFonts w:hint="eastAsia" w:ascii="黑体" w:hAnsi="黑体" w:eastAsia="黑体" w:cs="黑体"/>
          <w:b/>
          <w:sz w:val="32"/>
          <w:szCs w:val="32"/>
        </w:rPr>
        <w:t>第三条</w:t>
      </w:r>
      <w:r>
        <w:rPr>
          <w:rFonts w:hint="eastAsia" w:ascii="仿宋" w:hAnsi="仿宋" w:eastAsia="仿宋"/>
          <w:sz w:val="32"/>
          <w:szCs w:val="32"/>
        </w:rPr>
        <w:t xml:space="preserve"> </w:t>
      </w:r>
      <w:r>
        <w:rPr>
          <w:rFonts w:hint="eastAsia" w:ascii="仿宋" w:hAnsi="仿宋" w:eastAsia="仿宋" w:cs="Helvetica"/>
          <w:sz w:val="32"/>
          <w:szCs w:val="32"/>
        </w:rPr>
        <w:t xml:space="preserve"> </w:t>
      </w:r>
      <w:r>
        <w:rPr>
          <w:rFonts w:hint="eastAsia" w:ascii="仿宋_GB2312" w:hAnsi="仿宋_GB2312" w:eastAsia="仿宋_GB2312" w:cs="仿宋_GB2312"/>
          <w:bCs/>
          <w:sz w:val="32"/>
          <w:szCs w:val="32"/>
        </w:rPr>
        <w:t>定标工作应当遵循公开、公平、公正和诚实信用的原则，以充分竞争、合理低价、科学择优为目的。</w:t>
      </w:r>
    </w:p>
    <w:p>
      <w:pPr>
        <w:shd w:val="clear" w:color="auto" w:fill="FFFFFF"/>
        <w:snapToGrid w:val="0"/>
        <w:spacing w:line="500" w:lineRule="exact"/>
        <w:ind w:firstLine="642" w:firstLineChars="200"/>
        <w:rPr>
          <w:rFonts w:ascii="仿宋" w:hAnsi="仿宋" w:eastAsia="仿宋"/>
          <w:bCs/>
          <w:sz w:val="32"/>
          <w:szCs w:val="32"/>
        </w:rPr>
      </w:pPr>
      <w:r>
        <w:rPr>
          <w:rFonts w:hint="eastAsia" w:ascii="黑体" w:hAnsi="黑体" w:eastAsia="黑体" w:cs="黑体"/>
          <w:b/>
          <w:sz w:val="32"/>
          <w:szCs w:val="32"/>
        </w:rPr>
        <w:t>第四条</w:t>
      </w:r>
      <w:r>
        <w:rPr>
          <w:rFonts w:hint="eastAsia" w:ascii="仿宋" w:hAnsi="仿宋" w:eastAsia="仿宋"/>
          <w:b/>
          <w:sz w:val="32"/>
          <w:szCs w:val="32"/>
        </w:rPr>
        <w:t xml:space="preserve"> </w:t>
      </w:r>
      <w:r>
        <w:rPr>
          <w:rFonts w:hint="eastAsia" w:ascii="仿宋" w:hAnsi="仿宋" w:eastAsia="仿宋"/>
          <w:sz w:val="32"/>
          <w:szCs w:val="32"/>
        </w:rPr>
        <w:t xml:space="preserve"> </w:t>
      </w:r>
      <w:r>
        <w:rPr>
          <w:rFonts w:hint="eastAsia" w:ascii="仿宋_GB2312" w:hAnsi="仿宋_GB2312" w:eastAsia="仿宋_GB2312" w:cs="仿宋_GB2312"/>
          <w:bCs/>
          <w:sz w:val="32"/>
          <w:szCs w:val="32"/>
        </w:rPr>
        <w:t>定标以招标文件、投标文件、评标委员会的评标报告、定标工作规则、预备小组的清标报告等定标辅助资料为依据。预备小组以客观公正、实事求是、廉洁奉公、保守秘密为工作原则，在定标辅助资料中可以列摆事实，但不宜加以评论、转化分级，应真实反映中标候选人的投标文件及评标委员会的评标结果，不能做出废标等结论性意见和出现明示或暗示中标人的内容。</w:t>
      </w:r>
    </w:p>
    <w:p>
      <w:pPr>
        <w:shd w:val="clear" w:color="auto" w:fill="FFFFFF"/>
        <w:snapToGrid w:val="0"/>
        <w:spacing w:line="500" w:lineRule="exact"/>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第五条</w:t>
      </w:r>
      <w:r>
        <w:rPr>
          <w:rFonts w:hint="eastAsia" w:ascii="仿宋" w:hAnsi="仿宋" w:eastAsia="仿宋" w:cs="Helvetica"/>
          <w:b/>
          <w:sz w:val="32"/>
          <w:szCs w:val="32"/>
        </w:rPr>
        <w:t xml:space="preserve"> </w:t>
      </w:r>
      <w:r>
        <w:rPr>
          <w:rFonts w:hint="eastAsia" w:ascii="仿宋" w:hAnsi="仿宋" w:eastAsia="仿宋" w:cs="Helvetica"/>
          <w:sz w:val="32"/>
          <w:szCs w:val="32"/>
        </w:rPr>
        <w:t xml:space="preserve"> </w:t>
      </w:r>
      <w:r>
        <w:rPr>
          <w:rFonts w:hint="eastAsia" w:ascii="仿宋_GB2312" w:hAnsi="仿宋_GB2312" w:eastAsia="仿宋_GB2312" w:cs="仿宋_GB2312"/>
          <w:sz w:val="32"/>
          <w:szCs w:val="32"/>
        </w:rPr>
        <w:t>招标人采用票决定标法或者集体议事法确定正式投标人或者定标的，应当由招标人的主要负责人或者法定代表人组建定标委员会。定标委员会成员原则上从招标人的领导班子成员、经营管理人员中产生，成员数量为7人（含）以上单数。财政性资金投资工程的招标人应当在区政府投资建设工程定标专家库（以下简称“区专家库”）中确定成员，区专家库资深专家分库成员比例不应超过三分之二。</w:t>
      </w:r>
    </w:p>
    <w:p>
      <w:pPr>
        <w:shd w:val="clear" w:color="auto" w:fill="FFFFFF"/>
        <w:snapToGrid w:val="0"/>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招标人自行组建定标委员会的，主要负责人或者法定代表人可以从本单位直接指定部分定标委员会成员，但总数不得超过定标委员会成员总数的三分之一，余下成员应当在定标预备会上从2倍以上符合上述条件的备选人员名单中随机抽签确定。</w:t>
      </w:r>
    </w:p>
    <w:p>
      <w:pPr>
        <w:adjustRightInd w:val="0"/>
        <w:snapToGrid w:val="0"/>
        <w:spacing w:line="500" w:lineRule="exact"/>
        <w:ind w:firstLine="642" w:firstLineChars="200"/>
        <w:rPr>
          <w:rFonts w:ascii="仿宋_GB2312" w:hAnsi="仿宋_GB2312" w:eastAsia="仿宋_GB2312" w:cs="仿宋_GB2312"/>
          <w:sz w:val="32"/>
          <w:szCs w:val="32"/>
          <w:shd w:val="clear" w:color="auto" w:fill="FFFFFF"/>
        </w:rPr>
      </w:pPr>
      <w:r>
        <w:rPr>
          <w:rFonts w:hint="eastAsia" w:ascii="黑体" w:hAnsi="黑体" w:eastAsia="黑体" w:cs="黑体"/>
          <w:b/>
          <w:sz w:val="32"/>
          <w:szCs w:val="32"/>
        </w:rPr>
        <w:t xml:space="preserve">第六条 </w:t>
      </w:r>
      <w:r>
        <w:rPr>
          <w:rFonts w:hint="eastAsia" w:ascii="仿宋" w:hAnsi="仿宋" w:eastAsia="仿宋"/>
          <w:b/>
          <w:bCs/>
          <w:sz w:val="32"/>
          <w:szCs w:val="32"/>
        </w:rPr>
        <w:t xml:space="preserve"> </w:t>
      </w:r>
      <w:r>
        <w:rPr>
          <w:rFonts w:hint="eastAsia" w:ascii="仿宋_GB2312" w:hAnsi="仿宋_GB2312" w:eastAsia="仿宋_GB2312" w:cs="仿宋_GB2312"/>
          <w:sz w:val="32"/>
          <w:szCs w:val="32"/>
          <w:shd w:val="clear" w:color="auto" w:fill="FFFFFF"/>
        </w:rPr>
        <w:t>采用集体议事法、票决法或者票决抽签法定标的建设工程，招标人应当自评标结束后10个工作日内召开定标预备会和定标会。</w:t>
      </w:r>
      <w:r>
        <w:rPr>
          <w:rFonts w:hint="eastAsia" w:ascii="仿宋_GB2312" w:hAnsi="仿宋_GB2312" w:eastAsia="仿宋_GB2312" w:cs="仿宋_GB2312"/>
          <w:bCs/>
          <w:sz w:val="32"/>
          <w:szCs w:val="32"/>
        </w:rPr>
        <w:t>由招标人在评标后定标前与交易中心联系，落实定标使用场地及使用时间，并开展以下定标准备工作：</w:t>
      </w:r>
    </w:p>
    <w:p>
      <w:pPr>
        <w:adjustRightInd w:val="0"/>
        <w:snapToGrid w:val="0"/>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（一）成立预备小组做好与定标会有关的会务准备工作。预备小组可由招标人或本项目咨询单位（招标代理机构、工程咨询机构、法律顾问等）</w:t>
      </w:r>
      <w:r>
        <w:rPr>
          <w:rFonts w:ascii="仿宋_GB2312" w:hAnsi="仿宋_GB2312" w:eastAsia="仿宋_GB2312" w:cs="仿宋_GB2312"/>
          <w:sz w:val="32"/>
          <w:szCs w:val="32"/>
        </w:rPr>
        <w:t>熟悉相关业务的代表</w:t>
      </w:r>
      <w:r>
        <w:rPr>
          <w:rFonts w:hint="eastAsia" w:ascii="仿宋_GB2312" w:hAnsi="仿宋_GB2312" w:eastAsia="仿宋_GB2312" w:cs="仿宋_GB2312"/>
          <w:bCs/>
          <w:sz w:val="32"/>
          <w:szCs w:val="32"/>
        </w:rPr>
        <w:t>组成，应在评标结束后5个工作日内</w:t>
      </w:r>
      <w:r>
        <w:rPr>
          <w:rFonts w:hint="eastAsia" w:ascii="仿宋_GB2312" w:eastAsia="仿宋_GB2312"/>
          <w:sz w:val="32"/>
          <w:szCs w:val="32"/>
        </w:rPr>
        <w:t>对投标文件或者方案进行清标，作商务、技术的汇总分析，并出具清标报告作为定标的辅助。</w:t>
      </w:r>
    </w:p>
    <w:p>
      <w:pPr>
        <w:adjustRightInd w:val="0"/>
        <w:snapToGrid w:val="0"/>
        <w:spacing w:line="50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1．对投标文件进行复核。检查投标人的资信、商务、技术等资料有无重大遗漏；</w:t>
      </w:r>
    </w:p>
    <w:p>
      <w:pPr>
        <w:adjustRightInd w:val="0"/>
        <w:snapToGrid w:val="0"/>
        <w:spacing w:line="50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2.检查是否有可能导致废标并提请评标委员会复议的情况； </w:t>
      </w:r>
    </w:p>
    <w:p>
      <w:pPr>
        <w:adjustRightInd w:val="0"/>
        <w:snapToGrid w:val="0"/>
        <w:spacing w:line="50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w:t>
      </w:r>
      <w:r>
        <w:rPr>
          <w:rFonts w:hint="eastAsia" w:ascii="仿宋_GB2312" w:hAnsi="仿宋_GB2312" w:eastAsia="仿宋_GB2312" w:cs="仿宋_GB2312"/>
          <w:sz w:val="32"/>
          <w:szCs w:val="32"/>
          <w:shd w:val="clear" w:color="auto" w:fill="FFFFFF"/>
        </w:rPr>
        <w:t>对截标前一年内企业的信用记录进行统计，提供给定标委员会成员参阅；</w:t>
      </w:r>
    </w:p>
    <w:p>
      <w:pPr>
        <w:adjustRightInd w:val="0"/>
        <w:snapToGrid w:val="0"/>
        <w:spacing w:line="500" w:lineRule="exact"/>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4.提供评标报告及清标报告供定标委员会成员参阅；</w:t>
      </w:r>
    </w:p>
    <w:p>
      <w:pPr>
        <w:adjustRightInd w:val="0"/>
        <w:snapToGrid w:val="0"/>
        <w:spacing w:line="50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5.准备预备小组、监督小组以及定标委员相应工作牌，在定标预备会上提供给相关人员佩戴使用。</w:t>
      </w:r>
    </w:p>
    <w:p>
      <w:pPr>
        <w:adjustRightInd w:val="0"/>
        <w:snapToGrid w:val="0"/>
        <w:spacing w:line="50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6.保留所有必要的定标工作相关资料，以便追溯时查询。</w:t>
      </w:r>
    </w:p>
    <w:p>
      <w:pPr>
        <w:adjustRightInd w:val="0"/>
        <w:snapToGrid w:val="0"/>
        <w:spacing w:line="50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（二）组建定标监督小组对定标全过程进行见证监督。采用票决定标法的，招标人提供发布招标文件前制定的定标工作规则给监督小组监督使用。</w:t>
      </w:r>
    </w:p>
    <w:p>
      <w:pPr>
        <w:shd w:val="clear" w:color="auto" w:fill="FFFFFF"/>
        <w:snapToGrid w:val="0"/>
        <w:spacing w:line="500" w:lineRule="exact"/>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第七条</w:t>
      </w:r>
      <w:r>
        <w:rPr>
          <w:rFonts w:hint="eastAsia" w:ascii="仿宋" w:hAnsi="仿宋" w:eastAsia="仿宋" w:cs="Helvetica"/>
          <w:b/>
          <w:sz w:val="32"/>
          <w:szCs w:val="32"/>
        </w:rPr>
        <w:t xml:space="preserve"> </w:t>
      </w:r>
      <w:r>
        <w:rPr>
          <w:rFonts w:hint="eastAsia" w:ascii="仿宋" w:hAnsi="仿宋" w:eastAsia="仿宋" w:cs="Helvetica"/>
          <w:sz w:val="32"/>
          <w:szCs w:val="32"/>
        </w:rPr>
        <w:t xml:space="preserve"> </w:t>
      </w:r>
      <w:r>
        <w:rPr>
          <w:rFonts w:hint="eastAsia" w:ascii="仿宋_GB2312" w:hAnsi="仿宋_GB2312" w:eastAsia="仿宋_GB2312" w:cs="仿宋_GB2312"/>
          <w:sz w:val="32"/>
          <w:szCs w:val="32"/>
        </w:rPr>
        <w:t>定标预备会的流程：</w:t>
      </w:r>
    </w:p>
    <w:p>
      <w:pPr>
        <w:shd w:val="clear" w:color="auto" w:fill="FFFFFF"/>
        <w:snapToGrid w:val="0"/>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定标当日上午，招标人应当在定标会前组织召开定标预备会，在监督小组见证监督下封闭进行定标委员会成员的电脑抽取或人工抽取。采用人工抽取的，由招标人负责对抽中人员进行电话通知。定标委员会成员及监督小组的人员参加定标预备会。从定标预备会开始到定标会结束前，所有参加预备会的人员不得与外界进行联系。监督小组</w:t>
      </w:r>
      <w:r>
        <w:rPr>
          <w:rFonts w:hint="eastAsia" w:ascii="仿宋_GB2312" w:hAnsi="仿宋_GB2312" w:eastAsia="仿宋_GB2312" w:cs="仿宋_GB2312"/>
          <w:bCs/>
          <w:sz w:val="32"/>
          <w:szCs w:val="32"/>
        </w:rPr>
        <w:t>负责收取和存放所有参加定标活动人员的通讯工具。</w:t>
      </w:r>
    </w:p>
    <w:p>
      <w:pPr>
        <w:shd w:val="clear" w:color="auto" w:fill="FFFFFF"/>
        <w:snapToGrid w:val="0"/>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（二）定标委员会应当在定标预备会上推荐定标组长，招标人主要负责人或者法定代表人参加定标委员会的，由其直接担任定标委员会组长。</w:t>
      </w:r>
    </w:p>
    <w:p>
      <w:pPr>
        <w:shd w:val="clear" w:color="auto" w:fill="FFFFFF"/>
        <w:snapToGrid w:val="0"/>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（三）预备小组汇报定标工作准备情况，提交</w:t>
      </w:r>
      <w:r>
        <w:rPr>
          <w:rFonts w:hint="eastAsia" w:ascii="仿宋_GB2312" w:hAnsi="仿宋_GB2312" w:eastAsia="仿宋_GB2312" w:cs="仿宋_GB2312"/>
          <w:bCs/>
          <w:sz w:val="32"/>
          <w:szCs w:val="32"/>
        </w:rPr>
        <w:t>招标文件、投标文件、评标报告、定标工作规则、预备小组的清标报告等定标辅助资料供定标委员会使用</w:t>
      </w:r>
      <w:r>
        <w:rPr>
          <w:rFonts w:hint="eastAsia" w:ascii="仿宋_GB2312" w:hAnsi="仿宋_GB2312" w:eastAsia="仿宋_GB2312" w:cs="仿宋_GB2312"/>
          <w:sz w:val="32"/>
          <w:szCs w:val="32"/>
        </w:rPr>
        <w:t>，回答定标委员会成员的相关问题。定标委员会成员根据需要，可以在监督小组的监督下通过互联网对有关资料和信息进行有效甄别，对各投标人进行“比优”或“比劣”。</w:t>
      </w:r>
    </w:p>
    <w:p>
      <w:pPr>
        <w:shd w:val="clear" w:color="auto" w:fill="FFFFFF"/>
        <w:snapToGrid w:val="0"/>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定标委员会成员根据定标工作规则、清标报告和相关资料独立进行定标，定标结果应以择优和竞价为目的，同时兼顾公平、公正。技术复杂的项目，招标人可组织投标人进行方案介绍，并要求投标人解答相关疑问，特殊情况下可组织专家论证咨询。定标委员会成员有疑问的可以向招标人或者招标代理机构、评标专家提问。除定标委员会、预备小组和监督小组成员以外的无关人员一律回避。</w:t>
      </w:r>
    </w:p>
    <w:p>
      <w:pPr>
        <w:shd w:val="clear" w:color="auto" w:fill="FFFFFF"/>
        <w:snapToGrid w:val="0"/>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（五）定标委员会成员根据招标人制定的定标工作规则填写定标记录（附件1），票决抽签的每一轮投票填写一份定标记录。</w:t>
      </w:r>
    </w:p>
    <w:p>
      <w:pPr>
        <w:shd w:val="clear" w:color="auto" w:fill="FFFFFF"/>
        <w:snapToGrid w:val="0"/>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（六）监督小组根据招标人制定的定标工作规则对定标委员的定标过程进行监督和填写定标预备会监督记录（附件2）。</w:t>
      </w:r>
    </w:p>
    <w:p>
      <w:pPr>
        <w:shd w:val="clear" w:color="auto" w:fill="FFFFFF"/>
        <w:snapToGrid w:val="0"/>
        <w:spacing w:line="500" w:lineRule="exact"/>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第八条</w:t>
      </w:r>
      <w:r>
        <w:rPr>
          <w:rFonts w:hint="eastAsia" w:ascii="黑体" w:hAnsi="黑体" w:eastAsia="黑体" w:cs="黑体"/>
          <w:sz w:val="32"/>
          <w:szCs w:val="32"/>
        </w:rPr>
        <w:t xml:space="preserve"> </w:t>
      </w:r>
      <w:r>
        <w:rPr>
          <w:rFonts w:hint="eastAsia" w:ascii="仿宋" w:hAnsi="仿宋" w:eastAsia="仿宋" w:cs="Helvetica"/>
          <w:sz w:val="32"/>
          <w:szCs w:val="32"/>
        </w:rPr>
        <w:t xml:space="preserve"> </w:t>
      </w:r>
      <w:r>
        <w:rPr>
          <w:rFonts w:hint="eastAsia" w:ascii="仿宋_GB2312" w:hAnsi="仿宋_GB2312" w:eastAsia="仿宋_GB2312" w:cs="仿宋_GB2312"/>
          <w:sz w:val="32"/>
          <w:szCs w:val="32"/>
        </w:rPr>
        <w:t>定标会的流程：</w:t>
      </w:r>
    </w:p>
    <w:p>
      <w:pPr>
        <w:shd w:val="clear" w:color="auto" w:fill="FFFFFF"/>
        <w:snapToGrid w:val="0"/>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（一）定标预备会结束后，定标委员会成员和监督小组人员从定标预备会会场统一前往深圳市建设工程交易服务中心召开定标会进行定标。相关接送工作由招标人预备小组负责。</w:t>
      </w:r>
    </w:p>
    <w:p>
      <w:pPr>
        <w:shd w:val="clear" w:color="auto" w:fill="FFFFFF"/>
        <w:snapToGrid w:val="0"/>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（二）定标委员会成员根据定标预备会填写的定标记录进行投票。</w:t>
      </w:r>
      <w:r>
        <w:rPr>
          <w:rFonts w:ascii="仿宋_GB2312" w:hAnsi="仿宋_GB2312" w:eastAsia="仿宋_GB2312" w:cs="仿宋_GB2312"/>
          <w:sz w:val="32"/>
          <w:szCs w:val="32"/>
        </w:rPr>
        <w:t>逐轮票决更换对象的，需补充填写定标记录。</w:t>
      </w:r>
    </w:p>
    <w:p>
      <w:pPr>
        <w:shd w:val="clear" w:color="auto" w:fill="FFFFFF"/>
        <w:snapToGrid w:val="0"/>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（三）监督小组根据招标人制定的定标工作规则对定标委员的投票行为进行监督和填写定标会监督记录（附件2）。</w:t>
      </w:r>
    </w:p>
    <w:p>
      <w:pPr>
        <w:shd w:val="clear" w:color="auto" w:fill="FFFFFF"/>
        <w:snapToGrid w:val="0"/>
        <w:spacing w:line="500"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（四）在定标会结束前，定标委员会成员以及预备小组工作人员不得与外界联系，监督小组负责监督</w:t>
      </w:r>
      <w:r>
        <w:rPr>
          <w:rFonts w:hint="eastAsia" w:ascii="仿宋" w:hAnsi="仿宋" w:eastAsia="仿宋"/>
          <w:sz w:val="32"/>
          <w:szCs w:val="32"/>
        </w:rPr>
        <w:t>。</w:t>
      </w:r>
    </w:p>
    <w:p>
      <w:pPr>
        <w:shd w:val="clear" w:color="auto" w:fill="FFFFFF"/>
        <w:snapToGrid w:val="0"/>
        <w:spacing w:line="500" w:lineRule="exact"/>
        <w:ind w:firstLine="642" w:firstLineChars="200"/>
        <w:rPr>
          <w:rFonts w:ascii="仿宋_GB2312" w:hAnsi="仿宋_GB2312" w:eastAsia="仿宋_GB2312" w:cs="仿宋_GB2312"/>
          <w:bCs/>
          <w:sz w:val="32"/>
          <w:szCs w:val="32"/>
        </w:rPr>
      </w:pPr>
      <w:r>
        <w:rPr>
          <w:rFonts w:hint="eastAsia" w:ascii="黑体" w:hAnsi="黑体" w:eastAsia="黑体" w:cs="黑体"/>
          <w:b/>
          <w:sz w:val="32"/>
          <w:szCs w:val="32"/>
        </w:rPr>
        <w:t xml:space="preserve">第九条 </w:t>
      </w:r>
      <w:r>
        <w:rPr>
          <w:rFonts w:hint="eastAsia" w:ascii="仿宋" w:hAnsi="仿宋" w:eastAsia="仿宋"/>
          <w:b/>
          <w:bCs/>
          <w:sz w:val="32"/>
          <w:szCs w:val="32"/>
        </w:rPr>
        <w:t xml:space="preserve"> </w:t>
      </w:r>
      <w:r>
        <w:rPr>
          <w:rFonts w:hint="eastAsia" w:ascii="仿宋_GB2312" w:hAnsi="仿宋_GB2312" w:eastAsia="仿宋_GB2312" w:cs="仿宋_GB2312"/>
          <w:bCs/>
          <w:sz w:val="32"/>
          <w:szCs w:val="32"/>
        </w:rPr>
        <w:t>采用直接抽签法定标的建设工程，由招标人在定标之前与交易平台联系，落实定标使用场地及使用时间，并开展以下定标准备工作：</w:t>
      </w:r>
    </w:p>
    <w:p>
      <w:pPr>
        <w:shd w:val="clear" w:color="auto" w:fill="FFFFFF"/>
        <w:snapToGrid w:val="0"/>
        <w:spacing w:line="50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根据投标人数量确定资格审查委员会人数，</w:t>
      </w:r>
      <w:r>
        <w:rPr>
          <w:rFonts w:ascii="仿宋_GB2312" w:hAnsi="仿宋_GB2312" w:eastAsia="仿宋_GB2312" w:cs="仿宋_GB2312"/>
          <w:bCs/>
          <w:sz w:val="32"/>
          <w:szCs w:val="32"/>
        </w:rPr>
        <w:t>按照招标文件规定的标准和方法，</w:t>
      </w:r>
      <w:r>
        <w:rPr>
          <w:rFonts w:hint="eastAsia" w:ascii="仿宋_GB2312" w:hAnsi="仿宋_GB2312" w:eastAsia="仿宋_GB2312" w:cs="仿宋_GB2312"/>
          <w:bCs/>
          <w:sz w:val="32"/>
          <w:szCs w:val="32"/>
        </w:rPr>
        <w:t>合理安排时间</w:t>
      </w:r>
      <w:r>
        <w:rPr>
          <w:rFonts w:ascii="仿宋_GB2312" w:hAnsi="仿宋_GB2312" w:eastAsia="仿宋_GB2312" w:cs="仿宋_GB2312"/>
          <w:bCs/>
          <w:sz w:val="32"/>
          <w:szCs w:val="32"/>
        </w:rPr>
        <w:t>对投标人进行资格审查</w:t>
      </w:r>
      <w:r>
        <w:rPr>
          <w:rFonts w:hint="eastAsia" w:ascii="仿宋_GB2312" w:hAnsi="仿宋_GB2312" w:eastAsia="仿宋_GB2312" w:cs="仿宋_GB2312"/>
          <w:bCs/>
          <w:sz w:val="32"/>
          <w:szCs w:val="32"/>
        </w:rPr>
        <w:t>，并将审查结果进行公示，确保进入抽签定标环节的均为资格审查合格的投标人。</w:t>
      </w:r>
    </w:p>
    <w:p>
      <w:pPr>
        <w:shd w:val="clear" w:color="auto" w:fill="FFFFFF"/>
        <w:snapToGrid w:val="0"/>
        <w:spacing w:line="50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资格审查内容主要包括营业执照、安全生产许可证、资质等级、财务状况、类似项目业绩、信誉、项目经理、联合体投标人等。招标人应保留所有必要的资格审查以及定标工作相关资料，以便追溯时查询。</w:t>
      </w:r>
    </w:p>
    <w:p>
      <w:pPr>
        <w:shd w:val="clear" w:color="auto" w:fill="FFFFFF"/>
        <w:snapToGrid w:val="0"/>
        <w:spacing w:line="500" w:lineRule="exact"/>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 xml:space="preserve">第十条 </w:t>
      </w:r>
      <w:r>
        <w:rPr>
          <w:rFonts w:hint="eastAsia" w:ascii="仿宋" w:hAnsi="仿宋" w:eastAsia="仿宋" w:cs="Helvetica"/>
          <w:b/>
          <w:sz w:val="32"/>
          <w:szCs w:val="32"/>
        </w:rPr>
        <w:t xml:space="preserve"> </w:t>
      </w:r>
      <w:r>
        <w:rPr>
          <w:rFonts w:hint="eastAsia" w:ascii="仿宋_GB2312" w:hAnsi="仿宋_GB2312" w:eastAsia="仿宋_GB2312" w:cs="仿宋_GB2312"/>
          <w:sz w:val="32"/>
          <w:szCs w:val="32"/>
        </w:rPr>
        <w:t>投标人或者其他利害关系人在资格审查结果公示期间提出对结果有异议的，招标人应处理完毕</w:t>
      </w:r>
      <w:r>
        <w:rPr>
          <w:rFonts w:hint="eastAsia" w:ascii="仿宋_GB2312" w:eastAsia="仿宋_GB2312"/>
          <w:sz w:val="32"/>
          <w:szCs w:val="32"/>
        </w:rPr>
        <w:t>方可</w:t>
      </w:r>
      <w:r>
        <w:rPr>
          <w:rFonts w:hint="eastAsia" w:ascii="仿宋_GB2312" w:hAnsi="仿宋_GB2312" w:eastAsia="仿宋_GB2312" w:cs="仿宋_GB2312"/>
          <w:sz w:val="32"/>
          <w:szCs w:val="32"/>
        </w:rPr>
        <w:t>进入评标或者抽签定标环节。</w:t>
      </w:r>
    </w:p>
    <w:p>
      <w:pPr>
        <w:shd w:val="clear" w:color="auto" w:fill="FFFFFF"/>
        <w:snapToGrid w:val="0"/>
        <w:spacing w:line="500" w:lineRule="exact"/>
        <w:ind w:firstLine="642" w:firstLineChars="200"/>
        <w:rPr>
          <w:rFonts w:ascii="仿宋" w:hAnsi="仿宋" w:eastAsia="仿宋"/>
          <w:bCs/>
          <w:sz w:val="32"/>
          <w:szCs w:val="32"/>
        </w:rPr>
      </w:pPr>
      <w:r>
        <w:rPr>
          <w:rFonts w:hint="eastAsia" w:ascii="黑体" w:hAnsi="黑体" w:eastAsia="黑体" w:cs="黑体"/>
          <w:b/>
          <w:sz w:val="32"/>
          <w:szCs w:val="32"/>
        </w:rPr>
        <w:t xml:space="preserve">第十一条 </w:t>
      </w:r>
      <w:r>
        <w:rPr>
          <w:rFonts w:hint="eastAsia" w:ascii="仿宋" w:hAnsi="仿宋" w:eastAsia="仿宋" w:cs="Helvetica"/>
          <w:b/>
          <w:sz w:val="32"/>
          <w:szCs w:val="32"/>
        </w:rPr>
        <w:t xml:space="preserve"> </w:t>
      </w:r>
      <w:r>
        <w:rPr>
          <w:rFonts w:hint="eastAsia" w:ascii="仿宋_GB2312" w:hAnsi="仿宋_GB2312" w:eastAsia="仿宋_GB2312" w:cs="仿宋_GB2312"/>
          <w:bCs/>
          <w:sz w:val="32"/>
          <w:szCs w:val="32"/>
        </w:rPr>
        <w:t>申请使用区政府投资建设工程定标专家库用于组建定标委员会的，相关操作流程按《深圳市罗湖区政府投资建设工程定标专家库管理暂行办法》（罗府办</w:t>
      </w:r>
      <w:r>
        <w:rPr>
          <w:rFonts w:hint="eastAsia" w:ascii="仿宋_GB2312" w:hAnsi="仿宋_GB2312" w:eastAsia="仿宋_GB2312" w:cs="仿宋_GB2312"/>
          <w:sz w:val="32"/>
          <w:szCs w:val="32"/>
        </w:rPr>
        <w:t>[2017]</w:t>
      </w:r>
      <w:r>
        <w:rPr>
          <w:rFonts w:hint="eastAsia" w:ascii="仿宋_GB2312" w:hAnsi="仿宋_GB2312" w:eastAsia="仿宋_GB2312" w:cs="仿宋_GB2312"/>
          <w:bCs/>
          <w:sz w:val="32"/>
          <w:szCs w:val="32"/>
        </w:rPr>
        <w:t>号）执行。</w:t>
      </w:r>
    </w:p>
    <w:p>
      <w:pPr>
        <w:adjustRightInd w:val="0"/>
        <w:snapToGrid w:val="0"/>
        <w:spacing w:line="500" w:lineRule="exact"/>
        <w:ind w:firstLine="642" w:firstLineChars="200"/>
        <w:rPr>
          <w:rFonts w:ascii="仿宋" w:hAnsi="仿宋" w:eastAsia="仿宋"/>
          <w:sz w:val="32"/>
          <w:szCs w:val="32"/>
        </w:rPr>
      </w:pPr>
      <w:r>
        <w:rPr>
          <w:rFonts w:hint="eastAsia" w:ascii="黑体" w:hAnsi="黑体" w:eastAsia="黑体" w:cs="黑体"/>
          <w:b/>
          <w:sz w:val="32"/>
          <w:szCs w:val="32"/>
        </w:rPr>
        <w:t xml:space="preserve">第十二条  </w:t>
      </w:r>
      <w:r>
        <w:rPr>
          <w:rFonts w:hint="eastAsia" w:ascii="仿宋_GB2312" w:hAnsi="仿宋_GB2312" w:eastAsia="仿宋_GB2312" w:cs="仿宋_GB2312"/>
          <w:sz w:val="32"/>
          <w:szCs w:val="32"/>
        </w:rPr>
        <w:t>本指引涉及名额的计算，按照四舍五入原则取整。</w:t>
      </w:r>
    </w:p>
    <w:p>
      <w:pPr>
        <w:spacing w:line="500" w:lineRule="exact"/>
        <w:ind w:firstLine="642" w:firstLineChars="200"/>
        <w:rPr>
          <w:rFonts w:ascii="仿宋" w:hAnsi="仿宋" w:eastAsia="仿宋" w:cs="Helvetica"/>
          <w:sz w:val="32"/>
          <w:szCs w:val="32"/>
        </w:rPr>
      </w:pPr>
      <w:r>
        <w:rPr>
          <w:rFonts w:hint="eastAsia" w:ascii="黑体" w:hAnsi="黑体" w:eastAsia="黑体" w:cs="黑体"/>
          <w:b/>
          <w:sz w:val="32"/>
          <w:szCs w:val="32"/>
        </w:rPr>
        <w:t>第十二条</w:t>
      </w:r>
      <w:r>
        <w:rPr>
          <w:rFonts w:hint="eastAsia" w:ascii="仿宋" w:hAnsi="仿宋" w:eastAsia="仿宋"/>
          <w:b/>
          <w:sz w:val="32"/>
          <w:szCs w:val="32"/>
        </w:rPr>
        <w:t xml:space="preserve">  </w:t>
      </w:r>
      <w:r>
        <w:rPr>
          <w:rFonts w:hint="eastAsia" w:ascii="仿宋_GB2312" w:hAnsi="仿宋_GB2312" w:eastAsia="仿宋_GB2312" w:cs="仿宋_GB2312"/>
          <w:sz w:val="32"/>
          <w:szCs w:val="32"/>
        </w:rPr>
        <w:t>本指引由深圳市罗湖区住房和建设局负责解释。</w:t>
      </w:r>
    </w:p>
    <w:p>
      <w:pPr>
        <w:spacing w:line="500" w:lineRule="exact"/>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 xml:space="preserve">第十三条 </w:t>
      </w:r>
      <w:r>
        <w:rPr>
          <w:rFonts w:hint="eastAsia" w:ascii="仿宋" w:hAnsi="仿宋" w:eastAsia="仿宋"/>
          <w:b/>
          <w:sz w:val="32"/>
          <w:szCs w:val="32"/>
        </w:rPr>
        <w:t xml:space="preserve"> </w:t>
      </w:r>
      <w:r>
        <w:rPr>
          <w:rFonts w:hint="eastAsia" w:ascii="仿宋_GB2312" w:hAnsi="仿宋_GB2312" w:eastAsia="仿宋_GB2312" w:cs="仿宋_GB2312"/>
          <w:sz w:val="32"/>
          <w:szCs w:val="32"/>
        </w:rPr>
        <w:t>本指引自2017年3月1日起实施，有效期三年。《深圳市罗湖区政府投资建设工程定标工作指引（暂行）》（罗住建[2012]55号）同时废止。</w:t>
      </w:r>
    </w:p>
    <w:p>
      <w:pPr>
        <w:shd w:val="clear" w:color="auto" w:fill="FFFFFF"/>
        <w:snapToGrid w:val="0"/>
        <w:spacing w:line="500" w:lineRule="exact"/>
        <w:ind w:firstLine="640" w:firstLineChars="200"/>
        <w:rPr>
          <w:rFonts w:ascii="仿宋_GB2312" w:hAnsi="仿宋_GB2312" w:eastAsia="仿宋_GB2312" w:cs="仿宋_GB2312"/>
          <w:sz w:val="32"/>
          <w:szCs w:val="32"/>
        </w:rPr>
      </w:pPr>
    </w:p>
    <w:p>
      <w:pPr>
        <w:shd w:val="clear" w:color="auto" w:fill="FFFFFF"/>
        <w:snapToGrid w:val="0"/>
        <w:spacing w:line="500" w:lineRule="exact"/>
        <w:ind w:firstLine="630"/>
        <w:rPr>
          <w:rFonts w:ascii="仿宋_GB2312" w:hAnsi="仿宋_GB2312" w:eastAsia="仿宋_GB2312" w:cs="仿宋_GB2312"/>
          <w:sz w:val="32"/>
          <w:szCs w:val="32"/>
        </w:rPr>
      </w:pPr>
      <w:r>
        <w:rPr>
          <w:rFonts w:hint="eastAsia" w:ascii="仿宋_GB2312" w:hAnsi="仿宋_GB2312" w:eastAsia="仿宋_GB2312" w:cs="仿宋_GB2312"/>
          <w:sz w:val="32"/>
          <w:szCs w:val="32"/>
        </w:rPr>
        <w:t>附件1、区政府投资建设工程定标记录</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附件2、区政府投资建设工程定标监督记录</w:t>
      </w:r>
    </w:p>
    <w:p>
      <w:pPr>
        <w:adjustRightInd w:val="0"/>
        <w:snapToGrid w:val="0"/>
        <w:spacing w:line="579" w:lineRule="exact"/>
        <w:rPr>
          <w:rFonts w:ascii="仿宋" w:hAnsi="仿宋" w:eastAsia="仿宋"/>
          <w:sz w:val="32"/>
        </w:rPr>
      </w:pPr>
    </w:p>
    <w:p>
      <w:pPr>
        <w:adjustRightInd w:val="0"/>
        <w:snapToGrid w:val="0"/>
        <w:spacing w:line="579" w:lineRule="exact"/>
        <w:rPr>
          <w:rFonts w:ascii="仿宋" w:hAnsi="仿宋" w:eastAsia="仿宋"/>
          <w:sz w:val="32"/>
        </w:rPr>
      </w:pPr>
    </w:p>
    <w:p>
      <w:pPr>
        <w:adjustRightInd w:val="0"/>
        <w:snapToGrid w:val="0"/>
        <w:spacing w:line="579" w:lineRule="exact"/>
        <w:rPr>
          <w:rFonts w:hint="eastAsia" w:ascii="仿宋" w:hAnsi="仿宋" w:eastAsia="仿宋"/>
          <w:sz w:val="32"/>
        </w:rPr>
      </w:pPr>
    </w:p>
    <w:p>
      <w:pPr>
        <w:adjustRightInd w:val="0"/>
        <w:snapToGrid w:val="0"/>
        <w:spacing w:line="579" w:lineRule="exact"/>
        <w:rPr>
          <w:rFonts w:ascii="仿宋" w:hAnsi="仿宋" w:eastAsia="仿宋"/>
          <w:sz w:val="32"/>
        </w:rPr>
      </w:pPr>
    </w:p>
    <w:p>
      <w:pPr>
        <w:adjustRightInd w:val="0"/>
        <w:snapToGrid w:val="0"/>
        <w:spacing w:line="579" w:lineRule="exact"/>
        <w:rPr>
          <w:rFonts w:ascii="仿宋" w:hAnsi="仿宋" w:eastAsia="仿宋"/>
          <w:sz w:val="32"/>
        </w:rPr>
      </w:pPr>
    </w:p>
    <w:p>
      <w:pPr>
        <w:adjustRightInd w:val="0"/>
        <w:snapToGrid w:val="0"/>
        <w:spacing w:line="579" w:lineRule="exact"/>
        <w:rPr>
          <w:rFonts w:ascii="仿宋" w:hAnsi="仿宋" w:eastAsia="仿宋"/>
          <w:sz w:val="32"/>
        </w:rPr>
      </w:pPr>
    </w:p>
    <w:p>
      <w:pPr>
        <w:spacing w:line="360" w:lineRule="auto"/>
        <w:jc w:val="left"/>
        <w:rPr>
          <w:rFonts w:hint="eastAsia" w:ascii="仿宋_GB2312" w:hAnsi="仿宋_GB2312" w:eastAsia="仿宋_GB2312" w:cs="仿宋_GB2312"/>
          <w:sz w:val="32"/>
          <w:szCs w:val="32"/>
        </w:rPr>
      </w:pPr>
    </w:p>
    <w:p>
      <w:pPr>
        <w:spacing w:line="360" w:lineRule="auto"/>
        <w:jc w:val="left"/>
        <w:rPr>
          <w:rFonts w:hint="eastAsia" w:ascii="仿宋_GB2312" w:hAnsi="仿宋_GB2312" w:eastAsia="仿宋_GB2312" w:cs="仿宋_GB2312"/>
          <w:sz w:val="32"/>
          <w:szCs w:val="32"/>
        </w:rPr>
      </w:pPr>
    </w:p>
    <w:p>
      <w:pPr>
        <w:spacing w:line="360" w:lineRule="auto"/>
        <w:jc w:val="left"/>
        <w:rPr>
          <w:rFonts w:hint="eastAsia" w:ascii="仿宋_GB2312" w:hAnsi="仿宋_GB2312" w:eastAsia="仿宋_GB2312" w:cs="仿宋_GB2312"/>
          <w:sz w:val="32"/>
          <w:szCs w:val="32"/>
        </w:rPr>
      </w:pPr>
    </w:p>
    <w:p>
      <w:pPr>
        <w:spacing w:line="360" w:lineRule="auto"/>
        <w:jc w:val="left"/>
        <w:rPr>
          <w:rFonts w:hint="eastAsia" w:ascii="仿宋_GB2312" w:hAnsi="仿宋_GB2312" w:eastAsia="仿宋_GB2312" w:cs="仿宋_GB2312"/>
          <w:sz w:val="32"/>
          <w:szCs w:val="32"/>
        </w:rPr>
      </w:pPr>
    </w:p>
    <w:p>
      <w:pPr>
        <w:spacing w:line="360" w:lineRule="auto"/>
        <w:jc w:val="left"/>
        <w:rPr>
          <w:rFonts w:ascii="仿宋_GB2312" w:hAnsi="仿宋_GB2312" w:eastAsia="仿宋_GB2312" w:cs="仿宋_GB2312"/>
          <w:sz w:val="32"/>
          <w:szCs w:val="32"/>
        </w:rPr>
      </w:pPr>
      <w:bookmarkStart w:id="0" w:name="_GoBack"/>
      <w:bookmarkEnd w:id="0"/>
      <w:r>
        <w:rPr>
          <w:rFonts w:hint="eastAsia" w:ascii="仿宋_GB2312" w:hAnsi="仿宋_GB2312" w:eastAsia="仿宋_GB2312" w:cs="仿宋_GB2312"/>
          <w:sz w:val="32"/>
          <w:szCs w:val="32"/>
        </w:rPr>
        <w:t>附件1：</w:t>
      </w:r>
      <w:r>
        <w:rPr>
          <w:rFonts w:hint="eastAsia" w:ascii="黑体" w:hAnsi="黑体" w:eastAsia="黑体" w:cs="黑体"/>
          <w:b/>
          <w:sz w:val="32"/>
          <w:szCs w:val="32"/>
        </w:rPr>
        <w:t>区政府投资建设工程定标记录</w:t>
      </w:r>
    </w:p>
    <w:p>
      <w:pPr>
        <w:spacing w:line="600" w:lineRule="exact"/>
        <w:rPr>
          <w:rFonts w:ascii="仿宋_GB2312" w:hAnsi="仿宋_GB2312" w:eastAsia="仿宋_GB2312" w:cs="仿宋_GB2312"/>
          <w:sz w:val="28"/>
          <w:szCs w:val="28"/>
        </w:rPr>
      </w:pPr>
      <w:r>
        <w:rPr>
          <w:rFonts w:hint="eastAsia" w:ascii="仿宋_GB2312" w:hAnsi="仿宋_GB2312" w:eastAsia="仿宋_GB2312" w:cs="仿宋_GB2312"/>
          <w:sz w:val="32"/>
          <w:szCs w:val="32"/>
        </w:rPr>
        <w:t>工程项目名称：</w:t>
      </w:r>
      <w:r>
        <w:rPr>
          <w:rFonts w:hint="eastAsia" w:ascii="仿宋_GB2312" w:hAnsi="仿宋_GB2312" w:eastAsia="仿宋_GB2312" w:cs="仿宋_GB2312"/>
          <w:sz w:val="28"/>
          <w:szCs w:val="28"/>
          <w:u w:val="single" w:color="000000"/>
        </w:rPr>
        <w:t xml:space="preserve">                                                 </w:t>
      </w:r>
    </w:p>
    <w:p>
      <w:pPr>
        <w:spacing w:line="600" w:lineRule="exact"/>
        <w:rPr>
          <w:rFonts w:ascii="仿宋_GB2312" w:hAnsi="仿宋_GB2312" w:eastAsia="仿宋_GB2312" w:cs="仿宋_GB2312"/>
          <w:sz w:val="28"/>
          <w:szCs w:val="28"/>
        </w:rPr>
      </w:pPr>
      <w:r>
        <w:rPr>
          <w:rFonts w:hint="eastAsia" w:ascii="仿宋_GB2312" w:hAnsi="仿宋_GB2312" w:eastAsia="仿宋_GB2312" w:cs="仿宋_GB2312"/>
          <w:sz w:val="32"/>
          <w:szCs w:val="32"/>
        </w:rPr>
        <w:t>投票对象：</w:t>
      </w:r>
      <w:r>
        <w:rPr>
          <w:rFonts w:hint="eastAsia" w:ascii="仿宋_GB2312" w:hAnsi="仿宋_GB2312" w:eastAsia="仿宋_GB2312" w:cs="仿宋_GB2312"/>
          <w:sz w:val="28"/>
          <w:szCs w:val="28"/>
          <w:u w:val="single" w:color="000000"/>
        </w:rPr>
        <w:t xml:space="preserve">                                                        </w:t>
      </w:r>
    </w:p>
    <w:p>
      <w:pPr>
        <w:spacing w:line="6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u w:val="single" w:color="000000"/>
        </w:rPr>
        <w:t xml:space="preserve">                                                                  </w:t>
      </w:r>
    </w:p>
    <w:p>
      <w:pPr>
        <w:spacing w:line="6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u w:val="single" w:color="000000"/>
        </w:rPr>
        <w:t xml:space="preserve">                                                                  </w:t>
      </w:r>
    </w:p>
    <w:p>
      <w:pPr>
        <w:spacing w:line="6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u w:val="single" w:color="000000"/>
        </w:rPr>
        <w:t xml:space="preserve">                                                                  </w:t>
      </w:r>
    </w:p>
    <w:p>
      <w:pPr>
        <w:spacing w:line="6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u w:val="single" w:color="000000"/>
        </w:rPr>
        <w:t xml:space="preserve">                                                                  </w:t>
      </w:r>
    </w:p>
    <w:p>
      <w:pPr>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按照定标规则选定第</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轮投票对象，定标意见如下：</w:t>
      </w:r>
    </w:p>
    <w:p>
      <w:pPr>
        <w:spacing w:line="6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1.择优理由：</w:t>
      </w:r>
    </w:p>
    <w:p>
      <w:pPr>
        <w:spacing w:line="6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u w:val="single" w:color="000000"/>
        </w:rPr>
        <w:t xml:space="preserve">                                                                  </w:t>
      </w:r>
    </w:p>
    <w:p>
      <w:pPr>
        <w:spacing w:line="6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u w:val="single" w:color="000000"/>
        </w:rPr>
        <w:t xml:space="preserve">                                                                  </w:t>
      </w:r>
    </w:p>
    <w:p>
      <w:pPr>
        <w:spacing w:line="6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u w:val="single" w:color="000000"/>
        </w:rPr>
        <w:t xml:space="preserve">                                                                  </w:t>
      </w:r>
    </w:p>
    <w:p>
      <w:pPr>
        <w:spacing w:line="6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u w:val="single" w:color="000000"/>
        </w:rPr>
        <w:t xml:space="preserve">                                                                  </w:t>
      </w:r>
    </w:p>
    <w:p>
      <w:pPr>
        <w:spacing w:line="6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u w:val="single" w:color="000000"/>
        </w:rPr>
        <w:t xml:space="preserve">                                                                  </w:t>
      </w:r>
    </w:p>
    <w:p>
      <w:pPr>
        <w:spacing w:line="6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u w:val="single" w:color="000000"/>
        </w:rPr>
        <w:t xml:space="preserve">                                                                  </w:t>
      </w:r>
    </w:p>
    <w:p>
      <w:pPr>
        <w:spacing w:line="6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2.竞价理由：</w:t>
      </w:r>
    </w:p>
    <w:p>
      <w:pPr>
        <w:spacing w:line="6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u w:val="single" w:color="000000"/>
        </w:rPr>
        <w:t xml:space="preserve">                                                                  </w:t>
      </w:r>
    </w:p>
    <w:p>
      <w:pPr>
        <w:spacing w:line="6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u w:val="single" w:color="000000"/>
        </w:rPr>
        <w:t xml:space="preserve">                                                                  </w:t>
      </w:r>
    </w:p>
    <w:p>
      <w:pPr>
        <w:spacing w:line="6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u w:val="single" w:color="000000"/>
        </w:rPr>
        <w:t xml:space="preserve">                                                                  </w:t>
      </w:r>
    </w:p>
    <w:p>
      <w:pPr>
        <w:spacing w:line="6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u w:val="single" w:color="000000"/>
        </w:rPr>
        <w:t xml:space="preserve">                                                                  </w:t>
      </w:r>
    </w:p>
    <w:p>
      <w:pPr>
        <w:spacing w:line="6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u w:val="single" w:color="000000"/>
        </w:rPr>
        <w:t xml:space="preserve">                                                                  </w:t>
      </w:r>
    </w:p>
    <w:p>
      <w:pPr>
        <w:spacing w:line="6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u w:val="single" w:color="000000"/>
        </w:rPr>
        <w:t xml:space="preserve">                                                                  </w:t>
      </w:r>
    </w:p>
    <w:p>
      <w:pPr>
        <w:spacing w:line="360" w:lineRule="auto"/>
        <w:ind w:right="32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定标委员（签名）：          日期：    年   月   日</w:t>
      </w:r>
    </w:p>
    <w:p>
      <w:pPr>
        <w:spacing w:line="600" w:lineRule="exact"/>
        <w:rPr>
          <w:rFonts w:ascii="仿宋" w:hAnsi="仿宋" w:eastAsia="仿宋"/>
          <w:sz w:val="32"/>
          <w:szCs w:val="32"/>
        </w:rPr>
      </w:pPr>
      <w:r>
        <w:rPr>
          <w:rFonts w:hint="eastAsia" w:ascii="仿宋_GB2312" w:hAnsi="仿宋_GB2312" w:eastAsia="仿宋_GB2312" w:cs="仿宋_GB2312"/>
          <w:sz w:val="32"/>
          <w:szCs w:val="32"/>
        </w:rPr>
        <w:t>附件2：</w:t>
      </w:r>
      <w:r>
        <w:rPr>
          <w:rFonts w:hint="eastAsia" w:ascii="黑体" w:hAnsi="黑体" w:eastAsia="黑体" w:cs="黑体"/>
          <w:b/>
          <w:sz w:val="32"/>
          <w:szCs w:val="32"/>
        </w:rPr>
        <w:t>区政府投资建设工程定标监督记录</w:t>
      </w:r>
    </w:p>
    <w:p>
      <w:pPr>
        <w:spacing w:line="600" w:lineRule="exact"/>
        <w:rPr>
          <w:rFonts w:ascii="仿宋_GB2312" w:hAnsi="仿宋_GB2312" w:eastAsia="仿宋_GB2312" w:cs="仿宋_GB2312"/>
          <w:sz w:val="28"/>
          <w:szCs w:val="28"/>
        </w:rPr>
      </w:pPr>
      <w:r>
        <w:rPr>
          <w:rFonts w:hint="eastAsia" w:ascii="仿宋_GB2312" w:hAnsi="仿宋_GB2312" w:eastAsia="仿宋_GB2312" w:cs="仿宋_GB2312"/>
          <w:sz w:val="32"/>
          <w:szCs w:val="32"/>
        </w:rPr>
        <w:t>工程项目名称：</w:t>
      </w:r>
      <w:r>
        <w:rPr>
          <w:rFonts w:hint="eastAsia" w:ascii="仿宋_GB2312" w:hAnsi="仿宋_GB2312" w:eastAsia="仿宋_GB2312" w:cs="仿宋_GB2312"/>
          <w:sz w:val="28"/>
          <w:szCs w:val="28"/>
          <w:u w:val="single" w:color="000000"/>
        </w:rPr>
        <w:t xml:space="preserve">                                                 </w:t>
      </w:r>
    </w:p>
    <w:p>
      <w:pPr>
        <w:spacing w:line="360" w:lineRule="auto"/>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定标预备会记录：</w:t>
      </w:r>
    </w:p>
    <w:p>
      <w:pPr>
        <w:spacing w:line="6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u w:val="single" w:color="000000"/>
        </w:rPr>
        <w:t xml:space="preserve">                                                                  </w:t>
      </w:r>
    </w:p>
    <w:p>
      <w:pPr>
        <w:spacing w:line="6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u w:val="single" w:color="000000"/>
        </w:rPr>
        <w:t xml:space="preserve">                                                                  </w:t>
      </w:r>
    </w:p>
    <w:p>
      <w:pPr>
        <w:spacing w:line="6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u w:val="single" w:color="000000"/>
        </w:rPr>
        <w:t xml:space="preserve">                                                                  </w:t>
      </w:r>
    </w:p>
    <w:p>
      <w:pPr>
        <w:spacing w:line="6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u w:val="single" w:color="000000"/>
        </w:rPr>
        <w:t xml:space="preserve">                                                                  </w:t>
      </w:r>
    </w:p>
    <w:p>
      <w:pPr>
        <w:spacing w:line="6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u w:val="single" w:color="000000"/>
        </w:rPr>
        <w:t xml:space="preserve">                                                                  </w:t>
      </w:r>
    </w:p>
    <w:p>
      <w:pPr>
        <w:spacing w:line="6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u w:val="single" w:color="000000"/>
        </w:rPr>
        <w:t xml:space="preserve">                                                                  </w:t>
      </w:r>
    </w:p>
    <w:p>
      <w:pPr>
        <w:spacing w:line="360" w:lineRule="auto"/>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定标会记录：</w:t>
      </w:r>
    </w:p>
    <w:p>
      <w:pPr>
        <w:spacing w:line="6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u w:val="single" w:color="000000"/>
        </w:rPr>
        <w:t xml:space="preserve">                                                                  </w:t>
      </w:r>
    </w:p>
    <w:p>
      <w:pPr>
        <w:spacing w:line="6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u w:val="single" w:color="000000"/>
        </w:rPr>
        <w:t xml:space="preserve">                                                                  </w:t>
      </w:r>
    </w:p>
    <w:p>
      <w:pPr>
        <w:spacing w:line="6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u w:val="single" w:color="000000"/>
        </w:rPr>
        <w:t xml:space="preserve">                                                                  </w:t>
      </w:r>
    </w:p>
    <w:p>
      <w:pPr>
        <w:spacing w:line="6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u w:val="single" w:color="000000"/>
        </w:rPr>
        <w:t xml:space="preserve">                                                                  </w:t>
      </w:r>
    </w:p>
    <w:p>
      <w:pPr>
        <w:spacing w:line="6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u w:val="single" w:color="000000"/>
        </w:rPr>
        <w:t xml:space="preserve">                                                                  </w:t>
      </w:r>
    </w:p>
    <w:p>
      <w:pPr>
        <w:spacing w:line="6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u w:val="single" w:color="000000"/>
        </w:rPr>
        <w:t xml:space="preserve">                                                                  </w:t>
      </w:r>
    </w:p>
    <w:p>
      <w:pPr>
        <w:spacing w:line="360" w:lineRule="auto"/>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其他情况：</w:t>
      </w:r>
    </w:p>
    <w:p>
      <w:pPr>
        <w:spacing w:line="6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u w:val="single" w:color="000000"/>
        </w:rPr>
        <w:t xml:space="preserve">                                                                  </w:t>
      </w:r>
    </w:p>
    <w:p>
      <w:pPr>
        <w:spacing w:line="6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u w:val="single" w:color="000000"/>
        </w:rPr>
        <w:t xml:space="preserve">                                                                  </w:t>
      </w:r>
    </w:p>
    <w:p>
      <w:pPr>
        <w:spacing w:line="6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u w:val="single" w:color="000000"/>
        </w:rPr>
        <w:t xml:space="preserve">                                                                  </w:t>
      </w:r>
    </w:p>
    <w:p>
      <w:pPr>
        <w:spacing w:line="6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u w:val="single" w:color="000000"/>
        </w:rPr>
        <w:t xml:space="preserve">                                                                  </w:t>
      </w:r>
    </w:p>
    <w:p>
      <w:pPr>
        <w:spacing w:line="360" w:lineRule="auto"/>
        <w:ind w:right="32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监督小组成员（签名）：</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u w:val="single"/>
        </w:rPr>
        <w:t xml:space="preserve">           </w:t>
      </w:r>
    </w:p>
    <w:p>
      <w:pPr>
        <w:spacing w:line="360" w:lineRule="auto"/>
        <w:ind w:right="32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监督小组成员（签名）：</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日期：   年  月  日</w:t>
      </w:r>
    </w:p>
    <w:sectPr>
      <w:headerReference r:id="rId3" w:type="default"/>
      <w:footerReference r:id="rId4" w:type="default"/>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汉仪中等线B5"/>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汉仪中等线B5"/>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00"/>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
    <w:altName w:val="C059"/>
    <w:panose1 w:val="00000000000000000000"/>
    <w:charset w:val="00"/>
    <w:family w:val="roman"/>
    <w:pitch w:val="default"/>
    <w:sig w:usb0="00000000" w:usb1="00000000" w:usb2="00000000" w:usb3="00000000" w:csb0="00000000" w:csb1="00000000"/>
  </w:font>
  <w:font w:name="C059">
    <w:panose1 w:val="00000500000000000000"/>
    <w:charset w:val="00"/>
    <w:family w:val="auto"/>
    <w:pitch w:val="default"/>
    <w:sig w:usb0="00000287" w:usb1="00000800" w:usb2="00000000" w:usb3="00000000" w:csb0="6000009F" w:csb1="00000000"/>
  </w:font>
  <w:font w:name="方正黑体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1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Helvetica">
    <w:altName w:val="汉仪君黑-35简"/>
    <w:panose1 w:val="020B0604020202020204"/>
    <w:charset w:val="00"/>
    <w:family w:val="swiss"/>
    <w:pitch w:val="default"/>
    <w:sig w:usb0="00000000" w:usb1="00000000" w:usb2="00000009" w:usb3="00000000" w:csb0="000001FF" w:csb1="00000000"/>
  </w:font>
  <w:font w:name="汉仪君黑-35简">
    <w:panose1 w:val="020B0604020202020204"/>
    <w:charset w:val="86"/>
    <w:family w:val="auto"/>
    <w:pitch w:val="default"/>
    <w:sig w:usb0="A00002BF" w:usb1="0ACF7CFA" w:usb2="00000016" w:usb3="00000000" w:csb0="2004000F"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9818251"/>
    </w:sdtPr>
    <w:sdtContent>
      <w:p>
        <w:pPr>
          <w:pStyle w:val="3"/>
          <w:jc w:val="center"/>
        </w:pPr>
        <w:r>
          <w:fldChar w:fldCharType="begin"/>
        </w:r>
        <w:r>
          <w:instrText xml:space="preserve"> PAGE   \* MERGEFORMAT </w:instrText>
        </w:r>
        <w:r>
          <w:fldChar w:fldCharType="separate"/>
        </w:r>
        <w:r>
          <w:rPr>
            <w:lang w:val="zh-CN"/>
          </w:rPr>
          <w:t>7</w:t>
        </w:r>
        <w:r>
          <w:rPr>
            <w:lang w:val="zh-CN"/>
          </w:rPr>
          <w:fldChar w:fldCharType="end"/>
        </w:r>
      </w:p>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02D4B"/>
    <w:rsid w:val="0000154A"/>
    <w:rsid w:val="00001AB4"/>
    <w:rsid w:val="00006EC4"/>
    <w:rsid w:val="00010CB8"/>
    <w:rsid w:val="00011994"/>
    <w:rsid w:val="00013961"/>
    <w:rsid w:val="00031F65"/>
    <w:rsid w:val="00053DC4"/>
    <w:rsid w:val="00082887"/>
    <w:rsid w:val="0008699C"/>
    <w:rsid w:val="000964CC"/>
    <w:rsid w:val="000A252E"/>
    <w:rsid w:val="000C3640"/>
    <w:rsid w:val="000C6826"/>
    <w:rsid w:val="000E12B5"/>
    <w:rsid w:val="000F05A7"/>
    <w:rsid w:val="000F51D3"/>
    <w:rsid w:val="000F5372"/>
    <w:rsid w:val="00107220"/>
    <w:rsid w:val="00110386"/>
    <w:rsid w:val="00115F5F"/>
    <w:rsid w:val="00117C05"/>
    <w:rsid w:val="00122FC6"/>
    <w:rsid w:val="00142420"/>
    <w:rsid w:val="00145305"/>
    <w:rsid w:val="00152258"/>
    <w:rsid w:val="00164BFA"/>
    <w:rsid w:val="00180F4D"/>
    <w:rsid w:val="00183AB9"/>
    <w:rsid w:val="00193042"/>
    <w:rsid w:val="001A54E6"/>
    <w:rsid w:val="001A69FA"/>
    <w:rsid w:val="001C3AA3"/>
    <w:rsid w:val="001C6780"/>
    <w:rsid w:val="001D301D"/>
    <w:rsid w:val="001D3C2B"/>
    <w:rsid w:val="001D6157"/>
    <w:rsid w:val="001E4805"/>
    <w:rsid w:val="00202D4B"/>
    <w:rsid w:val="00217639"/>
    <w:rsid w:val="00237B6F"/>
    <w:rsid w:val="00245800"/>
    <w:rsid w:val="00251309"/>
    <w:rsid w:val="002563A0"/>
    <w:rsid w:val="002660F6"/>
    <w:rsid w:val="00271343"/>
    <w:rsid w:val="00284EFF"/>
    <w:rsid w:val="00294939"/>
    <w:rsid w:val="002C46D2"/>
    <w:rsid w:val="00314779"/>
    <w:rsid w:val="00336742"/>
    <w:rsid w:val="0034057D"/>
    <w:rsid w:val="003417B9"/>
    <w:rsid w:val="00370DBA"/>
    <w:rsid w:val="00374D0F"/>
    <w:rsid w:val="003858EE"/>
    <w:rsid w:val="00387D94"/>
    <w:rsid w:val="003A39DE"/>
    <w:rsid w:val="003B4647"/>
    <w:rsid w:val="003D3FF4"/>
    <w:rsid w:val="003E1002"/>
    <w:rsid w:val="003F2477"/>
    <w:rsid w:val="003F61B3"/>
    <w:rsid w:val="00405F92"/>
    <w:rsid w:val="004152AE"/>
    <w:rsid w:val="00437A7B"/>
    <w:rsid w:val="00483638"/>
    <w:rsid w:val="00483D81"/>
    <w:rsid w:val="00483F0F"/>
    <w:rsid w:val="00492A05"/>
    <w:rsid w:val="004B033B"/>
    <w:rsid w:val="004C1320"/>
    <w:rsid w:val="004D2F91"/>
    <w:rsid w:val="004F5876"/>
    <w:rsid w:val="004F6AE6"/>
    <w:rsid w:val="0050565A"/>
    <w:rsid w:val="005072EB"/>
    <w:rsid w:val="005241B2"/>
    <w:rsid w:val="00527B83"/>
    <w:rsid w:val="00577993"/>
    <w:rsid w:val="005836F1"/>
    <w:rsid w:val="00584BBC"/>
    <w:rsid w:val="005B3E10"/>
    <w:rsid w:val="005D7549"/>
    <w:rsid w:val="005E1392"/>
    <w:rsid w:val="0060010F"/>
    <w:rsid w:val="0060028E"/>
    <w:rsid w:val="006020E3"/>
    <w:rsid w:val="006044A6"/>
    <w:rsid w:val="00621E5D"/>
    <w:rsid w:val="00630597"/>
    <w:rsid w:val="006422B6"/>
    <w:rsid w:val="00644FDE"/>
    <w:rsid w:val="00650097"/>
    <w:rsid w:val="00655301"/>
    <w:rsid w:val="0066076D"/>
    <w:rsid w:val="00695048"/>
    <w:rsid w:val="00696D1E"/>
    <w:rsid w:val="006A6F0E"/>
    <w:rsid w:val="006C0A2E"/>
    <w:rsid w:val="006C0D8E"/>
    <w:rsid w:val="006C1C26"/>
    <w:rsid w:val="006E2B7F"/>
    <w:rsid w:val="007340FF"/>
    <w:rsid w:val="007344D5"/>
    <w:rsid w:val="0074266D"/>
    <w:rsid w:val="007575B0"/>
    <w:rsid w:val="00762B00"/>
    <w:rsid w:val="00771862"/>
    <w:rsid w:val="007873F5"/>
    <w:rsid w:val="007A42DB"/>
    <w:rsid w:val="007B2750"/>
    <w:rsid w:val="007C603E"/>
    <w:rsid w:val="007D00CA"/>
    <w:rsid w:val="007D3EA7"/>
    <w:rsid w:val="007F5905"/>
    <w:rsid w:val="00834DC1"/>
    <w:rsid w:val="008423BA"/>
    <w:rsid w:val="00860EFC"/>
    <w:rsid w:val="00861536"/>
    <w:rsid w:val="00861F2A"/>
    <w:rsid w:val="008872C6"/>
    <w:rsid w:val="00887417"/>
    <w:rsid w:val="00887CB9"/>
    <w:rsid w:val="0089382E"/>
    <w:rsid w:val="008957EE"/>
    <w:rsid w:val="008A55F9"/>
    <w:rsid w:val="008B1B11"/>
    <w:rsid w:val="008B23E2"/>
    <w:rsid w:val="008C0B0B"/>
    <w:rsid w:val="008C2A10"/>
    <w:rsid w:val="008C4846"/>
    <w:rsid w:val="008C62A1"/>
    <w:rsid w:val="008E6974"/>
    <w:rsid w:val="00906383"/>
    <w:rsid w:val="00915A5A"/>
    <w:rsid w:val="00920467"/>
    <w:rsid w:val="00925ED3"/>
    <w:rsid w:val="00937B9A"/>
    <w:rsid w:val="00943431"/>
    <w:rsid w:val="00960528"/>
    <w:rsid w:val="00970E0C"/>
    <w:rsid w:val="009A1B6B"/>
    <w:rsid w:val="009B2801"/>
    <w:rsid w:val="009C0826"/>
    <w:rsid w:val="009D5763"/>
    <w:rsid w:val="009D6065"/>
    <w:rsid w:val="009E03B9"/>
    <w:rsid w:val="009F11F6"/>
    <w:rsid w:val="00A01C82"/>
    <w:rsid w:val="00A04D1C"/>
    <w:rsid w:val="00A11EFD"/>
    <w:rsid w:val="00A325C1"/>
    <w:rsid w:val="00A579C2"/>
    <w:rsid w:val="00A60F14"/>
    <w:rsid w:val="00A66C9C"/>
    <w:rsid w:val="00A70082"/>
    <w:rsid w:val="00A804BF"/>
    <w:rsid w:val="00A84304"/>
    <w:rsid w:val="00AB05E0"/>
    <w:rsid w:val="00AB5F19"/>
    <w:rsid w:val="00AB6794"/>
    <w:rsid w:val="00AB731A"/>
    <w:rsid w:val="00AB7F1B"/>
    <w:rsid w:val="00AC59FA"/>
    <w:rsid w:val="00AD1741"/>
    <w:rsid w:val="00B14921"/>
    <w:rsid w:val="00B15262"/>
    <w:rsid w:val="00B21C2F"/>
    <w:rsid w:val="00B232E2"/>
    <w:rsid w:val="00B23C2A"/>
    <w:rsid w:val="00B25055"/>
    <w:rsid w:val="00B32963"/>
    <w:rsid w:val="00B36701"/>
    <w:rsid w:val="00B407D5"/>
    <w:rsid w:val="00B42930"/>
    <w:rsid w:val="00B73D87"/>
    <w:rsid w:val="00B86E4F"/>
    <w:rsid w:val="00B908BD"/>
    <w:rsid w:val="00B96D20"/>
    <w:rsid w:val="00BA325C"/>
    <w:rsid w:val="00BA5736"/>
    <w:rsid w:val="00BA5A9C"/>
    <w:rsid w:val="00BA6521"/>
    <w:rsid w:val="00BC1959"/>
    <w:rsid w:val="00BD537B"/>
    <w:rsid w:val="00BE4450"/>
    <w:rsid w:val="00BE4527"/>
    <w:rsid w:val="00C148A3"/>
    <w:rsid w:val="00C36231"/>
    <w:rsid w:val="00C66DE3"/>
    <w:rsid w:val="00C67B6F"/>
    <w:rsid w:val="00C71A21"/>
    <w:rsid w:val="00C72658"/>
    <w:rsid w:val="00C73054"/>
    <w:rsid w:val="00C80A4C"/>
    <w:rsid w:val="00C8143F"/>
    <w:rsid w:val="00C83254"/>
    <w:rsid w:val="00C96CF6"/>
    <w:rsid w:val="00CA0C35"/>
    <w:rsid w:val="00CA735E"/>
    <w:rsid w:val="00CB7176"/>
    <w:rsid w:val="00CC00DF"/>
    <w:rsid w:val="00CC59FC"/>
    <w:rsid w:val="00CD2031"/>
    <w:rsid w:val="00CE4500"/>
    <w:rsid w:val="00CE5594"/>
    <w:rsid w:val="00CF3816"/>
    <w:rsid w:val="00D1357F"/>
    <w:rsid w:val="00D15318"/>
    <w:rsid w:val="00D22290"/>
    <w:rsid w:val="00D36464"/>
    <w:rsid w:val="00D50A1A"/>
    <w:rsid w:val="00D50F5E"/>
    <w:rsid w:val="00D55896"/>
    <w:rsid w:val="00D56287"/>
    <w:rsid w:val="00D71618"/>
    <w:rsid w:val="00D762C4"/>
    <w:rsid w:val="00D97859"/>
    <w:rsid w:val="00DB31BF"/>
    <w:rsid w:val="00DD583F"/>
    <w:rsid w:val="00DD6BE3"/>
    <w:rsid w:val="00DE6F87"/>
    <w:rsid w:val="00DF334F"/>
    <w:rsid w:val="00E01C2F"/>
    <w:rsid w:val="00E02347"/>
    <w:rsid w:val="00E1221E"/>
    <w:rsid w:val="00E33AF0"/>
    <w:rsid w:val="00E42095"/>
    <w:rsid w:val="00E42395"/>
    <w:rsid w:val="00E42AE0"/>
    <w:rsid w:val="00E42D2E"/>
    <w:rsid w:val="00E509A2"/>
    <w:rsid w:val="00E52F88"/>
    <w:rsid w:val="00E614EF"/>
    <w:rsid w:val="00E65A36"/>
    <w:rsid w:val="00E77983"/>
    <w:rsid w:val="00E83D67"/>
    <w:rsid w:val="00E840A4"/>
    <w:rsid w:val="00E8505A"/>
    <w:rsid w:val="00E86B94"/>
    <w:rsid w:val="00EA0497"/>
    <w:rsid w:val="00EA6B89"/>
    <w:rsid w:val="00EB738B"/>
    <w:rsid w:val="00EE0EBB"/>
    <w:rsid w:val="00EE2F32"/>
    <w:rsid w:val="00EE5697"/>
    <w:rsid w:val="00EF2C0C"/>
    <w:rsid w:val="00EF545E"/>
    <w:rsid w:val="00EF6D76"/>
    <w:rsid w:val="00EF703A"/>
    <w:rsid w:val="00F008F9"/>
    <w:rsid w:val="00F00B2B"/>
    <w:rsid w:val="00F13BDA"/>
    <w:rsid w:val="00F311CF"/>
    <w:rsid w:val="00F4209B"/>
    <w:rsid w:val="00F75B65"/>
    <w:rsid w:val="00F938F8"/>
    <w:rsid w:val="00FA2736"/>
    <w:rsid w:val="00FB0FE9"/>
    <w:rsid w:val="00FB13A8"/>
    <w:rsid w:val="00FC11EA"/>
    <w:rsid w:val="00FD3C72"/>
    <w:rsid w:val="00FE1291"/>
    <w:rsid w:val="00FE7F54"/>
    <w:rsid w:val="02890D36"/>
    <w:rsid w:val="029E5458"/>
    <w:rsid w:val="03CE35CB"/>
    <w:rsid w:val="044F06A2"/>
    <w:rsid w:val="0B0E7430"/>
    <w:rsid w:val="0FB70159"/>
    <w:rsid w:val="11127111"/>
    <w:rsid w:val="15D43E5C"/>
    <w:rsid w:val="168C360A"/>
    <w:rsid w:val="17D15EA0"/>
    <w:rsid w:val="17FE6362"/>
    <w:rsid w:val="19004393"/>
    <w:rsid w:val="1B0A7C6C"/>
    <w:rsid w:val="1DCC746F"/>
    <w:rsid w:val="229628CB"/>
    <w:rsid w:val="234E207A"/>
    <w:rsid w:val="2494490F"/>
    <w:rsid w:val="28913E9A"/>
    <w:rsid w:val="2A8F5EDF"/>
    <w:rsid w:val="2A997AF3"/>
    <w:rsid w:val="2F59133A"/>
    <w:rsid w:val="30110AE9"/>
    <w:rsid w:val="3157337F"/>
    <w:rsid w:val="333F0CA1"/>
    <w:rsid w:val="340E0074"/>
    <w:rsid w:val="3554290A"/>
    <w:rsid w:val="3751494E"/>
    <w:rsid w:val="40197335"/>
    <w:rsid w:val="407A60D5"/>
    <w:rsid w:val="40D16AE4"/>
    <w:rsid w:val="42161379"/>
    <w:rsid w:val="441433BD"/>
    <w:rsid w:val="454F3145"/>
    <w:rsid w:val="4A0F498D"/>
    <w:rsid w:val="4CDB5DA5"/>
    <w:rsid w:val="4D935553"/>
    <w:rsid w:val="4D9E7167"/>
    <w:rsid w:val="4ED97DE9"/>
    <w:rsid w:val="52077FA0"/>
    <w:rsid w:val="52121BB5"/>
    <w:rsid w:val="52D67374"/>
    <w:rsid w:val="54103BF9"/>
    <w:rsid w:val="54D413B8"/>
    <w:rsid w:val="56D133FC"/>
    <w:rsid w:val="57D65228"/>
    <w:rsid w:val="580D3184"/>
    <w:rsid w:val="5ED50624"/>
    <w:rsid w:val="5F4D3766"/>
    <w:rsid w:val="5F995DE3"/>
    <w:rsid w:val="5FFBEF6C"/>
    <w:rsid w:val="60C93F57"/>
    <w:rsid w:val="60E9228D"/>
    <w:rsid w:val="61967E27"/>
    <w:rsid w:val="64CF1BF3"/>
    <w:rsid w:val="67F30197"/>
    <w:rsid w:val="6B8D0D02"/>
    <w:rsid w:val="6C5C4853"/>
    <w:rsid w:val="6D144001"/>
    <w:rsid w:val="71920663"/>
    <w:rsid w:val="7523723A"/>
    <w:rsid w:val="770B4B5C"/>
    <w:rsid w:val="781E7737"/>
    <w:rsid w:val="78B26191"/>
    <w:rsid w:val="791E32C2"/>
    <w:rsid w:val="7E5570D2"/>
    <w:rsid w:val="7F7A36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页脚 Char"/>
    <w:basedOn w:val="6"/>
    <w:link w:val="3"/>
    <w:qFormat/>
    <w:uiPriority w:val="99"/>
    <w:rPr>
      <w:rFonts w:ascii="Times New Roman" w:hAnsi="Times New Roman" w:eastAsia="宋体" w:cs="Times New Roman"/>
      <w:sz w:val="18"/>
      <w:szCs w:val="18"/>
    </w:rPr>
  </w:style>
  <w:style w:type="character" w:customStyle="1" w:styleId="9">
    <w:name w:val="页眉 Char"/>
    <w:basedOn w:val="6"/>
    <w:link w:val="4"/>
    <w:qFormat/>
    <w:uiPriority w:val="0"/>
    <w:rPr>
      <w:rFonts w:ascii="Times New Roman" w:hAnsi="Times New Roman" w:eastAsia="宋体" w:cs="Times New Roman"/>
      <w:sz w:val="18"/>
      <w:szCs w:val="18"/>
    </w:rPr>
  </w:style>
  <w:style w:type="paragraph" w:customStyle="1" w:styleId="10">
    <w:name w:val="列出段落1"/>
    <w:basedOn w:val="1"/>
    <w:qFormat/>
    <w:uiPriority w:val="0"/>
    <w:pPr>
      <w:ind w:firstLine="200" w:firstLineChars="200"/>
    </w:pPr>
    <w:rPr>
      <w:rFonts w:ascii="Calibri" w:hAnsi="Calibri" w:eastAsia="??" w:cs="宋体"/>
      <w:szCs w:val="22"/>
    </w:rPr>
  </w:style>
  <w:style w:type="paragraph" w:customStyle="1" w:styleId="11">
    <w:name w:val="列出段落2"/>
    <w:basedOn w:val="1"/>
    <w:unhideWhenUsed/>
    <w:qFormat/>
    <w:uiPriority w:val="99"/>
    <w:pPr>
      <w:ind w:firstLine="420" w:firstLineChars="200"/>
    </w:pPr>
  </w:style>
  <w:style w:type="character" w:customStyle="1" w:styleId="12">
    <w:name w:val="批注框文本 Char"/>
    <w:basedOn w:val="6"/>
    <w:link w:val="2"/>
    <w:semiHidden/>
    <w:qFormat/>
    <w:uiPriority w:val="99"/>
    <w:rPr>
      <w:rFonts w:ascii="Times New Roman" w:hAnsi="Times New Roman" w:eastAsia="宋体" w:cs="Times New Roman"/>
      <w:kern w:val="2"/>
      <w:sz w:val="18"/>
      <w:szCs w:val="18"/>
    </w:rPr>
  </w:style>
  <w:style w:type="paragraph"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7</Pages>
  <Words>801</Words>
  <Characters>4569</Characters>
  <Lines>38</Lines>
  <Paragraphs>10</Paragraphs>
  <TotalTime>788</TotalTime>
  <ScaleCrop>false</ScaleCrop>
  <LinksUpToDate>false</LinksUpToDate>
  <CharactersWithSpaces>5360</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2016-06-24T09:47:00Z</dcterms:created>
  <dc:creator>杨彦飞</dc:creator>
  <cp:lastModifiedBy>cxy</cp:lastModifiedBy>
  <dcterms:modified xsi:type="dcterms:W3CDTF">2023-11-27T18:22:29Z</dcterms:modified>
  <cp:revision>171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09AF2C1F199DF4CBE56D64654ABFB06F</vt:lpwstr>
  </property>
</Properties>
</file>