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rPr>
        <w:t>附件2</w:t>
      </w:r>
    </w:p>
    <w:p>
      <w:pPr>
        <w:spacing w:line="58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“罗湖匠师”评选计分标准</w:t>
      </w:r>
      <w:bookmarkStart w:id="0" w:name="_GoBack"/>
      <w:bookmarkEnd w:id="0"/>
    </w:p>
    <w:tbl>
      <w:tblPr>
        <w:tblStyle w:val="7"/>
        <w:tblpPr w:leftFromText="180" w:rightFromText="180" w:vertAnchor="text" w:horzAnchor="page" w:tblpXSpec="center" w:tblpY="892"/>
        <w:tblW w:w="974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
        <w:gridCol w:w="757"/>
        <w:gridCol w:w="1828"/>
        <w:gridCol w:w="615"/>
        <w:gridCol w:w="4416"/>
        <w:gridCol w:w="16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47" w:type="dxa"/>
            <w:vAlign w:val="center"/>
          </w:tcPr>
          <w:p>
            <w:pPr>
              <w:spacing w:line="276" w:lineRule="auto"/>
              <w:jc w:val="center"/>
              <w:rPr>
                <w:rFonts w:ascii="楷体" w:hAnsi="楷体" w:eastAsia="楷体" w:cs="楷体"/>
                <w:b/>
                <w:bCs/>
                <w:color w:val="auto"/>
                <w:kern w:val="0"/>
                <w:sz w:val="20"/>
                <w:szCs w:val="20"/>
                <w:highlight w:val="none"/>
              </w:rPr>
            </w:pPr>
            <w:r>
              <w:rPr>
                <w:rFonts w:hint="eastAsia" w:ascii="楷体" w:hAnsi="楷体" w:eastAsia="楷体" w:cs="楷体"/>
                <w:b/>
                <w:bCs/>
                <w:color w:val="auto"/>
                <w:kern w:val="0"/>
                <w:sz w:val="16"/>
                <w:szCs w:val="16"/>
                <w:highlight w:val="none"/>
              </w:rPr>
              <w:t>序号</w:t>
            </w:r>
          </w:p>
        </w:tc>
        <w:tc>
          <w:tcPr>
            <w:tcW w:w="75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指标</w:t>
            </w:r>
          </w:p>
        </w:tc>
        <w:tc>
          <w:tcPr>
            <w:tcW w:w="1828"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评价标准</w:t>
            </w:r>
          </w:p>
        </w:tc>
        <w:tc>
          <w:tcPr>
            <w:tcW w:w="615"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18"/>
                <w:szCs w:val="18"/>
                <w:highlight w:val="none"/>
              </w:rPr>
              <w:t>分值</w:t>
            </w:r>
          </w:p>
        </w:tc>
        <w:tc>
          <w:tcPr>
            <w:tcW w:w="4416"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评分细则</w:t>
            </w:r>
          </w:p>
        </w:tc>
        <w:tc>
          <w:tcPr>
            <w:tcW w:w="1681"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1</w:t>
            </w:r>
          </w:p>
        </w:tc>
        <w:tc>
          <w:tcPr>
            <w:tcW w:w="75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必备</w:t>
            </w:r>
          </w:p>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条件</w:t>
            </w:r>
          </w:p>
        </w:tc>
        <w:tc>
          <w:tcPr>
            <w:tcW w:w="1828" w:type="dxa"/>
            <w:vAlign w:val="center"/>
          </w:tcPr>
          <w:p>
            <w:pPr>
              <w:spacing w:line="280" w:lineRule="exact"/>
              <w:rPr>
                <w:rFonts w:ascii="华文仿宋" w:hAnsi="华文仿宋" w:eastAsia="华文仿宋" w:cs="华文仿宋"/>
                <w:b/>
                <w:bCs/>
                <w:color w:val="auto"/>
                <w:kern w:val="0"/>
                <w:sz w:val="18"/>
                <w:szCs w:val="18"/>
                <w:highlight w:val="none"/>
              </w:rPr>
            </w:pPr>
            <w:r>
              <w:rPr>
                <w:rFonts w:hint="eastAsia" w:ascii="华文仿宋" w:hAnsi="华文仿宋" w:eastAsia="华文仿宋" w:cs="华文仿宋"/>
                <w:color w:val="auto"/>
                <w:sz w:val="18"/>
                <w:szCs w:val="18"/>
                <w:highlight w:val="none"/>
              </w:rPr>
              <w:t>在罗湖区工作1年或已经签署3年以上劳动合同；在一线技能岗位工作；遵纪守法师德良好。</w:t>
            </w:r>
          </w:p>
        </w:tc>
        <w:tc>
          <w:tcPr>
            <w:tcW w:w="615" w:type="dxa"/>
            <w:vAlign w:val="center"/>
          </w:tcPr>
          <w:p>
            <w:pPr>
              <w:spacing w:line="280" w:lineRule="exact"/>
              <w:jc w:val="center"/>
              <w:rPr>
                <w:rFonts w:ascii="华文仿宋" w:hAnsi="华文仿宋" w:eastAsia="华文仿宋" w:cs="华文仿宋"/>
                <w:b/>
                <w:bCs/>
                <w:color w:val="auto"/>
                <w:kern w:val="0"/>
                <w:sz w:val="18"/>
                <w:szCs w:val="18"/>
                <w:highlight w:val="none"/>
              </w:rPr>
            </w:pPr>
          </w:p>
        </w:tc>
        <w:tc>
          <w:tcPr>
            <w:tcW w:w="4416" w:type="dxa"/>
            <w:vAlign w:val="center"/>
          </w:tcPr>
          <w:p>
            <w:pPr>
              <w:spacing w:line="280" w:lineRule="exact"/>
              <w:rPr>
                <w:rFonts w:ascii="华文仿宋" w:hAnsi="华文仿宋" w:eastAsia="华文仿宋" w:cs="华文仿宋"/>
                <w:b/>
                <w:bCs/>
                <w:color w:val="auto"/>
                <w:kern w:val="0"/>
                <w:sz w:val="18"/>
                <w:szCs w:val="18"/>
                <w:highlight w:val="none"/>
              </w:rPr>
            </w:pPr>
            <w:r>
              <w:rPr>
                <w:rFonts w:hint="eastAsia" w:ascii="华文仿宋" w:hAnsi="华文仿宋" w:eastAsia="华文仿宋" w:cs="华文仿宋"/>
                <w:color w:val="auto"/>
                <w:sz w:val="18"/>
                <w:szCs w:val="18"/>
                <w:highlight w:val="none"/>
              </w:rPr>
              <w:t>缺一不可。</w:t>
            </w:r>
          </w:p>
        </w:tc>
        <w:tc>
          <w:tcPr>
            <w:tcW w:w="1681" w:type="dxa"/>
            <w:vAlign w:val="center"/>
          </w:tcPr>
          <w:p>
            <w:pPr>
              <w:spacing w:line="280" w:lineRule="exact"/>
              <w:jc w:val="center"/>
              <w:rPr>
                <w:rFonts w:ascii="华文仿宋" w:hAnsi="华文仿宋" w:eastAsia="华文仿宋" w:cs="华文仿宋"/>
                <w:b/>
                <w:bCs/>
                <w:color w:val="auto"/>
                <w:kern w:val="0"/>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6"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2</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职业</w:t>
            </w:r>
          </w:p>
          <w:p>
            <w:pPr>
              <w:spacing w:line="276" w:lineRule="auto"/>
              <w:jc w:val="center"/>
              <w:rPr>
                <w:rFonts w:ascii="仿宋" w:hAnsi="仿宋" w:eastAsia="仿宋" w:cs="仿宋"/>
                <w:bCs/>
                <w:color w:val="auto"/>
                <w:kern w:val="0"/>
                <w:sz w:val="24"/>
                <w:highlight w:val="none"/>
              </w:rPr>
            </w:pPr>
            <w:r>
              <w:rPr>
                <w:rFonts w:hint="eastAsia" w:ascii="楷体" w:hAnsi="楷体" w:eastAsia="楷体" w:cs="楷体"/>
                <w:b/>
                <w:bCs/>
                <w:color w:val="auto"/>
                <w:sz w:val="24"/>
                <w:highlight w:val="none"/>
              </w:rPr>
              <w:t>资格</w:t>
            </w:r>
          </w:p>
        </w:tc>
        <w:tc>
          <w:tcPr>
            <w:tcW w:w="1828" w:type="dxa"/>
            <w:vAlign w:val="center"/>
          </w:tcPr>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获得生产和服务等领域技能技术岗位获取的证书（或同等技能技艺水平）。</w:t>
            </w:r>
          </w:p>
        </w:tc>
        <w:tc>
          <w:tcPr>
            <w:tcW w:w="615"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5</w:t>
            </w: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1.高级技师/高级考评员或高级职称，得分5分；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2.技师/考评员或中级职称，得分3分；</w:t>
            </w:r>
          </w:p>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3.其他/助理考评员或初级职称，得分1分。</w:t>
            </w:r>
          </w:p>
        </w:tc>
        <w:tc>
          <w:tcPr>
            <w:tcW w:w="1681"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不同工种可叠加，总分不得超过5分。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3</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培训</w:t>
            </w:r>
          </w:p>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成绩</w:t>
            </w:r>
          </w:p>
        </w:tc>
        <w:tc>
          <w:tcPr>
            <w:tcW w:w="1828"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5年内在技能及相关领域内的培训业绩。</w:t>
            </w:r>
          </w:p>
        </w:tc>
        <w:tc>
          <w:tcPr>
            <w:tcW w:w="615"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25</w:t>
            </w: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1.在所处行业领域内培训学员250-500人，得10分，每增加500人加5分；最高25分；</w:t>
            </w:r>
          </w:p>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2.以企业新型学徒制等形式开展师带徒10人以上，得分5分；培训量10-20人，得10分；培训量20-40人，得15分；培训量40-80人，得20分，80人以上得25分。</w:t>
            </w:r>
          </w:p>
        </w:tc>
        <w:tc>
          <w:tcPr>
            <w:tcW w:w="1681"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不同项目可叠加，但属于同一批学员人数不重复计算，总分不得超过25分。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0" w:hRule="atLeast"/>
          <w:jc w:val="center"/>
        </w:trPr>
        <w:tc>
          <w:tcPr>
            <w:tcW w:w="447" w:type="dxa"/>
            <w:vMerge w:val="restart"/>
            <w:vAlign w:val="center"/>
          </w:tcPr>
          <w:p>
            <w:pPr>
              <w:spacing w:line="276" w:lineRule="auto"/>
              <w:jc w:val="center"/>
              <w:rPr>
                <w:rFonts w:ascii="仿宋" w:hAnsi="仿宋" w:eastAsia="仿宋"/>
                <w:bCs/>
                <w:color w:val="auto"/>
                <w:kern w:val="0"/>
                <w:sz w:val="24"/>
                <w:highlight w:val="none"/>
              </w:rPr>
            </w:pPr>
            <w:r>
              <w:rPr>
                <w:rFonts w:hint="eastAsia" w:ascii="楷体" w:hAnsi="楷体" w:eastAsia="楷体" w:cs="楷体"/>
                <w:b/>
                <w:bCs/>
                <w:color w:val="auto"/>
                <w:kern w:val="0"/>
                <w:sz w:val="24"/>
                <w:highlight w:val="none"/>
              </w:rPr>
              <w:t>4</w:t>
            </w:r>
          </w:p>
        </w:tc>
        <w:tc>
          <w:tcPr>
            <w:tcW w:w="757" w:type="dxa"/>
            <w:vMerge w:val="restart"/>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人才培养与使用贡献</w:t>
            </w:r>
          </w:p>
        </w:tc>
        <w:tc>
          <w:tcPr>
            <w:tcW w:w="1828"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10年内入选国际、国内、省级别技能大赛集训队教练，指导选手获得相应级别奖项或荣誉，或入选大赛裁判、评委。</w:t>
            </w:r>
          </w:p>
        </w:tc>
        <w:tc>
          <w:tcPr>
            <w:tcW w:w="615" w:type="dxa"/>
            <w:vMerge w:val="restart"/>
            <w:vAlign w:val="center"/>
          </w:tcPr>
          <w:p>
            <w:pPr>
              <w:spacing w:line="280" w:lineRule="exact"/>
              <w:jc w:val="center"/>
              <w:rPr>
                <w:rFonts w:ascii="华文仿宋" w:hAnsi="华文仿宋" w:eastAsia="华文仿宋" w:cs="华文仿宋"/>
                <w:color w:val="auto"/>
                <w:sz w:val="18"/>
                <w:szCs w:val="18"/>
                <w:highlight w:val="none"/>
              </w:rPr>
            </w:pPr>
            <w:r>
              <w:rPr>
                <w:rFonts w:hint="eastAsia" w:ascii="华文仿宋" w:hAnsi="华文仿宋" w:eastAsia="华文仿宋" w:cs="华文仿宋"/>
                <w:bCs/>
                <w:color w:val="auto"/>
                <w:kern w:val="0"/>
                <w:sz w:val="18"/>
                <w:szCs w:val="18"/>
                <w:highlight w:val="none"/>
              </w:rPr>
              <w:t>20</w:t>
            </w: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1.入选世界、国家、省技能大赛（或相同级别）国家集训队教练，指导选手获得技能大赛（或相同级别）铜牌及以上得分20分、18、15分；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2.所培训过学员获得以上荣誉，分别按得分0.5加权进行计算；</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3.入选世界、国家、省技能大赛技能大赛（或相同级别）裁判、评委，得分15、10、5分。</w:t>
            </w:r>
          </w:p>
        </w:tc>
        <w:tc>
          <w:tcPr>
            <w:tcW w:w="1681" w:type="dxa"/>
            <w:vMerge w:val="restart"/>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不同项目可叠加，总分不得超过20分。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jc w:val="center"/>
        </w:trPr>
        <w:tc>
          <w:tcPr>
            <w:tcW w:w="447" w:type="dxa"/>
            <w:vMerge w:val="continue"/>
            <w:vAlign w:val="center"/>
          </w:tcPr>
          <w:p>
            <w:pPr>
              <w:spacing w:line="276" w:lineRule="auto"/>
              <w:jc w:val="center"/>
              <w:rPr>
                <w:rFonts w:ascii="楷体" w:hAnsi="楷体" w:eastAsia="楷体" w:cs="楷体"/>
                <w:b/>
                <w:bCs/>
                <w:color w:val="auto"/>
                <w:kern w:val="0"/>
                <w:sz w:val="24"/>
                <w:highlight w:val="none"/>
              </w:rPr>
            </w:pPr>
          </w:p>
        </w:tc>
        <w:tc>
          <w:tcPr>
            <w:tcW w:w="757" w:type="dxa"/>
            <w:vMerge w:val="continue"/>
            <w:vAlign w:val="center"/>
          </w:tcPr>
          <w:p>
            <w:pPr>
              <w:spacing w:line="276" w:lineRule="auto"/>
              <w:jc w:val="center"/>
              <w:rPr>
                <w:rFonts w:ascii="楷体" w:hAnsi="楷体" w:eastAsia="楷体" w:cs="楷体"/>
                <w:b/>
                <w:bCs/>
                <w:color w:val="auto"/>
                <w:sz w:val="24"/>
                <w:highlight w:val="none"/>
              </w:rPr>
            </w:pPr>
          </w:p>
        </w:tc>
        <w:tc>
          <w:tcPr>
            <w:tcW w:w="1828" w:type="dxa"/>
            <w:vAlign w:val="center"/>
          </w:tcPr>
          <w:p>
            <w:pPr>
              <w:spacing w:line="276" w:lineRule="auto"/>
              <w:rPr>
                <w:rFonts w:ascii="宋体" w:hAnsi="宋体" w:eastAsia="宋体" w:cs="宋体"/>
                <w:color w:val="auto"/>
                <w:szCs w:val="21"/>
                <w:highlight w:val="none"/>
              </w:rPr>
            </w:pPr>
            <w:r>
              <w:rPr>
                <w:rFonts w:hint="eastAsia" w:ascii="华文仿宋" w:hAnsi="华文仿宋" w:eastAsia="华文仿宋" w:cs="华文仿宋"/>
                <w:color w:val="auto"/>
                <w:sz w:val="18"/>
                <w:szCs w:val="18"/>
                <w:highlight w:val="none"/>
              </w:rPr>
              <w:t>5年内通过优化企业用工，企业获得用工及人力资源方面的荣誉。</w:t>
            </w:r>
          </w:p>
        </w:tc>
        <w:tc>
          <w:tcPr>
            <w:tcW w:w="615" w:type="dxa"/>
            <w:vMerge w:val="continue"/>
            <w:vAlign w:val="center"/>
          </w:tcPr>
          <w:p>
            <w:pPr>
              <w:spacing w:line="276" w:lineRule="auto"/>
              <w:rPr>
                <w:rFonts w:ascii="宋体" w:hAnsi="宋体" w:eastAsia="宋体" w:cs="宋体"/>
                <w:bCs/>
                <w:color w:val="auto"/>
                <w:kern w:val="0"/>
                <w:sz w:val="24"/>
                <w:highlight w:val="none"/>
              </w:rPr>
            </w:pP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1.所在企业及本人获得国家、省、市、区级政府部门颁发的，如“最佳雇主企业发展奖”“最佳雇主组织管理奖”“最佳雇主专项奖”“最佳雇主提名奖”等，得分20、15、10、5分；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2.人力资源行业、知名企业颁发的相关奖项参照上款规定酌情打分；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3.本人因在人力资源管理或人才培养与使用而获得政府或行业协会授予的相关证书或荣誉称号，参照第一条规定酌情打分。</w:t>
            </w:r>
          </w:p>
        </w:tc>
        <w:tc>
          <w:tcPr>
            <w:tcW w:w="1681" w:type="dxa"/>
            <w:vMerge w:val="continue"/>
            <w:vAlign w:val="center"/>
          </w:tcPr>
          <w:p>
            <w:pPr>
              <w:spacing w:line="276" w:lineRule="auto"/>
              <w:rPr>
                <w:rFonts w:ascii="宋体" w:hAnsi="宋体" w:eastAsia="宋体" w:cs="宋体"/>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6" w:hRule="atLeast"/>
          <w:jc w:val="center"/>
        </w:trPr>
        <w:tc>
          <w:tcPr>
            <w:tcW w:w="447" w:type="dxa"/>
            <w:vAlign w:val="center"/>
          </w:tcPr>
          <w:p>
            <w:pPr>
              <w:spacing w:line="276" w:lineRule="auto"/>
              <w:rPr>
                <w:rFonts w:ascii="仿宋" w:hAnsi="仿宋" w:eastAsia="仿宋"/>
                <w:b/>
                <w:color w:val="auto"/>
                <w:kern w:val="0"/>
                <w:sz w:val="24"/>
                <w:highlight w:val="none"/>
              </w:rPr>
            </w:pPr>
            <w:r>
              <w:rPr>
                <w:rFonts w:hint="eastAsia" w:ascii="仿宋" w:hAnsi="仿宋" w:eastAsia="仿宋"/>
                <w:b/>
                <w:color w:val="auto"/>
                <w:kern w:val="0"/>
                <w:sz w:val="24"/>
                <w:highlight w:val="none"/>
              </w:rPr>
              <w:t>5</w:t>
            </w:r>
          </w:p>
        </w:tc>
        <w:tc>
          <w:tcPr>
            <w:tcW w:w="757" w:type="dxa"/>
            <w:vAlign w:val="center"/>
          </w:tcPr>
          <w:p>
            <w:pPr>
              <w:spacing w:line="276" w:lineRule="auto"/>
              <w:jc w:val="center"/>
              <w:rPr>
                <w:rFonts w:ascii="宋体" w:hAnsi="宋体" w:eastAsia="宋体" w:cs="宋体"/>
                <w:b/>
                <w:bCs/>
                <w:color w:val="auto"/>
                <w:kern w:val="0"/>
                <w:sz w:val="24"/>
                <w:highlight w:val="none"/>
              </w:rPr>
            </w:pPr>
            <w:r>
              <w:rPr>
                <w:rFonts w:hint="eastAsia" w:ascii="楷体" w:hAnsi="楷体" w:eastAsia="楷体" w:cs="楷体"/>
                <w:b/>
                <w:bCs/>
                <w:color w:val="auto"/>
                <w:sz w:val="24"/>
                <w:highlight w:val="none"/>
              </w:rPr>
              <w:t>技能荣誉</w:t>
            </w:r>
          </w:p>
        </w:tc>
        <w:tc>
          <w:tcPr>
            <w:tcW w:w="1828" w:type="dxa"/>
            <w:vAlign w:val="center"/>
          </w:tcPr>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10年内全国、省级、市级和罗湖区技能大赛技术能手。</w:t>
            </w:r>
          </w:p>
        </w:tc>
        <w:tc>
          <w:tcPr>
            <w:tcW w:w="615"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10</w:t>
            </w: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1.获得国家级工匠荣誉得10分，全国技术能手得5分；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2.获得省级工匠荣誉得分8分，技术能手得4分；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3.获得市级工匠荣誉得6分，技术能手3分；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4.获得深圳市内区级工匠荣誉得4分，技术能手得2分。</w:t>
            </w:r>
          </w:p>
        </w:tc>
        <w:tc>
          <w:tcPr>
            <w:tcW w:w="1681"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不同项目可叠加，总分不超过10分。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同一项目按0.2数量加权。如A某10年内先后获得鹏城工匠，罗湖、龙岗技术能手，得分为：6+2+2x0.2=8.4分。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47" w:type="dxa"/>
            <w:vAlign w:val="center"/>
          </w:tcPr>
          <w:p>
            <w:pPr>
              <w:spacing w:line="276" w:lineRule="auto"/>
              <w:rPr>
                <w:rFonts w:ascii="仿宋" w:hAnsi="仿宋" w:eastAsia="仿宋"/>
                <w:b/>
                <w:color w:val="auto"/>
                <w:kern w:val="0"/>
                <w:sz w:val="24"/>
                <w:highlight w:val="none"/>
              </w:rPr>
            </w:pPr>
            <w:r>
              <w:rPr>
                <w:rFonts w:hint="eastAsia" w:ascii="仿宋" w:hAnsi="仿宋" w:eastAsia="仿宋"/>
                <w:b/>
                <w:color w:val="auto"/>
                <w:kern w:val="0"/>
                <w:sz w:val="24"/>
                <w:highlight w:val="none"/>
              </w:rPr>
              <w:t>6</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行业</w:t>
            </w:r>
          </w:p>
          <w:p>
            <w:pPr>
              <w:spacing w:line="276" w:lineRule="auto"/>
              <w:jc w:val="center"/>
              <w:rPr>
                <w:rFonts w:ascii="宋体" w:hAnsi="宋体" w:eastAsia="宋体" w:cs="宋体"/>
                <w:bCs/>
                <w:color w:val="auto"/>
                <w:kern w:val="0"/>
                <w:szCs w:val="21"/>
                <w:highlight w:val="none"/>
              </w:rPr>
            </w:pPr>
            <w:r>
              <w:rPr>
                <w:rFonts w:hint="eastAsia" w:ascii="楷体" w:hAnsi="楷体" w:eastAsia="楷体" w:cs="楷体"/>
                <w:b/>
                <w:bCs/>
                <w:color w:val="auto"/>
                <w:sz w:val="24"/>
                <w:highlight w:val="none"/>
              </w:rPr>
              <w:t>贡献</w:t>
            </w:r>
          </w:p>
        </w:tc>
        <w:tc>
          <w:tcPr>
            <w:tcW w:w="1828"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积极开展行业技能革新，技能培训领域成果卓著。</w:t>
            </w:r>
          </w:p>
          <w:p>
            <w:pPr>
              <w:spacing w:line="280" w:lineRule="exact"/>
              <w:rPr>
                <w:rFonts w:ascii="华文仿宋" w:hAnsi="华文仿宋" w:eastAsia="华文仿宋" w:cs="华文仿宋"/>
                <w:color w:val="auto"/>
                <w:kern w:val="0"/>
                <w:sz w:val="18"/>
                <w:szCs w:val="18"/>
                <w:highlight w:val="none"/>
              </w:rPr>
            </w:pPr>
          </w:p>
        </w:tc>
        <w:tc>
          <w:tcPr>
            <w:tcW w:w="615" w:type="dxa"/>
            <w:vAlign w:val="center"/>
          </w:tcPr>
          <w:p>
            <w:pPr>
              <w:spacing w:line="280" w:lineRule="exact"/>
              <w:jc w:val="center"/>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25</w:t>
            </w:r>
          </w:p>
        </w:tc>
        <w:tc>
          <w:tcPr>
            <w:tcW w:w="4416"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1.获得国家级、省、市、区级创新成果、科技进步奖励等得30、25、20、15分，数量加权0.2，单独获得权重1，多人获得权重0.5；</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2.带动罗湖区“粤菜师傅”“广东技工”“南粤家政”三项工程项目创业1个得8分；带动创业3个，12分；带动创业5个，16分；带动创业7个，20分；带动创业10个以上25分（创业项目正常经营1年以上）；</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3.带动罗湖区就业50人，8分；带动就业50-100人，得分12分；带动就业100-150人，得分16分；带动就业150-200人，得分20分；带动就业200人以上25分；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4.发表论文（北大核心10分/篇，普通期刊5分/篇，数量加权0.2，第一作者、第二作者、第三作者及以后权重为1、0.8、0.6、0.4）；出版专业书籍（15分/本，数量加权0.2，第一作者、第二作者、第三作者及以后权重为1、0.8、0.6、0.4）；</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5.获得国家级、省、市技能类“非遗传承人”（25、20、15），数量加权0.2；</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6.国家、省、市、区级新闻媒体公开报道（10、8、6、4、2分），数量加权0.2，单独报道权重1，多人报道权重0.5；</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7.起草、汇编、出版包括有关技能等人才使用方面的文件、书籍，每份文件得5分，最多不超过10分。</w:t>
            </w:r>
          </w:p>
        </w:tc>
        <w:tc>
          <w:tcPr>
            <w:tcW w:w="1681" w:type="dxa"/>
            <w:vAlign w:val="center"/>
          </w:tcPr>
          <w:p>
            <w:pPr>
              <w:spacing w:line="280" w:lineRule="exact"/>
              <w:rPr>
                <w:rFonts w:ascii="华文仿宋" w:hAnsi="华文仿宋" w:eastAsia="华文仿宋" w:cs="华文仿宋"/>
                <w:color w:val="auto"/>
                <w:kern w:val="0"/>
                <w:sz w:val="18"/>
                <w:szCs w:val="18"/>
                <w:highlight w:val="none"/>
              </w:rPr>
            </w:pP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不同项目可叠加，总分不得超过25分。</w:t>
            </w:r>
          </w:p>
          <w:p>
            <w:pPr>
              <w:spacing w:line="280" w:lineRule="exact"/>
              <w:rPr>
                <w:rFonts w:ascii="华文仿宋" w:hAnsi="华文仿宋" w:eastAsia="华文仿宋" w:cs="华文仿宋"/>
                <w:color w:val="auto"/>
                <w:kern w:val="0"/>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5" w:hRule="atLeast"/>
          <w:jc w:val="center"/>
        </w:trPr>
        <w:tc>
          <w:tcPr>
            <w:tcW w:w="447" w:type="dxa"/>
            <w:vAlign w:val="center"/>
          </w:tcPr>
          <w:p>
            <w:pPr>
              <w:spacing w:line="276" w:lineRule="auto"/>
              <w:rPr>
                <w:rFonts w:ascii="仿宋" w:hAnsi="仿宋" w:eastAsia="仿宋" w:cs="仿宋"/>
                <w:bCs/>
                <w:color w:val="auto"/>
                <w:kern w:val="0"/>
                <w:szCs w:val="21"/>
                <w:highlight w:val="none"/>
              </w:rPr>
            </w:pPr>
            <w:r>
              <w:rPr>
                <w:rFonts w:hint="eastAsia" w:ascii="仿宋" w:hAnsi="仿宋" w:eastAsia="仿宋" w:cs="仿宋"/>
                <w:b/>
                <w:color w:val="auto"/>
                <w:kern w:val="0"/>
                <w:szCs w:val="21"/>
                <w:highlight w:val="none"/>
              </w:rPr>
              <w:t>7</w:t>
            </w:r>
          </w:p>
        </w:tc>
        <w:tc>
          <w:tcPr>
            <w:tcW w:w="757" w:type="dxa"/>
            <w:vAlign w:val="center"/>
          </w:tcPr>
          <w:p>
            <w:pPr>
              <w:spacing w:line="276" w:lineRule="auto"/>
              <w:jc w:val="center"/>
              <w:rPr>
                <w:rFonts w:ascii="宋体" w:hAnsi="宋体" w:eastAsia="宋体" w:cs="宋体"/>
                <w:b/>
                <w:color w:val="auto"/>
                <w:kern w:val="0"/>
                <w:sz w:val="24"/>
                <w:highlight w:val="none"/>
              </w:rPr>
            </w:pPr>
            <w:r>
              <w:rPr>
                <w:rFonts w:hint="eastAsia" w:ascii="楷体" w:hAnsi="楷体" w:eastAsia="楷体" w:cs="楷体"/>
                <w:b/>
                <w:bCs/>
                <w:color w:val="auto"/>
                <w:sz w:val="24"/>
                <w:highlight w:val="none"/>
              </w:rPr>
              <w:t>企业和社会贡献</w:t>
            </w:r>
          </w:p>
        </w:tc>
        <w:tc>
          <w:tcPr>
            <w:tcW w:w="1828"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为企业做出实际贡献。</w:t>
            </w:r>
          </w:p>
        </w:tc>
        <w:tc>
          <w:tcPr>
            <w:tcW w:w="615" w:type="dxa"/>
            <w:vAlign w:val="center"/>
          </w:tcPr>
          <w:p>
            <w:pPr>
              <w:spacing w:line="280" w:lineRule="exact"/>
              <w:jc w:val="center"/>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15</w:t>
            </w:r>
          </w:p>
        </w:tc>
        <w:tc>
          <w:tcPr>
            <w:tcW w:w="4416"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1.企业就职（以在罗湖缴纳社保计算）年限，每年记1分，最多不超过5分。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2.通过技术</w:t>
            </w:r>
            <w:r>
              <w:rPr>
                <w:rFonts w:hint="eastAsia" w:ascii="华文仿宋" w:hAnsi="华文仿宋" w:eastAsia="华文仿宋" w:cs="华文仿宋"/>
                <w:color w:val="auto"/>
                <w:kern w:val="0"/>
                <w:sz w:val="18"/>
                <w:szCs w:val="18"/>
                <w:highlight w:val="none"/>
                <w:lang w:eastAsia="zh-CN"/>
              </w:rPr>
              <w:t>、管理</w:t>
            </w:r>
            <w:r>
              <w:rPr>
                <w:rFonts w:hint="eastAsia" w:ascii="华文仿宋" w:hAnsi="华文仿宋" w:eastAsia="华文仿宋" w:cs="华文仿宋"/>
                <w:color w:val="auto"/>
                <w:kern w:val="0"/>
                <w:sz w:val="18"/>
                <w:szCs w:val="18"/>
                <w:highlight w:val="none"/>
              </w:rPr>
              <w:t>革新为企业创造经济效益得1-15分；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3.获得劳动模范表彰按国家、省、市、区等级得分15、12、10、8分；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4.新技术、新产品、新材料、新建议、新专利获得应用得1-10分；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5.拥有独特工艺、操作法、绝技绝活等得1--8分；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6.自我创业，所在企业连续2年企业营业额1000万元以上得10分，每增加500万加5分，每带动1人就业加1分；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7.积极配合、参与各级政府组织开展的统计调研、稳岗援企、人才招聘、就业援助、乡村振兴等技能提升、技能人才有关活动（每提供一个有效活动项目案例累计2分，最多不超过10分）。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kern w:val="0"/>
                <w:sz w:val="18"/>
                <w:szCs w:val="18"/>
                <w:highlight w:val="none"/>
              </w:rPr>
              <w:t>该项满分15分。</w:t>
            </w:r>
          </w:p>
        </w:tc>
        <w:tc>
          <w:tcPr>
            <w:tcW w:w="1681"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sz w:val="18"/>
                <w:szCs w:val="18"/>
                <w:highlight w:val="none"/>
              </w:rPr>
              <w:t>1.不同项目可叠加，总分不得超过15分。</w:t>
            </w:r>
          </w:p>
        </w:tc>
      </w:tr>
    </w:tbl>
    <w:p>
      <w:pPr>
        <w:spacing w:line="276" w:lineRule="auto"/>
        <w:rPr>
          <w:rFonts w:ascii="宋体" w:hAnsi="宋体" w:eastAsia="宋体" w:cs="宋体"/>
          <w:color w:val="auto"/>
          <w:kern w:val="0"/>
          <w:szCs w:val="21"/>
          <w:highlight w:val="none"/>
        </w:rPr>
      </w:pPr>
    </w:p>
    <w:p>
      <w:pPr>
        <w:spacing w:line="276" w:lineRule="auto"/>
        <w:rPr>
          <w:rFonts w:ascii="华文仿宋" w:hAnsi="华文仿宋" w:eastAsia="华文仿宋" w:cs="华文仿宋"/>
          <w:b/>
          <w:bCs/>
          <w:color w:val="auto"/>
          <w:kern w:val="0"/>
          <w:szCs w:val="21"/>
          <w:highlight w:val="none"/>
        </w:rPr>
      </w:pPr>
      <w:r>
        <w:rPr>
          <w:rFonts w:hint="eastAsia" w:ascii="华文仿宋" w:hAnsi="华文仿宋" w:eastAsia="华文仿宋" w:cs="华文仿宋"/>
          <w:b/>
          <w:bCs/>
          <w:color w:val="auto"/>
          <w:kern w:val="0"/>
          <w:szCs w:val="21"/>
          <w:highlight w:val="none"/>
        </w:rPr>
        <w:t>注：</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1.评选对象为罗湖区企事业单位、分支机构或机构员工，并在罗湖区一线技能岗位工作之人员；</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2.相关荣誉获得者，三年内不重复参评，但有特殊贡献者除外；</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3.师带徒指1年内以提升学徒职业技能水平为目的经过正式签订企业师徒培训协议并获得授徒补贴的技能传播活动；</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4.对于贡献突出，但不属于表彰范围的人员可授予“荣誉罗湖匠师”；</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5.“罗湖匠师”按计分标准计分排序，并采用行业、企业均衡之原则，由罗湖区人力资源局、罗湖区总工会联合表彰、授予；</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6.相关得分项目需提供电子证明材料（请提供pdf和可编辑两个版本）。</w:t>
      </w:r>
    </w:p>
    <w:p>
      <w:pPr>
        <w:spacing w:line="580" w:lineRule="exact"/>
        <w:rPr>
          <w:rFonts w:ascii="黑体" w:hAnsi="黑体" w:eastAsia="黑体" w:cs="黑体"/>
          <w:color w:val="auto"/>
          <w:sz w:val="32"/>
          <w:szCs w:val="32"/>
          <w:highlight w:val="none"/>
        </w:rPr>
      </w:pPr>
    </w:p>
    <w:p>
      <w:pPr>
        <w:pStyle w:val="2"/>
        <w:rPr>
          <w:rFonts w:hint="default" w:ascii="黑体" w:hAnsi="黑体" w:eastAsia="黑体" w:cs="黑体"/>
          <w:color w:val="auto"/>
          <w:sz w:val="32"/>
          <w:szCs w:val="32"/>
          <w:highlight w:val="none"/>
        </w:rPr>
      </w:pPr>
    </w:p>
    <w:p>
      <w:pPr>
        <w:rPr>
          <w:rFonts w:ascii="黑体" w:hAnsi="黑体" w:eastAsia="黑体" w:cs="黑体"/>
          <w:color w:val="auto"/>
          <w:sz w:val="32"/>
          <w:szCs w:val="32"/>
          <w:highlight w:val="none"/>
        </w:rPr>
      </w:pPr>
    </w:p>
    <w:p>
      <w:pPr>
        <w:rPr>
          <w:rFonts w:ascii="黑体" w:hAnsi="黑体" w:eastAsia="黑体" w:cs="黑体"/>
          <w:color w:val="auto"/>
          <w:sz w:val="32"/>
          <w:szCs w:val="32"/>
          <w:highlight w:val="none"/>
        </w:rPr>
      </w:pPr>
    </w:p>
    <w:p>
      <w:pPr>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sz w:val="20"/>
                    <w:szCs w:val="28"/>
                  </w:rPr>
                  <w:t xml:space="preserve"> </w:t>
                </w:r>
                <w: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VhNzA5OWEzZTNhYjY3ZDFkNjVjNzZlMTMwM2NjYTQifQ=="/>
  </w:docVars>
  <w:rsids>
    <w:rsidRoot w:val="4A1947CF"/>
    <w:rsid w:val="001A2023"/>
    <w:rsid w:val="0027559A"/>
    <w:rsid w:val="006647D3"/>
    <w:rsid w:val="27BEDC5A"/>
    <w:rsid w:val="2DD43247"/>
    <w:rsid w:val="35FFC38B"/>
    <w:rsid w:val="37BF75BF"/>
    <w:rsid w:val="3FFE9AAF"/>
    <w:rsid w:val="41370B45"/>
    <w:rsid w:val="46B7A0A6"/>
    <w:rsid w:val="47DCD1CB"/>
    <w:rsid w:val="4A1947CF"/>
    <w:rsid w:val="4FA7B18C"/>
    <w:rsid w:val="580844FA"/>
    <w:rsid w:val="5AB79B20"/>
    <w:rsid w:val="5BD8BE97"/>
    <w:rsid w:val="668C3764"/>
    <w:rsid w:val="6EBB17BF"/>
    <w:rsid w:val="6EBD4F7A"/>
    <w:rsid w:val="6F7BA2E8"/>
    <w:rsid w:val="7097675C"/>
    <w:rsid w:val="72FFF7E3"/>
    <w:rsid w:val="75FEBF89"/>
    <w:rsid w:val="77C242F5"/>
    <w:rsid w:val="77CF17F2"/>
    <w:rsid w:val="79D7D916"/>
    <w:rsid w:val="79FF1F4F"/>
    <w:rsid w:val="7BE03C08"/>
    <w:rsid w:val="7BFE5450"/>
    <w:rsid w:val="7DFEF71F"/>
    <w:rsid w:val="7EB24F25"/>
    <w:rsid w:val="7EBD89ED"/>
    <w:rsid w:val="7EFE2C93"/>
    <w:rsid w:val="7FF735A4"/>
    <w:rsid w:val="7FFC3508"/>
    <w:rsid w:val="877781C7"/>
    <w:rsid w:val="9F8EFFCD"/>
    <w:rsid w:val="9FFEC421"/>
    <w:rsid w:val="A2BBF5BD"/>
    <w:rsid w:val="AFCFF6EB"/>
    <w:rsid w:val="BF672BD7"/>
    <w:rsid w:val="C5FE65E4"/>
    <w:rsid w:val="D25EE221"/>
    <w:rsid w:val="DB472379"/>
    <w:rsid w:val="DBEFCC1D"/>
    <w:rsid w:val="DBFF8020"/>
    <w:rsid w:val="DFEF0ECF"/>
    <w:rsid w:val="EDF725EE"/>
    <w:rsid w:val="EEFAA714"/>
    <w:rsid w:val="EF95DAC5"/>
    <w:rsid w:val="EFEB414A"/>
    <w:rsid w:val="EFF4F7A0"/>
    <w:rsid w:val="F17C3015"/>
    <w:rsid w:val="F3BB7C77"/>
    <w:rsid w:val="F587C6A8"/>
    <w:rsid w:val="FF37A312"/>
    <w:rsid w:val="FFA39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343</Words>
  <Characters>1958</Characters>
  <Lines>16</Lines>
  <Paragraphs>4</Paragraphs>
  <TotalTime>2</TotalTime>
  <ScaleCrop>false</ScaleCrop>
  <LinksUpToDate>false</LinksUpToDate>
  <CharactersWithSpaces>2297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2018-07-21T15:11:00Z</dcterms:created>
  <dc:creator>d</dc:creator>
  <cp:lastModifiedBy>kylin</cp:lastModifiedBy>
  <cp:lastPrinted>2022-11-24T17:26:00Z</cp:lastPrinted>
  <dcterms:modified xsi:type="dcterms:W3CDTF">2023-11-14T10:54:27Z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C02CAA387BF24CCB830FB627543FA26C_13</vt:lpwstr>
  </property>
</Properties>
</file>