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“罗湖区产教融合枢纽型技能人才培训载体”</w:t>
      </w:r>
      <w:r>
        <w:rPr>
          <w:rFonts w:hint="eastAsia" w:ascii="方正小标宋简体" w:hAnsi="方正小标宋简体" w:eastAsia="方正小标宋简体" w:cs="方正小标宋简体"/>
          <w:sz w:val="44"/>
          <w:szCs w:val="44"/>
          <w:lang w:val="en-US" w:eastAsia="zh-CN"/>
        </w:rPr>
        <w:t>报名表</w:t>
      </w:r>
    </w:p>
    <w:p>
      <w:pPr>
        <w:jc w:val="both"/>
        <w:rPr>
          <w:rFonts w:hint="eastAsia" w:ascii="仿宋_GB2312" w:hAnsi="仿宋_GB2312" w:eastAsia="仿宋_GB2312" w:cs="仿宋_GB2312"/>
          <w:sz w:val="32"/>
          <w:szCs w:val="32"/>
          <w:lang w:eastAsia="zh-CN"/>
        </w:rPr>
      </w:pPr>
    </w:p>
    <w:tbl>
      <w:tblPr>
        <w:tblStyle w:val="6"/>
        <w:tblW w:w="8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8"/>
        <w:gridCol w:w="4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578" w:type="dxa"/>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单位名称：</w:t>
            </w:r>
            <w:r>
              <w:rPr>
                <w:rFonts w:hint="eastAsia" w:ascii="仿宋_GB2312" w:hAnsi="仿宋_GB2312" w:eastAsia="仿宋_GB2312" w:cs="仿宋_GB2312"/>
                <w:sz w:val="28"/>
                <w:szCs w:val="28"/>
                <w:vertAlign w:val="baseline"/>
                <w:lang w:val="en-US" w:eastAsia="zh-CN"/>
              </w:rPr>
              <w:t xml:space="preserve">                         </w:t>
            </w:r>
          </w:p>
        </w:tc>
        <w:tc>
          <w:tcPr>
            <w:tcW w:w="4566" w:type="dxa"/>
          </w:tcPr>
          <w:p>
            <w:pPr>
              <w:jc w:val="both"/>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578" w:type="dxa"/>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成立时间：                         </w:t>
            </w:r>
          </w:p>
        </w:tc>
        <w:tc>
          <w:tcPr>
            <w:tcW w:w="4566" w:type="dxa"/>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44" w:type="dxa"/>
            <w:gridSpan w:val="2"/>
          </w:tcPr>
          <w:p>
            <w:pPr>
              <w:jc w:val="both"/>
              <w:rPr>
                <w:rFonts w:hint="eastAsia" w:ascii="仿宋_GB2312" w:hAnsi="仿宋_GB2312" w:cs="仿宋_GB2312" w:eastAsiaTheme="minorEastAsia"/>
                <w:sz w:val="28"/>
                <w:szCs w:val="28"/>
                <w:vertAlign w:val="baseline"/>
                <w:lang w:val="en-US" w:eastAsia="zh-CN"/>
              </w:rPr>
            </w:pPr>
            <w:r>
              <w:rPr>
                <w:rFonts w:hint="eastAsia" w:ascii="仿宋_GB2312" w:hAnsi="仿宋_GB2312" w:eastAsia="仿宋_GB2312" w:cs="仿宋_GB2312"/>
                <w:sz w:val="28"/>
                <w:szCs w:val="28"/>
                <w:vertAlign w:val="baseline"/>
                <w:lang w:eastAsia="zh-CN"/>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578" w:type="dxa"/>
          </w:tcPr>
          <w:p>
            <w:pPr>
              <w:jc w:val="both"/>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法定代表人：</w:t>
            </w:r>
            <w:r>
              <w:rPr>
                <w:rFonts w:hint="eastAsia" w:ascii="仿宋_GB2312" w:hAnsi="仿宋_GB2312" w:eastAsia="仿宋_GB2312" w:cs="仿宋_GB2312"/>
                <w:sz w:val="28"/>
                <w:szCs w:val="28"/>
                <w:vertAlign w:val="baseline"/>
                <w:lang w:val="en-US" w:eastAsia="zh-CN"/>
              </w:rPr>
              <w:t xml:space="preserve">     </w:t>
            </w:r>
          </w:p>
        </w:tc>
        <w:tc>
          <w:tcPr>
            <w:tcW w:w="4566" w:type="dxa"/>
          </w:tcPr>
          <w:p>
            <w:pPr>
              <w:jc w:val="both"/>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 xml:space="preserve">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578" w:type="dxa"/>
          </w:tcPr>
          <w:p>
            <w:pPr>
              <w:jc w:val="both"/>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业务经办人：</w:t>
            </w:r>
            <w:r>
              <w:rPr>
                <w:rFonts w:hint="eastAsia" w:ascii="仿宋_GB2312" w:hAnsi="仿宋_GB2312" w:eastAsia="仿宋_GB2312" w:cs="仿宋_GB2312"/>
                <w:sz w:val="28"/>
                <w:szCs w:val="28"/>
                <w:vertAlign w:val="baseline"/>
                <w:lang w:val="en-US" w:eastAsia="zh-CN"/>
              </w:rPr>
              <w:t xml:space="preserve">       </w:t>
            </w:r>
          </w:p>
        </w:tc>
        <w:tc>
          <w:tcPr>
            <w:tcW w:w="4566" w:type="dxa"/>
          </w:tcPr>
          <w:p>
            <w:pPr>
              <w:jc w:val="both"/>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 xml:space="preserve"> 电话</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trPr>
        <w:tc>
          <w:tcPr>
            <w:tcW w:w="8144" w:type="dxa"/>
            <w:gridSpan w:val="2"/>
          </w:tcPr>
          <w:p>
            <w:pPr>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单位简介及成绩：</w:t>
            </w:r>
          </w:p>
          <w:p>
            <w:pPr>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(1.主要内容；2.工作成效；3.获得的荣誉、奖励</w:t>
            </w:r>
            <w:r>
              <w:rPr>
                <w:rFonts w:hint="default" w:ascii="仿宋_GB2312" w:hAnsi="仿宋_GB2312" w:eastAsia="仿宋_GB2312" w:cs="仿宋_GB2312"/>
                <w:sz w:val="28"/>
                <w:szCs w:val="28"/>
                <w:vertAlign w:val="baseline"/>
                <w:lang w:val="en" w:eastAsia="zh-CN"/>
              </w:rPr>
              <w:t>，600字以内</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8144" w:type="dxa"/>
            <w:gridSpan w:val="2"/>
          </w:tcPr>
          <w:p>
            <w:pPr>
              <w:ind w:firstLine="560" w:firstLineChars="200"/>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以上内容真实准确，若有作假及不端行为，愿负全责。</w:t>
            </w:r>
          </w:p>
          <w:p>
            <w:pPr>
              <w:ind w:firstLine="560" w:firstLineChars="200"/>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特此声明。</w:t>
            </w:r>
          </w:p>
          <w:p>
            <w:pPr>
              <w:ind w:firstLine="560" w:firstLineChars="200"/>
              <w:jc w:val="left"/>
              <w:rPr>
                <w:rFonts w:hint="eastAsia" w:ascii="仿宋_GB2312" w:hAnsi="仿宋_GB2312" w:eastAsia="仿宋_GB2312" w:cs="仿宋_GB2312"/>
                <w:sz w:val="28"/>
                <w:szCs w:val="28"/>
                <w:vertAlign w:val="baseline"/>
                <w:lang w:eastAsia="zh-CN"/>
              </w:rPr>
            </w:pPr>
          </w:p>
          <w:p>
            <w:pPr>
              <w:ind w:firstLine="3360" w:firstLineChars="1200"/>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申请单位：</w:t>
            </w:r>
            <w:r>
              <w:rPr>
                <w:rFonts w:hint="eastAsia" w:ascii="仿宋_GB2312" w:hAnsi="仿宋_GB2312" w:eastAsia="仿宋_GB2312" w:cs="仿宋_GB2312"/>
                <w:sz w:val="28"/>
                <w:szCs w:val="28"/>
                <w:vertAlign w:val="baseline"/>
                <w:lang w:val="en-US" w:eastAsia="zh-CN"/>
              </w:rPr>
              <w:t xml:space="preserve">          年   月  日</w:t>
            </w:r>
          </w:p>
        </w:tc>
      </w:tr>
    </w:tbl>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注：类型涵括“粤菜师傅”“南粤家政”“广东技工”等。</w:t>
      </w:r>
    </w:p>
    <w:p>
      <w:pPr>
        <w:rPr>
          <w:rFonts w:hint="eastAsia" w:ascii="仿宋_GB2312" w:hAnsi="仿宋_GB2312" w:eastAsia="仿宋_GB2312" w:cs="仿宋_GB2312"/>
          <w:sz w:val="28"/>
          <w:szCs w:val="28"/>
          <w:lang w:eastAsia="zh-CN"/>
        </w:rPr>
      </w:pPr>
      <w:bookmarkStart w:id="0" w:name="_GoBack"/>
      <w:bookmarkEnd w:id="0"/>
      <w:r>
        <w:rPr>
          <w:rFonts w:hint="eastAsia" w:ascii="仿宋_GB2312" w:hAnsi="仿宋_GB2312" w:eastAsia="仿宋_GB2312" w:cs="仿宋_GB2312"/>
          <w:sz w:val="28"/>
          <w:szCs w:val="28"/>
          <w:lang w:eastAsia="zh-CN"/>
        </w:rPr>
        <w:br w:type="page"/>
      </w:r>
    </w:p>
    <w:p>
      <w:pPr>
        <w:rPr>
          <w:rFonts w:hint="eastAsia" w:ascii="仿宋_GB2312" w:hAnsi="仿宋_GB2312" w:eastAsia="仿宋_GB2312" w:cs="仿宋_GB2312"/>
          <w:sz w:val="28"/>
          <w:szCs w:val="28"/>
          <w:lang w:eastAsia="zh-CN"/>
        </w:rPr>
      </w:pPr>
    </w:p>
    <w:p>
      <w:pPr>
        <w:jc w:val="left"/>
        <w:rPr>
          <w:rFonts w:hint="eastAsia" w:ascii="仿宋_GB2312" w:hAnsi="仿宋_GB2312" w:eastAsia="仿宋_GB2312" w:cs="仿宋_GB2312"/>
          <w:sz w:val="28"/>
          <w:szCs w:val="28"/>
          <w:lang w:eastAsia="zh-CN"/>
        </w:rPr>
      </w:pPr>
    </w:p>
    <w:p>
      <w:pPr>
        <w:pageBreakBefore w:val="0"/>
        <w:kinsoku/>
        <w:overflowPunct/>
        <w:topLinePunct w:val="0"/>
        <w:autoSpaceDE/>
        <w:autoSpaceDN/>
        <w:bidi w:val="0"/>
        <w:adjustRightInd/>
        <w:snapToGrid/>
        <w:spacing w:line="580" w:lineRule="exact"/>
        <w:jc w:val="center"/>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w:t>
      </w:r>
      <w:r>
        <w:rPr>
          <w:rFonts w:hint="eastAsia" w:ascii="黑体" w:hAnsi="黑体" w:eastAsia="黑体" w:cs="黑体"/>
          <w:b w:val="0"/>
          <w:bCs w:val="0"/>
          <w:color w:val="auto"/>
          <w:sz w:val="32"/>
          <w:szCs w:val="32"/>
          <w:highlight w:val="none"/>
          <w:lang w:eastAsia="zh-CN"/>
        </w:rPr>
        <w:t>罗湖区产教融合枢纽型技能人才培训载体</w:t>
      </w:r>
      <w:r>
        <w:rPr>
          <w:rFonts w:hint="eastAsia" w:ascii="黑体" w:hAnsi="黑体" w:eastAsia="黑体" w:cs="黑体"/>
          <w:b w:val="0"/>
          <w:bCs w:val="0"/>
          <w:color w:val="auto"/>
          <w:sz w:val="32"/>
          <w:szCs w:val="32"/>
          <w:highlight w:val="none"/>
          <w:lang w:val="en-US" w:eastAsia="zh-CN"/>
        </w:rPr>
        <w:t>”</w:t>
      </w:r>
      <w:r>
        <w:rPr>
          <w:rFonts w:hint="eastAsia" w:ascii="黑体" w:hAnsi="黑体" w:eastAsia="黑体" w:cs="黑体"/>
          <w:b w:val="0"/>
          <w:bCs w:val="0"/>
          <w:color w:val="auto"/>
          <w:sz w:val="32"/>
          <w:szCs w:val="32"/>
          <w:highlight w:val="none"/>
          <w:lang w:eastAsia="zh-CN"/>
        </w:rPr>
        <w:t>自评得分表</w:t>
      </w:r>
    </w:p>
    <w:tbl>
      <w:tblPr>
        <w:tblStyle w:val="6"/>
        <w:tblpPr w:leftFromText="180" w:rightFromText="180" w:vertAnchor="text" w:horzAnchor="page" w:tblpX="926" w:tblpY="892"/>
        <w:tblW w:w="101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1"/>
        <w:gridCol w:w="995"/>
        <w:gridCol w:w="1797"/>
        <w:gridCol w:w="680"/>
        <w:gridCol w:w="3445"/>
        <w:gridCol w:w="1712"/>
        <w:gridCol w:w="11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401" w:type="dxa"/>
            <w:vAlign w:val="center"/>
          </w:tcPr>
          <w:p>
            <w:pPr>
              <w:spacing w:line="276" w:lineRule="auto"/>
              <w:jc w:val="center"/>
              <w:rPr>
                <w:rFonts w:hint="eastAsia" w:ascii="楷体" w:hAnsi="楷体" w:eastAsia="楷体" w:cs="楷体"/>
                <w:b/>
                <w:bCs/>
                <w:color w:val="auto"/>
                <w:kern w:val="0"/>
                <w:sz w:val="24"/>
                <w:szCs w:val="24"/>
                <w:highlight w:val="none"/>
              </w:rPr>
            </w:pPr>
            <w:r>
              <w:rPr>
                <w:rFonts w:hint="eastAsia" w:ascii="楷体" w:hAnsi="楷体" w:eastAsia="楷体" w:cs="楷体"/>
                <w:b/>
                <w:bCs/>
                <w:kern w:val="0"/>
                <w:sz w:val="24"/>
                <w:highlight w:val="none"/>
              </w:rPr>
              <w:t>序号</w:t>
            </w:r>
          </w:p>
        </w:tc>
        <w:tc>
          <w:tcPr>
            <w:tcW w:w="995" w:type="dxa"/>
            <w:vAlign w:val="center"/>
          </w:tcPr>
          <w:p>
            <w:pPr>
              <w:spacing w:line="276" w:lineRule="auto"/>
              <w:jc w:val="center"/>
              <w:rPr>
                <w:rFonts w:hint="eastAsia" w:ascii="楷体" w:hAnsi="楷体" w:eastAsia="楷体" w:cs="楷体"/>
                <w:b/>
                <w:bCs/>
                <w:color w:val="auto"/>
                <w:kern w:val="0"/>
                <w:sz w:val="24"/>
                <w:szCs w:val="24"/>
                <w:highlight w:val="none"/>
              </w:rPr>
            </w:pPr>
            <w:r>
              <w:rPr>
                <w:rFonts w:hint="eastAsia" w:ascii="楷体" w:hAnsi="楷体" w:eastAsia="楷体" w:cs="楷体"/>
                <w:b/>
                <w:bCs/>
                <w:kern w:val="0"/>
                <w:sz w:val="24"/>
                <w:highlight w:val="none"/>
              </w:rPr>
              <w:t>指标</w:t>
            </w:r>
          </w:p>
        </w:tc>
        <w:tc>
          <w:tcPr>
            <w:tcW w:w="1797" w:type="dxa"/>
            <w:vAlign w:val="center"/>
          </w:tcPr>
          <w:p>
            <w:pPr>
              <w:spacing w:line="276" w:lineRule="auto"/>
              <w:jc w:val="center"/>
              <w:rPr>
                <w:rFonts w:hint="eastAsia" w:ascii="楷体" w:hAnsi="楷体" w:eastAsia="楷体" w:cs="楷体"/>
                <w:b/>
                <w:bCs/>
                <w:color w:val="auto"/>
                <w:kern w:val="0"/>
                <w:sz w:val="24"/>
                <w:szCs w:val="24"/>
                <w:highlight w:val="none"/>
              </w:rPr>
            </w:pPr>
            <w:r>
              <w:rPr>
                <w:rFonts w:hint="eastAsia" w:ascii="楷体" w:hAnsi="楷体" w:eastAsia="楷体" w:cs="楷体"/>
                <w:b/>
                <w:bCs/>
                <w:kern w:val="0"/>
                <w:sz w:val="24"/>
                <w:highlight w:val="none"/>
              </w:rPr>
              <w:t>评价标准</w:t>
            </w:r>
          </w:p>
        </w:tc>
        <w:tc>
          <w:tcPr>
            <w:tcW w:w="680" w:type="dxa"/>
            <w:vAlign w:val="center"/>
          </w:tcPr>
          <w:p>
            <w:pPr>
              <w:spacing w:line="276" w:lineRule="auto"/>
              <w:jc w:val="center"/>
              <w:rPr>
                <w:rFonts w:hint="eastAsia" w:ascii="楷体" w:hAnsi="楷体" w:eastAsia="楷体" w:cs="楷体"/>
                <w:b/>
                <w:bCs/>
                <w:color w:val="auto"/>
                <w:kern w:val="0"/>
                <w:sz w:val="24"/>
                <w:szCs w:val="24"/>
                <w:highlight w:val="none"/>
              </w:rPr>
            </w:pPr>
            <w:r>
              <w:rPr>
                <w:rFonts w:hint="eastAsia" w:ascii="楷体" w:hAnsi="楷体" w:eastAsia="楷体" w:cs="楷体"/>
                <w:b/>
                <w:bCs/>
                <w:kern w:val="0"/>
                <w:sz w:val="24"/>
                <w:highlight w:val="none"/>
              </w:rPr>
              <w:t>分值</w:t>
            </w:r>
          </w:p>
        </w:tc>
        <w:tc>
          <w:tcPr>
            <w:tcW w:w="3445" w:type="dxa"/>
            <w:vAlign w:val="center"/>
          </w:tcPr>
          <w:p>
            <w:pPr>
              <w:spacing w:line="276" w:lineRule="auto"/>
              <w:jc w:val="center"/>
              <w:rPr>
                <w:rFonts w:hint="eastAsia" w:ascii="楷体" w:hAnsi="楷体" w:eastAsia="楷体" w:cs="楷体"/>
                <w:b/>
                <w:bCs/>
                <w:color w:val="auto"/>
                <w:kern w:val="0"/>
                <w:sz w:val="24"/>
                <w:szCs w:val="24"/>
                <w:highlight w:val="none"/>
              </w:rPr>
            </w:pPr>
            <w:r>
              <w:rPr>
                <w:rFonts w:hint="eastAsia" w:ascii="楷体" w:hAnsi="楷体" w:eastAsia="楷体" w:cs="楷体"/>
                <w:b/>
                <w:bCs/>
                <w:kern w:val="0"/>
                <w:sz w:val="24"/>
                <w:highlight w:val="none"/>
              </w:rPr>
              <w:t>评分细则</w:t>
            </w:r>
          </w:p>
        </w:tc>
        <w:tc>
          <w:tcPr>
            <w:tcW w:w="1712" w:type="dxa"/>
            <w:tcBorders>
              <w:right w:val="single" w:color="auto" w:sz="4" w:space="0"/>
            </w:tcBorders>
            <w:vAlign w:val="center"/>
          </w:tcPr>
          <w:p>
            <w:pPr>
              <w:spacing w:line="276" w:lineRule="auto"/>
              <w:jc w:val="center"/>
              <w:rPr>
                <w:rFonts w:hint="eastAsia" w:ascii="楷体" w:hAnsi="楷体" w:eastAsia="楷体" w:cs="楷体"/>
                <w:b/>
                <w:bCs/>
                <w:color w:val="auto"/>
                <w:kern w:val="0"/>
                <w:sz w:val="24"/>
                <w:szCs w:val="24"/>
                <w:highlight w:val="none"/>
              </w:rPr>
            </w:pPr>
            <w:r>
              <w:rPr>
                <w:rFonts w:hint="eastAsia" w:ascii="楷体" w:hAnsi="楷体" w:eastAsia="楷体" w:cs="楷体"/>
                <w:b/>
                <w:bCs/>
                <w:kern w:val="0"/>
                <w:sz w:val="24"/>
                <w:highlight w:val="none"/>
              </w:rPr>
              <w:t>备注</w:t>
            </w:r>
          </w:p>
        </w:tc>
        <w:tc>
          <w:tcPr>
            <w:tcW w:w="1141" w:type="dxa"/>
            <w:tcBorders>
              <w:left w:val="single" w:color="auto" w:sz="4" w:space="0"/>
            </w:tcBorders>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lang w:eastAsia="zh-CN"/>
              </w:rPr>
              <w:t>自我评价得分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401" w:type="dxa"/>
            <w:vAlign w:val="center"/>
          </w:tcPr>
          <w:p>
            <w:pPr>
              <w:spacing w:line="276" w:lineRule="auto"/>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kern w:val="0"/>
                <w:sz w:val="24"/>
                <w:highlight w:val="none"/>
              </w:rPr>
              <w:t>1</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诚信</w:t>
            </w:r>
          </w:p>
          <w:p>
            <w:pPr>
              <w:spacing w:line="276" w:lineRule="auto"/>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kern w:val="0"/>
                <w:sz w:val="24"/>
                <w:highlight w:val="none"/>
              </w:rPr>
              <w:t>办学</w:t>
            </w:r>
          </w:p>
        </w:tc>
        <w:tc>
          <w:tcPr>
            <w:tcW w:w="1797" w:type="dxa"/>
            <w:vAlign w:val="center"/>
          </w:tcPr>
          <w:p>
            <w:pPr>
              <w:spacing w:line="300" w:lineRule="exact"/>
              <w:rPr>
                <w:rFonts w:hint="eastAsia"/>
                <w:highlight w:val="none"/>
                <w:lang w:val="en-US" w:eastAsia="zh-CN"/>
              </w:rPr>
            </w:pPr>
            <w:r>
              <w:rPr>
                <w:rFonts w:hint="eastAsia" w:ascii="华文仿宋" w:hAnsi="华文仿宋" w:eastAsia="华文仿宋" w:cs="华文仿宋"/>
                <w:sz w:val="18"/>
                <w:szCs w:val="18"/>
                <w:highlight w:val="none"/>
              </w:rPr>
              <w:t>诚信办学；遵纪守法；无安全事故；无违纪违法，相关退费纠纷已妥善解决。</w:t>
            </w:r>
          </w:p>
        </w:tc>
        <w:tc>
          <w:tcPr>
            <w:tcW w:w="680" w:type="dxa"/>
            <w:vAlign w:val="center"/>
          </w:tcPr>
          <w:p>
            <w:pPr>
              <w:spacing w:line="300" w:lineRule="exact"/>
              <w:jc w:val="center"/>
              <w:rPr>
                <w:rFonts w:hint="eastAsia" w:ascii="楷体" w:hAnsi="楷体" w:eastAsia="楷体" w:cs="楷体"/>
                <w:b/>
                <w:bCs/>
                <w:color w:val="auto"/>
                <w:kern w:val="0"/>
                <w:sz w:val="24"/>
                <w:highlight w:val="none"/>
              </w:rPr>
            </w:pPr>
          </w:p>
        </w:tc>
        <w:tc>
          <w:tcPr>
            <w:tcW w:w="3445" w:type="dxa"/>
            <w:vAlign w:val="center"/>
          </w:tcPr>
          <w:p>
            <w:pPr>
              <w:spacing w:line="300" w:lineRule="exact"/>
              <w:rPr>
                <w:rFonts w:hint="default" w:ascii="楷体" w:hAnsi="楷体" w:eastAsia="楷体" w:cs="楷体"/>
                <w:b/>
                <w:bCs/>
                <w:color w:val="auto"/>
                <w:kern w:val="0"/>
                <w:sz w:val="24"/>
                <w:highlight w:val="none"/>
                <w:lang w:val="en"/>
              </w:rPr>
            </w:pPr>
            <w:r>
              <w:rPr>
                <w:rFonts w:hint="eastAsia" w:ascii="华文仿宋" w:hAnsi="华文仿宋" w:eastAsia="华文仿宋" w:cs="华文仿宋"/>
                <w:kern w:val="0"/>
                <w:sz w:val="18"/>
                <w:szCs w:val="18"/>
                <w:highlight w:val="none"/>
              </w:rPr>
              <w:t>一票否决。</w:t>
            </w:r>
          </w:p>
        </w:tc>
        <w:tc>
          <w:tcPr>
            <w:tcW w:w="1712" w:type="dxa"/>
            <w:tcBorders>
              <w:right w:val="single" w:color="auto" w:sz="4" w:space="0"/>
            </w:tcBorders>
            <w:vAlign w:val="center"/>
          </w:tcPr>
          <w:p>
            <w:pPr>
              <w:spacing w:line="300" w:lineRule="exact"/>
              <w:jc w:val="center"/>
              <w:rPr>
                <w:rFonts w:hint="eastAsia" w:ascii="楷体" w:hAnsi="楷体" w:eastAsia="楷体" w:cs="楷体"/>
                <w:b/>
                <w:bCs/>
                <w:color w:val="auto"/>
                <w:kern w:val="0"/>
                <w:sz w:val="24"/>
                <w:highlight w:val="none"/>
              </w:rPr>
            </w:pPr>
          </w:p>
        </w:tc>
        <w:tc>
          <w:tcPr>
            <w:tcW w:w="1141" w:type="dxa"/>
            <w:tcBorders>
              <w:left w:val="single" w:color="auto" w:sz="4" w:space="0"/>
            </w:tcBorders>
            <w:vAlign w:val="center"/>
          </w:tcPr>
          <w:p>
            <w:pPr>
              <w:spacing w:line="300" w:lineRule="exact"/>
              <w:rPr>
                <w:rFonts w:hint="eastAsia" w:ascii="华文仿宋" w:hAnsi="华文仿宋" w:eastAsia="华文仿宋" w:cs="华文仿宋"/>
                <w:color w:val="auto"/>
                <w:sz w:val="18"/>
                <w:szCs w:val="18"/>
                <w:highlight w:val="yellow"/>
                <w:lang w:val="en-US" w:eastAsia="zh-CN"/>
              </w:rPr>
            </w:pPr>
            <w:r>
              <w:rPr>
                <w:rFonts w:hint="eastAsia" w:ascii="华文仿宋" w:hAnsi="华文仿宋" w:eastAsia="华文仿宋" w:cs="华文仿宋"/>
                <w:color w:val="auto"/>
                <w:sz w:val="18"/>
                <w:szCs w:val="18"/>
                <w:highlight w:val="yellow"/>
                <w:lang w:val="en" w:eastAsia="zh-CN"/>
              </w:rPr>
              <w:t>例：符合条件，见附件</w:t>
            </w:r>
            <w:r>
              <w:rPr>
                <w:rFonts w:hint="eastAsia" w:ascii="华文仿宋" w:hAnsi="华文仿宋" w:eastAsia="华文仿宋" w:cs="华文仿宋"/>
                <w:color w:val="auto"/>
                <w:sz w:val="18"/>
                <w:szCs w:val="18"/>
                <w:highlight w:val="yellow"/>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0" w:hRule="atLeast"/>
        </w:trPr>
        <w:tc>
          <w:tcPr>
            <w:tcW w:w="401" w:type="dxa"/>
            <w:vAlign w:val="center"/>
          </w:tcPr>
          <w:p>
            <w:pPr>
              <w:spacing w:line="276" w:lineRule="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kern w:val="0"/>
                <w:sz w:val="24"/>
                <w:highlight w:val="none"/>
              </w:rPr>
              <w:t>2</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办学</w:t>
            </w:r>
          </w:p>
          <w:p>
            <w:pPr>
              <w:spacing w:line="276" w:lineRule="auto"/>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kern w:val="0"/>
                <w:sz w:val="24"/>
                <w:highlight w:val="none"/>
              </w:rPr>
              <w:t>条件</w:t>
            </w:r>
          </w:p>
        </w:tc>
        <w:tc>
          <w:tcPr>
            <w:tcW w:w="1797" w:type="dxa"/>
            <w:vAlign w:val="center"/>
          </w:tcPr>
          <w:p>
            <w:pPr>
              <w:spacing w:line="300" w:lineRule="exact"/>
              <w:rPr>
                <w:rFonts w:hint="eastAsia" w:ascii="宋体" w:hAnsi="宋体" w:eastAsia="宋体" w:cs="宋体"/>
                <w:bCs/>
                <w:color w:val="auto"/>
                <w:kern w:val="0"/>
                <w:sz w:val="24"/>
                <w:szCs w:val="24"/>
                <w:highlight w:val="none"/>
                <w:lang w:val="en-US" w:eastAsia="zh-CN"/>
              </w:rPr>
            </w:pPr>
            <w:r>
              <w:rPr>
                <w:rFonts w:hint="eastAsia" w:ascii="华文仿宋" w:hAnsi="华文仿宋" w:eastAsia="华文仿宋" w:cs="华文仿宋"/>
                <w:sz w:val="18"/>
                <w:szCs w:val="18"/>
                <w:highlight w:val="none"/>
              </w:rPr>
              <w:t>有独立的办公和教学场地，能够开展较大规模技能培训。</w:t>
            </w:r>
          </w:p>
        </w:tc>
        <w:tc>
          <w:tcPr>
            <w:tcW w:w="680" w:type="dxa"/>
            <w:vAlign w:val="center"/>
          </w:tcPr>
          <w:p>
            <w:pPr>
              <w:spacing w:line="300" w:lineRule="exact"/>
              <w:jc w:val="center"/>
              <w:rPr>
                <w:rFonts w:hint="eastAsia" w:ascii="宋体" w:hAnsi="宋体" w:eastAsia="宋体" w:cs="宋体"/>
                <w:bCs/>
                <w:color w:val="auto"/>
                <w:kern w:val="0"/>
                <w:sz w:val="24"/>
                <w:szCs w:val="24"/>
                <w:highlight w:val="none"/>
              </w:rPr>
            </w:pPr>
            <w:r>
              <w:rPr>
                <w:rFonts w:hint="eastAsia" w:ascii="华文仿宋" w:hAnsi="华文仿宋" w:eastAsia="华文仿宋" w:cs="华文仿宋"/>
                <w:kern w:val="0"/>
                <w:sz w:val="18"/>
                <w:szCs w:val="18"/>
                <w:highlight w:val="none"/>
              </w:rPr>
              <w:t>10</w:t>
            </w:r>
          </w:p>
        </w:tc>
        <w:tc>
          <w:tcPr>
            <w:tcW w:w="3445"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1.具备与培训规模相适应的办公和教学场地，自有或租用建筑面积不少于200㎡，教室建筑面积134㎡以上，（培训类型为纯互联网培训不检查现场教室。）记5分；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2.实训场地、设备满足专业训练要求，记5分；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3.设备完好率达标90%且主要设备具有先进性，记5分；</w:t>
            </w:r>
          </w:p>
          <w:p>
            <w:pPr>
              <w:spacing w:line="300" w:lineRule="exact"/>
              <w:rPr>
                <w:rFonts w:hint="eastAsia"/>
                <w:highlight w:val="none"/>
                <w:lang w:val="en-US" w:eastAsia="zh-CN"/>
              </w:rPr>
            </w:pPr>
            <w:r>
              <w:rPr>
                <w:rFonts w:hint="eastAsia" w:ascii="华文仿宋" w:hAnsi="华文仿宋" w:eastAsia="华文仿宋" w:cs="华文仿宋"/>
                <w:kern w:val="0"/>
                <w:sz w:val="18"/>
                <w:szCs w:val="18"/>
                <w:highlight w:val="none"/>
              </w:rPr>
              <w:t>4.有企业实训基地，视情况得1--5分。</w:t>
            </w:r>
          </w:p>
        </w:tc>
        <w:tc>
          <w:tcPr>
            <w:tcW w:w="1712" w:type="dxa"/>
            <w:tcBorders>
              <w:right w:val="single" w:color="auto" w:sz="4" w:space="0"/>
            </w:tcBorders>
            <w:vAlign w:val="center"/>
          </w:tcPr>
          <w:p>
            <w:pPr>
              <w:spacing w:line="300" w:lineRule="exact"/>
              <w:rPr>
                <w:rFonts w:hint="eastAsia" w:ascii="宋体" w:hAnsi="宋体" w:eastAsia="宋体" w:cs="宋体"/>
                <w:color w:val="auto"/>
                <w:kern w:val="0"/>
                <w:sz w:val="24"/>
                <w:szCs w:val="24"/>
                <w:highlight w:val="none"/>
                <w:lang w:eastAsia="zh-CN"/>
              </w:rPr>
            </w:pPr>
            <w:r>
              <w:rPr>
                <w:rFonts w:hint="eastAsia" w:ascii="华文仿宋" w:hAnsi="华文仿宋" w:eastAsia="华文仿宋" w:cs="华文仿宋"/>
                <w:sz w:val="18"/>
                <w:szCs w:val="18"/>
                <w:highlight w:val="none"/>
              </w:rPr>
              <w:t>不同项目可叠加，总分不得超过10分</w:t>
            </w:r>
          </w:p>
        </w:tc>
        <w:tc>
          <w:tcPr>
            <w:tcW w:w="1141" w:type="dxa"/>
            <w:tcBorders>
              <w:left w:val="single" w:color="auto" w:sz="4" w:space="0"/>
            </w:tcBorders>
            <w:vAlign w:val="center"/>
          </w:tcPr>
          <w:p>
            <w:pPr>
              <w:spacing w:line="300" w:lineRule="exact"/>
              <w:rPr>
                <w:rFonts w:hint="eastAsia" w:ascii="华文仿宋" w:hAnsi="华文仿宋" w:eastAsia="华文仿宋" w:cs="华文仿宋"/>
                <w:color w:val="auto"/>
                <w:sz w:val="18"/>
                <w:szCs w:val="18"/>
                <w:highlight w:val="yellow"/>
                <w:lang w:val="en-US" w:eastAsia="zh-CN"/>
              </w:rPr>
            </w:pPr>
            <w:r>
              <w:rPr>
                <w:rFonts w:hint="eastAsia" w:ascii="华文仿宋" w:hAnsi="华文仿宋" w:eastAsia="华文仿宋" w:cs="华文仿宋"/>
                <w:color w:val="auto"/>
                <w:sz w:val="18"/>
                <w:szCs w:val="18"/>
                <w:highlight w:val="yellow"/>
                <w:lang w:val="en" w:eastAsia="zh-CN"/>
              </w:rPr>
              <w:t>例：得</w:t>
            </w:r>
            <w:r>
              <w:rPr>
                <w:rFonts w:hint="eastAsia" w:ascii="华文仿宋" w:hAnsi="华文仿宋" w:eastAsia="华文仿宋" w:cs="华文仿宋"/>
                <w:color w:val="auto"/>
                <w:sz w:val="18"/>
                <w:szCs w:val="18"/>
                <w:highlight w:val="yellow"/>
                <w:lang w:val="en-US" w:eastAsia="zh-CN"/>
              </w:rPr>
              <w:t>5分，见附件2。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 w:hRule="atLeast"/>
        </w:trPr>
        <w:tc>
          <w:tcPr>
            <w:tcW w:w="401" w:type="dxa"/>
            <w:vAlign w:val="center"/>
          </w:tcPr>
          <w:p>
            <w:pPr>
              <w:spacing w:line="276" w:lineRule="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kern w:val="0"/>
                <w:sz w:val="24"/>
                <w:highlight w:val="none"/>
              </w:rPr>
              <w:t>3</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师资</w:t>
            </w:r>
          </w:p>
          <w:p>
            <w:pPr>
              <w:spacing w:line="276" w:lineRule="auto"/>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kern w:val="0"/>
                <w:sz w:val="24"/>
                <w:highlight w:val="none"/>
              </w:rPr>
              <w:t>力量</w:t>
            </w:r>
          </w:p>
        </w:tc>
        <w:tc>
          <w:tcPr>
            <w:tcW w:w="1797" w:type="dxa"/>
            <w:vAlign w:val="center"/>
          </w:tcPr>
          <w:p>
            <w:pPr>
              <w:spacing w:line="300" w:lineRule="exact"/>
              <w:rPr>
                <w:rFonts w:hint="eastAsia" w:ascii="宋体" w:hAnsi="宋体" w:eastAsia="宋体" w:cs="宋体"/>
                <w:bCs/>
                <w:color w:val="auto"/>
                <w:kern w:val="0"/>
                <w:sz w:val="24"/>
                <w:szCs w:val="24"/>
                <w:highlight w:val="none"/>
                <w:lang w:eastAsia="zh-CN"/>
              </w:rPr>
            </w:pPr>
            <w:r>
              <w:rPr>
                <w:rFonts w:hint="eastAsia" w:ascii="华文仿宋" w:hAnsi="华文仿宋" w:eastAsia="华文仿宋" w:cs="华文仿宋"/>
                <w:kern w:val="0"/>
                <w:sz w:val="18"/>
                <w:szCs w:val="18"/>
                <w:highlight w:val="none"/>
              </w:rPr>
              <w:t>管理人员（培训主要负责人）资质符合培训要求；配备专业师资队伍，具备相应的学历及资格证书，保证培训质量。</w:t>
            </w:r>
          </w:p>
        </w:tc>
        <w:tc>
          <w:tcPr>
            <w:tcW w:w="680" w:type="dxa"/>
            <w:vAlign w:val="center"/>
          </w:tcPr>
          <w:p>
            <w:pPr>
              <w:spacing w:line="300" w:lineRule="exact"/>
              <w:jc w:val="center"/>
              <w:rPr>
                <w:rFonts w:hint="eastAsia" w:ascii="宋体" w:hAnsi="宋体" w:eastAsia="宋体" w:cs="宋体"/>
                <w:bCs/>
                <w:color w:val="auto"/>
                <w:kern w:val="0"/>
                <w:sz w:val="24"/>
                <w:szCs w:val="24"/>
                <w:highlight w:val="none"/>
                <w:lang w:val="en-US" w:eastAsia="zh-CN"/>
              </w:rPr>
            </w:pPr>
            <w:r>
              <w:rPr>
                <w:rFonts w:hint="eastAsia" w:ascii="华文仿宋" w:hAnsi="华文仿宋" w:eastAsia="华文仿宋" w:cs="华文仿宋"/>
                <w:bCs/>
                <w:kern w:val="0"/>
                <w:sz w:val="18"/>
                <w:szCs w:val="18"/>
                <w:highlight w:val="none"/>
              </w:rPr>
              <w:t>10</w:t>
            </w:r>
          </w:p>
        </w:tc>
        <w:tc>
          <w:tcPr>
            <w:tcW w:w="3445"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1.培训主任具有本科以上学历、中级以上专业技术职称（或三级以上职业资格）、5年以上职业教育培训工作经历，记4分；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2.教学主任具有大专以上学历、中级以上专业技术职称（或三级以上职业资格）、教师资格证书、2年以上职业教育培训工作经历，记4分；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3.每个培训专业至少配备一名专门的教师；并配有就业指导服务人员，记3分；</w:t>
            </w:r>
          </w:p>
          <w:p>
            <w:pPr>
              <w:spacing w:line="300" w:lineRule="exact"/>
              <w:rPr>
                <w:rFonts w:hint="eastAsia" w:ascii="宋体" w:hAnsi="宋体" w:eastAsia="宋体" w:cs="宋体"/>
                <w:bCs/>
                <w:color w:val="auto"/>
                <w:kern w:val="0"/>
                <w:sz w:val="24"/>
                <w:szCs w:val="24"/>
                <w:highlight w:val="none"/>
              </w:rPr>
            </w:pPr>
            <w:r>
              <w:rPr>
                <w:rFonts w:hint="eastAsia" w:ascii="华文仿宋" w:hAnsi="华文仿宋" w:eastAsia="华文仿宋" w:cs="华文仿宋"/>
                <w:kern w:val="0"/>
                <w:sz w:val="18"/>
                <w:szCs w:val="18"/>
                <w:highlight w:val="none"/>
              </w:rPr>
              <w:t>4.教师资质符合要求（持有资格证书等证明）。理论教师具有大专以上学历；生产实习指导教师具有培养目标高一级的职业资格证书，记4分。</w:t>
            </w:r>
          </w:p>
        </w:tc>
        <w:tc>
          <w:tcPr>
            <w:tcW w:w="1712" w:type="dxa"/>
            <w:tcBorders>
              <w:right w:val="single" w:color="auto" w:sz="4" w:space="0"/>
            </w:tcBorders>
            <w:vAlign w:val="center"/>
          </w:tcPr>
          <w:p>
            <w:pPr>
              <w:spacing w:line="300" w:lineRule="exact"/>
              <w:rPr>
                <w:rFonts w:hint="eastAsia" w:ascii="宋体" w:hAnsi="宋体" w:eastAsia="宋体" w:cs="宋体"/>
                <w:color w:val="auto"/>
                <w:kern w:val="0"/>
                <w:sz w:val="24"/>
                <w:szCs w:val="24"/>
                <w:highlight w:val="none"/>
                <w:lang w:eastAsia="zh-CN"/>
              </w:rPr>
            </w:pPr>
            <w:r>
              <w:rPr>
                <w:rFonts w:hint="eastAsia" w:ascii="华文仿宋" w:hAnsi="华文仿宋" w:eastAsia="华文仿宋" w:cs="华文仿宋"/>
                <w:sz w:val="18"/>
                <w:szCs w:val="18"/>
                <w:highlight w:val="none"/>
              </w:rPr>
              <w:t>其中</w:t>
            </w:r>
            <w:r>
              <w:rPr>
                <w:rFonts w:hint="eastAsia" w:ascii="华文仿宋" w:hAnsi="华文仿宋" w:eastAsia="华文仿宋" w:cs="华文仿宋"/>
                <w:kern w:val="0"/>
                <w:sz w:val="18"/>
                <w:szCs w:val="18"/>
                <w:highlight w:val="none"/>
              </w:rPr>
              <w:t>管理人员</w:t>
            </w:r>
            <w:r>
              <w:rPr>
                <w:rFonts w:hint="eastAsia" w:ascii="华文仿宋" w:hAnsi="华文仿宋" w:eastAsia="华文仿宋" w:cs="华文仿宋"/>
                <w:sz w:val="18"/>
                <w:szCs w:val="18"/>
                <w:highlight w:val="none"/>
              </w:rPr>
              <w:t>职务名称以申请单位实际命名为准；不同项目可叠加，总分不得超过10分。</w:t>
            </w:r>
          </w:p>
        </w:tc>
        <w:tc>
          <w:tcPr>
            <w:tcW w:w="1141"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auto"/>
                <w:sz w:val="21"/>
                <w:szCs w:val="21"/>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401" w:type="dxa"/>
            <w:vAlign w:val="center"/>
          </w:tcPr>
          <w:p>
            <w:pPr>
              <w:spacing w:line="276" w:lineRule="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kern w:val="0"/>
                <w:sz w:val="24"/>
                <w:highlight w:val="none"/>
              </w:rPr>
              <w:t>4</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教学</w:t>
            </w:r>
          </w:p>
          <w:p>
            <w:pPr>
              <w:spacing w:line="276" w:lineRule="auto"/>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kern w:val="0"/>
                <w:sz w:val="24"/>
                <w:highlight w:val="none"/>
              </w:rPr>
              <w:t>管理</w:t>
            </w:r>
          </w:p>
        </w:tc>
        <w:tc>
          <w:tcPr>
            <w:tcW w:w="1797" w:type="dxa"/>
            <w:vAlign w:val="center"/>
          </w:tcPr>
          <w:p>
            <w:pPr>
              <w:spacing w:line="300" w:lineRule="exact"/>
              <w:jc w:val="left"/>
              <w:rPr>
                <w:rFonts w:hint="eastAsia" w:ascii="宋体" w:hAnsi="宋体" w:eastAsia="宋体" w:cs="宋体"/>
                <w:color w:val="auto"/>
                <w:kern w:val="0"/>
                <w:sz w:val="21"/>
                <w:szCs w:val="21"/>
                <w:highlight w:val="none"/>
                <w:lang w:eastAsia="zh-CN"/>
              </w:rPr>
            </w:pPr>
            <w:r>
              <w:rPr>
                <w:rFonts w:hint="eastAsia" w:ascii="华文仿宋" w:hAnsi="华文仿宋" w:eastAsia="华文仿宋" w:cs="华文仿宋"/>
                <w:sz w:val="18"/>
                <w:szCs w:val="18"/>
                <w:highlight w:val="none"/>
              </w:rPr>
              <w:t>教学管理规章制度健全，培训计划、大纲、教材配套齐全、编写规范；严格执行培训计划和考核制度，定期开展教学质量检查。</w:t>
            </w:r>
          </w:p>
        </w:tc>
        <w:tc>
          <w:tcPr>
            <w:tcW w:w="680" w:type="dxa"/>
            <w:vAlign w:val="center"/>
          </w:tcPr>
          <w:p>
            <w:pPr>
              <w:spacing w:line="300" w:lineRule="exact"/>
              <w:jc w:val="center"/>
              <w:rPr>
                <w:rFonts w:hint="eastAsia" w:ascii="宋体" w:hAnsi="宋体" w:eastAsia="宋体" w:cs="宋体"/>
                <w:color w:val="auto"/>
                <w:kern w:val="0"/>
                <w:sz w:val="21"/>
                <w:szCs w:val="21"/>
                <w:highlight w:val="none"/>
              </w:rPr>
            </w:pPr>
            <w:r>
              <w:rPr>
                <w:rFonts w:hint="eastAsia" w:ascii="华文仿宋" w:hAnsi="华文仿宋" w:eastAsia="华文仿宋" w:cs="华文仿宋"/>
                <w:kern w:val="0"/>
                <w:sz w:val="18"/>
                <w:szCs w:val="18"/>
                <w:highlight w:val="none"/>
              </w:rPr>
              <w:t>10</w:t>
            </w:r>
          </w:p>
        </w:tc>
        <w:tc>
          <w:tcPr>
            <w:tcW w:w="3445"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1.规章制度健全（主要指教师管理、学员管理、教学管理、教学设备、安全卫生、应急处理等6类），记5分；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2.培训计划、大纲、教材配套齐全、编写规范；教案齐全，且编写规范有教学督导机构，并开展工作；每年至少进行2次教学质量检查，记5分；</w:t>
            </w:r>
          </w:p>
          <w:p>
            <w:pPr>
              <w:spacing w:line="300" w:lineRule="exact"/>
              <w:rPr>
                <w:rFonts w:hint="eastAsia" w:ascii="宋体" w:hAnsi="宋体" w:eastAsia="宋体" w:cs="宋体"/>
                <w:color w:val="auto"/>
                <w:kern w:val="0"/>
                <w:sz w:val="21"/>
                <w:szCs w:val="21"/>
                <w:highlight w:val="none"/>
                <w:lang w:val="en-US" w:eastAsia="zh-CN"/>
              </w:rPr>
            </w:pPr>
            <w:r>
              <w:rPr>
                <w:rFonts w:hint="eastAsia" w:ascii="华文仿宋" w:hAnsi="华文仿宋" w:eastAsia="华文仿宋" w:cs="华文仿宋"/>
                <w:kern w:val="0"/>
                <w:sz w:val="18"/>
                <w:szCs w:val="18"/>
                <w:highlight w:val="none"/>
              </w:rPr>
              <w:t>3.严格执行培训计划和考核制度，考核成绩记录完整；上课记录完整：签到表、教学评估表等，记5分。</w:t>
            </w:r>
          </w:p>
        </w:tc>
        <w:tc>
          <w:tcPr>
            <w:tcW w:w="1712" w:type="dxa"/>
            <w:tcBorders>
              <w:right w:val="single" w:color="auto" w:sz="4" w:space="0"/>
            </w:tcBorders>
            <w:vAlign w:val="center"/>
          </w:tcPr>
          <w:p>
            <w:pPr>
              <w:spacing w:line="300" w:lineRule="exact"/>
              <w:rPr>
                <w:rFonts w:hint="eastAsia" w:ascii="宋体" w:hAnsi="宋体" w:eastAsia="宋体" w:cs="宋体"/>
                <w:color w:val="auto"/>
                <w:kern w:val="0"/>
                <w:sz w:val="24"/>
                <w:szCs w:val="24"/>
                <w:highlight w:val="none"/>
                <w:lang w:val="en-US" w:eastAsia="zh-CN"/>
              </w:rPr>
            </w:pPr>
            <w:r>
              <w:rPr>
                <w:rFonts w:hint="eastAsia" w:ascii="华文仿宋" w:hAnsi="华文仿宋" w:eastAsia="华文仿宋" w:cs="华文仿宋"/>
                <w:sz w:val="18"/>
                <w:szCs w:val="18"/>
                <w:highlight w:val="none"/>
              </w:rPr>
              <w:t>不同项目可叠加，总分不得超过10分。</w:t>
            </w:r>
          </w:p>
        </w:tc>
        <w:tc>
          <w:tcPr>
            <w:tcW w:w="1141"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auto"/>
                <w:sz w:val="21"/>
                <w:szCs w:val="21"/>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trPr>
        <w:tc>
          <w:tcPr>
            <w:tcW w:w="401" w:type="dxa"/>
            <w:vAlign w:val="center"/>
          </w:tcPr>
          <w:p>
            <w:pPr>
              <w:spacing w:line="276" w:lineRule="auto"/>
              <w:rPr>
                <w:rFonts w:hint="default" w:ascii="宋体" w:hAnsi="宋体" w:eastAsia="宋体" w:cs="宋体"/>
                <w:b/>
                <w:bCs w:val="0"/>
                <w:color w:val="auto"/>
                <w:kern w:val="0"/>
                <w:sz w:val="24"/>
                <w:szCs w:val="24"/>
                <w:highlight w:val="none"/>
                <w:lang w:val="en-US" w:eastAsia="zh-CN"/>
              </w:rPr>
            </w:pPr>
            <w:r>
              <w:rPr>
                <w:rFonts w:hint="eastAsia" w:ascii="宋体" w:hAnsi="宋体" w:eastAsia="宋体" w:cs="宋体"/>
                <w:b/>
                <w:kern w:val="0"/>
                <w:sz w:val="24"/>
                <w:highlight w:val="none"/>
              </w:rPr>
              <w:t>5</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培训</w:t>
            </w:r>
          </w:p>
          <w:p>
            <w:pPr>
              <w:spacing w:line="276" w:lineRule="auto"/>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kern w:val="0"/>
                <w:sz w:val="24"/>
                <w:highlight w:val="none"/>
              </w:rPr>
              <w:t>规模</w:t>
            </w:r>
          </w:p>
        </w:tc>
        <w:tc>
          <w:tcPr>
            <w:tcW w:w="1797" w:type="dxa"/>
            <w:vAlign w:val="center"/>
          </w:tcPr>
          <w:p>
            <w:pPr>
              <w:spacing w:line="300" w:lineRule="exact"/>
              <w:rPr>
                <w:rFonts w:hint="eastAsia" w:ascii="宋体" w:hAnsi="宋体" w:eastAsia="宋体" w:cs="宋体"/>
                <w:color w:val="auto"/>
                <w:kern w:val="0"/>
                <w:sz w:val="21"/>
                <w:szCs w:val="21"/>
                <w:highlight w:val="none"/>
                <w:lang w:eastAsia="zh-CN"/>
              </w:rPr>
            </w:pPr>
            <w:r>
              <w:rPr>
                <w:rFonts w:hint="eastAsia" w:ascii="华文仿宋" w:hAnsi="华文仿宋" w:eastAsia="华文仿宋" w:cs="华文仿宋"/>
                <w:bCs/>
                <w:kern w:val="0"/>
                <w:sz w:val="18"/>
                <w:szCs w:val="18"/>
                <w:highlight w:val="none"/>
              </w:rPr>
              <w:t>每年度开展的培训量，且符合培训标准。</w:t>
            </w:r>
          </w:p>
        </w:tc>
        <w:tc>
          <w:tcPr>
            <w:tcW w:w="680" w:type="dxa"/>
            <w:vAlign w:val="center"/>
          </w:tcPr>
          <w:p>
            <w:pPr>
              <w:spacing w:line="300" w:lineRule="exact"/>
              <w:jc w:val="center"/>
              <w:rPr>
                <w:rFonts w:hint="eastAsia" w:ascii="宋体" w:hAnsi="宋体" w:eastAsia="宋体" w:cs="宋体"/>
                <w:color w:val="auto"/>
                <w:kern w:val="0"/>
                <w:sz w:val="21"/>
                <w:szCs w:val="21"/>
                <w:highlight w:val="none"/>
                <w:lang w:val="en-US" w:eastAsia="zh-CN"/>
              </w:rPr>
            </w:pPr>
            <w:r>
              <w:rPr>
                <w:rFonts w:hint="eastAsia" w:ascii="华文仿宋" w:hAnsi="华文仿宋" w:eastAsia="华文仿宋" w:cs="华文仿宋"/>
                <w:bCs/>
                <w:kern w:val="0"/>
                <w:sz w:val="18"/>
                <w:szCs w:val="18"/>
                <w:highlight w:val="none"/>
              </w:rPr>
              <w:t>30</w:t>
            </w:r>
          </w:p>
        </w:tc>
        <w:tc>
          <w:tcPr>
            <w:tcW w:w="3445" w:type="dxa"/>
            <w:vAlign w:val="center"/>
          </w:tcPr>
          <w:p>
            <w:pPr>
              <w:spacing w:line="300" w:lineRule="exact"/>
              <w:rPr>
                <w:rFonts w:ascii="华文仿宋" w:hAnsi="华文仿宋" w:eastAsia="华文仿宋" w:cs="华文仿宋"/>
                <w:sz w:val="18"/>
                <w:szCs w:val="18"/>
                <w:highlight w:val="none"/>
              </w:rPr>
            </w:pPr>
            <w:r>
              <w:rPr>
                <w:rFonts w:hint="eastAsia" w:ascii="华文仿宋" w:hAnsi="华文仿宋" w:eastAsia="华文仿宋" w:cs="华文仿宋"/>
                <w:sz w:val="18"/>
                <w:szCs w:val="18"/>
                <w:highlight w:val="none"/>
              </w:rPr>
              <w:t>1.在罗湖培训500-1000人，得10分，每增加1000人加5分；</w:t>
            </w:r>
          </w:p>
          <w:p>
            <w:pPr>
              <w:spacing w:line="300" w:lineRule="exact"/>
              <w:rPr>
                <w:rFonts w:ascii="华文仿宋" w:hAnsi="华文仿宋" w:eastAsia="华文仿宋" w:cs="华文仿宋"/>
                <w:sz w:val="18"/>
                <w:szCs w:val="18"/>
                <w:highlight w:val="none"/>
              </w:rPr>
            </w:pPr>
            <w:r>
              <w:rPr>
                <w:rFonts w:hint="eastAsia" w:ascii="华文仿宋" w:hAnsi="华文仿宋" w:eastAsia="华文仿宋" w:cs="华文仿宋"/>
                <w:sz w:val="18"/>
                <w:szCs w:val="18"/>
                <w:highlight w:val="none"/>
              </w:rPr>
              <w:t>2.参与罗湖急缺、新兴工种相关培训项目，培训人数超过150人以上，得3分，每增加100人，加1分；</w:t>
            </w:r>
          </w:p>
          <w:p>
            <w:pPr>
              <w:spacing w:line="300" w:lineRule="exact"/>
              <w:rPr>
                <w:rFonts w:hint="eastAsia" w:ascii="宋体" w:hAnsi="宋体" w:eastAsia="宋体" w:cs="宋体"/>
                <w:color w:val="auto"/>
                <w:sz w:val="21"/>
                <w:szCs w:val="21"/>
                <w:highlight w:val="none"/>
              </w:rPr>
            </w:pPr>
            <w:r>
              <w:rPr>
                <w:rFonts w:hint="eastAsia" w:ascii="华文仿宋" w:hAnsi="华文仿宋" w:eastAsia="华文仿宋" w:cs="华文仿宋"/>
                <w:sz w:val="18"/>
                <w:szCs w:val="18"/>
                <w:highlight w:val="none"/>
              </w:rPr>
              <w:t>3.参与罗湖新型学徒制、现代学徒制培训超过20人得2分，每增加30人得5分。</w:t>
            </w:r>
          </w:p>
        </w:tc>
        <w:tc>
          <w:tcPr>
            <w:tcW w:w="1712" w:type="dxa"/>
            <w:tcBorders>
              <w:right w:val="single" w:color="auto" w:sz="4" w:space="0"/>
            </w:tcBorders>
            <w:vAlign w:val="center"/>
          </w:tcPr>
          <w:p>
            <w:pPr>
              <w:spacing w:line="300" w:lineRule="exact"/>
              <w:rPr>
                <w:rFonts w:hint="eastAsia" w:ascii="宋体" w:hAnsi="宋体" w:eastAsia="宋体" w:cs="宋体"/>
                <w:bCs/>
                <w:color w:val="auto"/>
                <w:kern w:val="0"/>
                <w:sz w:val="18"/>
                <w:szCs w:val="18"/>
                <w:highlight w:val="none"/>
                <w:lang w:val="en-US" w:eastAsia="zh-CN"/>
              </w:rPr>
            </w:pPr>
            <w:r>
              <w:rPr>
                <w:rFonts w:hint="eastAsia" w:ascii="华文仿宋" w:hAnsi="华文仿宋" w:eastAsia="华文仿宋" w:cs="华文仿宋"/>
                <w:sz w:val="18"/>
                <w:szCs w:val="18"/>
                <w:highlight w:val="none"/>
              </w:rPr>
              <w:t>最高不超过得分30分；同一培训数量、群体，不得重复计分。</w:t>
            </w:r>
          </w:p>
        </w:tc>
        <w:tc>
          <w:tcPr>
            <w:tcW w:w="1141"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bCs/>
                <w:color w:val="auto"/>
                <w:kern w:val="0"/>
                <w:sz w:val="18"/>
                <w:szCs w:val="18"/>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0" w:hRule="atLeast"/>
        </w:trPr>
        <w:tc>
          <w:tcPr>
            <w:tcW w:w="401" w:type="dxa"/>
            <w:vAlign w:val="center"/>
          </w:tcPr>
          <w:p>
            <w:pPr>
              <w:spacing w:line="276" w:lineRule="auto"/>
              <w:rPr>
                <w:rFonts w:hint="default" w:ascii="宋体" w:hAnsi="宋体" w:eastAsia="宋体" w:cs="宋体"/>
                <w:b/>
                <w:bCs w:val="0"/>
                <w:color w:val="auto"/>
                <w:kern w:val="0"/>
                <w:sz w:val="24"/>
                <w:szCs w:val="24"/>
                <w:highlight w:val="none"/>
                <w:lang w:val="en-US" w:eastAsia="zh-CN"/>
              </w:rPr>
            </w:pPr>
            <w:r>
              <w:rPr>
                <w:rFonts w:hint="eastAsia" w:ascii="宋体" w:hAnsi="宋体" w:eastAsia="宋体" w:cs="宋体"/>
                <w:b/>
                <w:kern w:val="0"/>
                <w:sz w:val="24"/>
                <w:highlight w:val="none"/>
              </w:rPr>
              <w:t>6</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培训</w:t>
            </w:r>
          </w:p>
          <w:p>
            <w:pPr>
              <w:spacing w:line="276" w:lineRule="auto"/>
              <w:jc w:val="center"/>
              <w:rPr>
                <w:rFonts w:hint="default" w:ascii="楷体" w:hAnsi="楷体" w:eastAsia="楷体" w:cs="楷体"/>
                <w:b/>
                <w:bCs/>
                <w:color w:val="auto"/>
                <w:kern w:val="0"/>
                <w:sz w:val="24"/>
                <w:highlight w:val="none"/>
                <w:lang w:val="en-US" w:eastAsia="zh-CN"/>
              </w:rPr>
            </w:pPr>
            <w:r>
              <w:rPr>
                <w:rFonts w:hint="eastAsia" w:ascii="楷体" w:hAnsi="楷体" w:eastAsia="楷体" w:cs="楷体"/>
                <w:b/>
                <w:bCs/>
                <w:kern w:val="0"/>
                <w:sz w:val="24"/>
                <w:highlight w:val="none"/>
              </w:rPr>
              <w:t>质量</w:t>
            </w:r>
          </w:p>
        </w:tc>
        <w:tc>
          <w:tcPr>
            <w:tcW w:w="1797" w:type="dxa"/>
            <w:vAlign w:val="center"/>
          </w:tcPr>
          <w:p>
            <w:pPr>
              <w:spacing w:line="300" w:lineRule="exact"/>
              <w:rPr>
                <w:rFonts w:hint="default" w:ascii="宋体" w:hAnsi="宋体" w:eastAsia="宋体" w:cs="宋体"/>
                <w:color w:val="auto"/>
                <w:kern w:val="0"/>
                <w:sz w:val="24"/>
                <w:szCs w:val="24"/>
                <w:highlight w:val="none"/>
                <w:lang w:val="en-US" w:eastAsia="zh-CN"/>
              </w:rPr>
            </w:pPr>
            <w:r>
              <w:rPr>
                <w:rFonts w:hint="eastAsia" w:ascii="华文仿宋" w:hAnsi="华文仿宋" w:eastAsia="华文仿宋" w:cs="华文仿宋"/>
                <w:kern w:val="0"/>
                <w:sz w:val="18"/>
                <w:szCs w:val="18"/>
                <w:highlight w:val="none"/>
              </w:rPr>
              <w:t>教学培训质量是否得到学员企业社会满意。</w:t>
            </w:r>
          </w:p>
        </w:tc>
        <w:tc>
          <w:tcPr>
            <w:tcW w:w="680" w:type="dxa"/>
            <w:vAlign w:val="center"/>
          </w:tcPr>
          <w:p>
            <w:pPr>
              <w:spacing w:line="300" w:lineRule="exact"/>
              <w:jc w:val="center"/>
              <w:rPr>
                <w:rFonts w:hint="default" w:ascii="宋体" w:hAnsi="宋体" w:eastAsia="宋体" w:cs="宋体"/>
                <w:color w:val="auto"/>
                <w:kern w:val="0"/>
                <w:sz w:val="24"/>
                <w:szCs w:val="24"/>
                <w:highlight w:val="none"/>
                <w:lang w:val="en-US" w:eastAsia="zh-CN"/>
              </w:rPr>
            </w:pPr>
            <w:r>
              <w:rPr>
                <w:rFonts w:hint="eastAsia" w:ascii="华文仿宋" w:hAnsi="华文仿宋" w:eastAsia="华文仿宋" w:cs="华文仿宋"/>
                <w:kern w:val="0"/>
                <w:sz w:val="18"/>
                <w:szCs w:val="18"/>
                <w:highlight w:val="none"/>
              </w:rPr>
              <w:t>15</w:t>
            </w:r>
          </w:p>
        </w:tc>
        <w:tc>
          <w:tcPr>
            <w:tcW w:w="3445"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1.学员就业率或获得国家承认职业技能等级证书达到90%以上，得10分；70-90%，得8分；70%-50%，得5分；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2.本年度内学员成功创业项目3个以上，得15分；2个2得10分；1个得5分；</w:t>
            </w:r>
          </w:p>
          <w:p>
            <w:pPr>
              <w:spacing w:line="300" w:lineRule="exact"/>
              <w:rPr>
                <w:rFonts w:hint="default"/>
                <w:highlight w:val="none"/>
                <w:lang w:val="en-US" w:eastAsia="zh-CN"/>
              </w:rPr>
            </w:pPr>
            <w:r>
              <w:rPr>
                <w:rFonts w:hint="eastAsia" w:ascii="华文仿宋" w:hAnsi="华文仿宋" w:eastAsia="华文仿宋" w:cs="华文仿宋"/>
                <w:kern w:val="0"/>
                <w:sz w:val="18"/>
                <w:szCs w:val="18"/>
                <w:highlight w:val="none"/>
              </w:rPr>
              <w:t>3.学员满意度90%以上得5分；满意度80%以上，得3分；满意度70%以上，得1分；满意度70%以下或无法提供满意度材料，得0分。</w:t>
            </w:r>
          </w:p>
        </w:tc>
        <w:tc>
          <w:tcPr>
            <w:tcW w:w="1712" w:type="dxa"/>
            <w:tcBorders>
              <w:right w:val="single" w:color="auto" w:sz="4" w:space="0"/>
            </w:tcBorders>
            <w:vAlign w:val="center"/>
          </w:tcPr>
          <w:p>
            <w:pPr>
              <w:spacing w:line="300" w:lineRule="exact"/>
              <w:rPr>
                <w:rFonts w:hint="default" w:ascii="宋体" w:hAnsi="宋体" w:eastAsia="宋体" w:cs="宋体"/>
                <w:bCs/>
                <w:color w:val="auto"/>
                <w:kern w:val="0"/>
                <w:sz w:val="18"/>
                <w:szCs w:val="18"/>
                <w:highlight w:val="none"/>
                <w:lang w:val="en-US" w:eastAsia="zh-CN"/>
              </w:rPr>
            </w:pPr>
            <w:r>
              <w:rPr>
                <w:rFonts w:hint="eastAsia" w:ascii="华文仿宋" w:hAnsi="华文仿宋" w:eastAsia="华文仿宋" w:cs="华文仿宋"/>
                <w:kern w:val="0"/>
                <w:sz w:val="18"/>
                <w:szCs w:val="18"/>
                <w:highlight w:val="none"/>
              </w:rPr>
              <w:t>培训质量应与培训规模有对应关系，真实可信。如满意度调查应不少于培训人数10%。</w:t>
            </w:r>
          </w:p>
        </w:tc>
        <w:tc>
          <w:tcPr>
            <w:tcW w:w="1141"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auto"/>
                <w:kern w:val="0"/>
                <w:sz w:val="21"/>
                <w:szCs w:val="21"/>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8" w:hRule="atLeast"/>
        </w:trPr>
        <w:tc>
          <w:tcPr>
            <w:tcW w:w="401" w:type="dxa"/>
            <w:vAlign w:val="center"/>
          </w:tcPr>
          <w:p>
            <w:pPr>
              <w:spacing w:line="276" w:lineRule="auto"/>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kern w:val="0"/>
                <w:sz w:val="24"/>
                <w:highlight w:val="none"/>
              </w:rPr>
              <w:t>7</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产教</w:t>
            </w:r>
          </w:p>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融合</w:t>
            </w:r>
          </w:p>
          <w:p>
            <w:pPr>
              <w:spacing w:line="276" w:lineRule="auto"/>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kern w:val="0"/>
                <w:sz w:val="24"/>
                <w:highlight w:val="none"/>
              </w:rPr>
              <w:t>推进</w:t>
            </w:r>
          </w:p>
        </w:tc>
        <w:tc>
          <w:tcPr>
            <w:tcW w:w="1797" w:type="dxa"/>
            <w:vAlign w:val="center"/>
          </w:tcPr>
          <w:p>
            <w:pPr>
              <w:spacing w:line="300" w:lineRule="exact"/>
              <w:rPr>
                <w:rFonts w:hint="eastAsia" w:ascii="宋体" w:hAnsi="宋体" w:eastAsia="宋体" w:cs="宋体"/>
                <w:bCs/>
                <w:color w:val="auto"/>
                <w:kern w:val="0"/>
                <w:sz w:val="21"/>
                <w:szCs w:val="21"/>
                <w:highlight w:val="none"/>
                <w:lang w:eastAsia="zh-CN"/>
              </w:rPr>
            </w:pPr>
            <w:r>
              <w:rPr>
                <w:rFonts w:hint="eastAsia" w:ascii="华文仿宋" w:hAnsi="华文仿宋" w:eastAsia="华文仿宋" w:cs="华文仿宋"/>
                <w:kern w:val="0"/>
                <w:sz w:val="18"/>
                <w:szCs w:val="18"/>
                <w:highlight w:val="none"/>
              </w:rPr>
              <w:t>荣获国家、省、深圳市、区级荣誉、表彰，对行业、就业创业产生良好社会作用。</w:t>
            </w:r>
          </w:p>
        </w:tc>
        <w:tc>
          <w:tcPr>
            <w:tcW w:w="680" w:type="dxa"/>
            <w:vAlign w:val="center"/>
          </w:tcPr>
          <w:p>
            <w:pPr>
              <w:spacing w:line="300" w:lineRule="exact"/>
              <w:jc w:val="center"/>
              <w:rPr>
                <w:rFonts w:hint="default" w:ascii="宋体" w:hAnsi="宋体" w:eastAsia="宋体" w:cs="宋体"/>
                <w:bCs/>
                <w:color w:val="auto"/>
                <w:kern w:val="0"/>
                <w:sz w:val="24"/>
                <w:szCs w:val="24"/>
                <w:highlight w:val="none"/>
                <w:lang w:val="en-US" w:eastAsia="zh-CN"/>
              </w:rPr>
            </w:pPr>
            <w:r>
              <w:rPr>
                <w:rFonts w:hint="eastAsia" w:ascii="华文仿宋" w:hAnsi="华文仿宋" w:eastAsia="华文仿宋" w:cs="华文仿宋"/>
                <w:kern w:val="0"/>
                <w:sz w:val="18"/>
                <w:szCs w:val="18"/>
                <w:highlight w:val="none"/>
              </w:rPr>
              <w:t>20</w:t>
            </w:r>
          </w:p>
        </w:tc>
        <w:tc>
          <w:tcPr>
            <w:tcW w:w="3445"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1.经国家、广东省、深圳市人力资源部门发文认定并授予牌匾的辖区技能大师工作室或技师工作站或高技能人才培训基地等分别得15、12、9分；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2.经全国、广东省、深圳市总工会发文命名并授予牌匾的辖区技术攻关型示范性劳模和工匠人才创新工作室，且所属单位工会隶属于罗湖区；</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3.获得其他国家、省、市级其他荣誉奖励，得15、12、9分；区级记5分；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4.本年度内培养学员获国家、省、市、区级别技术能手或工匠荣誉等分别得分15、9、6、3分/人；</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5.开发市、区内急缺工种、新工种相关的培训课程，每个得分3；</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6.组织、主办、承办国家、省职业技能竞赛得15分/项（选拔赛得分减半），组织、主办、承办深圳市级及以上职业技能竞赛得10分/项，组织、承办区级职业技能竞赛得5分/项，协办、支持职业技能竞赛得分减半；</w:t>
            </w:r>
          </w:p>
          <w:p>
            <w:pPr>
              <w:spacing w:line="300" w:lineRule="exact"/>
              <w:rPr>
                <w:rFonts w:hint="default"/>
                <w:highlight w:val="none"/>
                <w:lang w:val="en-US" w:eastAsia="zh-CN"/>
              </w:rPr>
            </w:pPr>
            <w:r>
              <w:rPr>
                <w:rFonts w:hint="eastAsia" w:ascii="华文仿宋" w:hAnsi="华文仿宋" w:eastAsia="华文仿宋" w:cs="华文仿宋"/>
                <w:kern w:val="0"/>
                <w:sz w:val="18"/>
                <w:szCs w:val="18"/>
                <w:highlight w:val="none"/>
              </w:rPr>
              <w:t>7.被评为技能培训类链主企业的，得20分；属于社会培训评价组织的，每工种得10分；可开展企业职业技能等级认定的，每工种得5分；参与或协助企业开展职业技能等级认定的，每工种得2分。</w:t>
            </w:r>
          </w:p>
        </w:tc>
        <w:tc>
          <w:tcPr>
            <w:tcW w:w="1712" w:type="dxa"/>
            <w:tcBorders>
              <w:right w:val="single" w:color="auto" w:sz="4" w:space="0"/>
            </w:tcBorders>
            <w:vAlign w:val="center"/>
          </w:tcPr>
          <w:p>
            <w:pPr>
              <w:spacing w:line="300" w:lineRule="exact"/>
              <w:rPr>
                <w:rFonts w:hint="default" w:ascii="宋体" w:hAnsi="宋体" w:eastAsia="宋体" w:cs="宋体"/>
                <w:color w:val="auto"/>
                <w:kern w:val="0"/>
                <w:sz w:val="24"/>
                <w:szCs w:val="24"/>
                <w:highlight w:val="none"/>
                <w:lang w:val="en-US"/>
              </w:rPr>
            </w:pPr>
            <w:r>
              <w:rPr>
                <w:rFonts w:hint="eastAsia" w:ascii="华文仿宋" w:hAnsi="华文仿宋" w:eastAsia="华文仿宋" w:cs="华文仿宋"/>
                <w:kern w:val="0"/>
                <w:sz w:val="18"/>
                <w:szCs w:val="18"/>
                <w:highlight w:val="none"/>
              </w:rPr>
              <w:t>职业技能竞赛是指由政府或人社部门、工会主办、承办，且列入国家、省、深圳市、罗湖区人社部门及相应级别总工会的年度竞赛计划的国际竞赛、国家级一类（二类）竞赛、广东省级一类（二类）竞赛和深圳市级一类（二类）竞赛；不同项目可叠加，总分不得超过20分。</w:t>
            </w:r>
          </w:p>
        </w:tc>
        <w:tc>
          <w:tcPr>
            <w:tcW w:w="1141"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auto"/>
                <w:sz w:val="21"/>
                <w:szCs w:val="21"/>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9" w:hRule="atLeast"/>
        </w:trPr>
        <w:tc>
          <w:tcPr>
            <w:tcW w:w="401" w:type="dxa"/>
            <w:vAlign w:val="center"/>
          </w:tcPr>
          <w:p>
            <w:pPr>
              <w:spacing w:line="276" w:lineRule="auto"/>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kern w:val="0"/>
                <w:sz w:val="24"/>
                <w:highlight w:val="none"/>
              </w:rPr>
              <w:t>8</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党建</w:t>
            </w:r>
          </w:p>
          <w:p>
            <w:pPr>
              <w:spacing w:line="276" w:lineRule="auto"/>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kern w:val="0"/>
                <w:sz w:val="24"/>
                <w:highlight w:val="none"/>
              </w:rPr>
              <w:t>工作</w:t>
            </w:r>
          </w:p>
        </w:tc>
        <w:tc>
          <w:tcPr>
            <w:tcW w:w="1797" w:type="dxa"/>
            <w:vAlign w:val="center"/>
          </w:tcPr>
          <w:p>
            <w:pPr>
              <w:spacing w:line="300" w:lineRule="exact"/>
              <w:rPr>
                <w:rFonts w:hint="eastAsia" w:ascii="宋体" w:hAnsi="宋体" w:eastAsia="宋体" w:cs="宋体"/>
                <w:bCs/>
                <w:color w:val="auto"/>
                <w:kern w:val="0"/>
                <w:sz w:val="21"/>
                <w:szCs w:val="21"/>
                <w:highlight w:val="none"/>
                <w:lang w:eastAsia="zh-CN"/>
              </w:rPr>
            </w:pPr>
            <w:r>
              <w:rPr>
                <w:rFonts w:hint="eastAsia" w:ascii="华文仿宋" w:hAnsi="华文仿宋" w:eastAsia="华文仿宋" w:cs="华文仿宋"/>
                <w:sz w:val="18"/>
                <w:szCs w:val="18"/>
                <w:highlight w:val="none"/>
              </w:rPr>
              <w:t>积极开展党建工作，贯彻落实新思想新理念。</w:t>
            </w:r>
          </w:p>
        </w:tc>
        <w:tc>
          <w:tcPr>
            <w:tcW w:w="680" w:type="dxa"/>
            <w:vAlign w:val="center"/>
          </w:tcPr>
          <w:p>
            <w:pPr>
              <w:spacing w:line="300" w:lineRule="exact"/>
              <w:jc w:val="center"/>
              <w:rPr>
                <w:rFonts w:hint="eastAsia" w:ascii="宋体" w:hAnsi="宋体" w:eastAsia="宋体" w:cs="宋体"/>
                <w:bCs/>
                <w:color w:val="auto"/>
                <w:kern w:val="0"/>
                <w:sz w:val="24"/>
                <w:szCs w:val="24"/>
                <w:highlight w:val="none"/>
                <w:lang w:val="en-US" w:eastAsia="zh-CN"/>
              </w:rPr>
            </w:pPr>
            <w:r>
              <w:rPr>
                <w:rFonts w:hint="eastAsia" w:ascii="华文仿宋" w:hAnsi="华文仿宋" w:eastAsia="华文仿宋" w:cs="华文仿宋"/>
                <w:kern w:val="0"/>
                <w:sz w:val="18"/>
                <w:szCs w:val="18"/>
                <w:highlight w:val="none"/>
              </w:rPr>
              <w:t>5</w:t>
            </w:r>
          </w:p>
        </w:tc>
        <w:tc>
          <w:tcPr>
            <w:tcW w:w="3445"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1.设立党组织并开展活动，记5分；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2.没有设立党组织但有党员并参加上级党组织活动，记3分；</w:t>
            </w:r>
          </w:p>
          <w:p>
            <w:pPr>
              <w:spacing w:line="300" w:lineRule="exact"/>
              <w:rPr>
                <w:rFonts w:hint="default"/>
                <w:highlight w:val="none"/>
                <w:lang w:val="en-US"/>
              </w:rPr>
            </w:pPr>
            <w:r>
              <w:rPr>
                <w:rFonts w:hint="eastAsia" w:ascii="华文仿宋" w:hAnsi="华文仿宋" w:eastAsia="华文仿宋" w:cs="华文仿宋"/>
                <w:kern w:val="0"/>
                <w:sz w:val="18"/>
                <w:szCs w:val="18"/>
                <w:highlight w:val="none"/>
              </w:rPr>
              <w:t>3.没有党员但配备党建工作联系人，记1分。</w:t>
            </w:r>
          </w:p>
        </w:tc>
        <w:tc>
          <w:tcPr>
            <w:tcW w:w="1712" w:type="dxa"/>
            <w:tcBorders>
              <w:right w:val="single" w:color="auto" w:sz="4" w:space="0"/>
            </w:tcBorders>
            <w:vAlign w:val="center"/>
          </w:tcPr>
          <w:p>
            <w:pPr>
              <w:spacing w:line="300" w:lineRule="exact"/>
              <w:rPr>
                <w:rFonts w:hint="eastAsia" w:ascii="宋体" w:hAnsi="宋体" w:eastAsia="宋体" w:cs="宋体"/>
                <w:color w:val="auto"/>
                <w:kern w:val="0"/>
                <w:sz w:val="24"/>
                <w:szCs w:val="24"/>
                <w:highlight w:val="none"/>
              </w:rPr>
            </w:pPr>
            <w:r>
              <w:rPr>
                <w:rFonts w:hint="eastAsia" w:ascii="华文仿宋" w:hAnsi="华文仿宋" w:eastAsia="华文仿宋" w:cs="华文仿宋"/>
                <w:bCs/>
                <w:kern w:val="0"/>
                <w:sz w:val="18"/>
                <w:szCs w:val="18"/>
                <w:highlight w:val="none"/>
              </w:rPr>
              <w:t>本项满分5分</w:t>
            </w:r>
          </w:p>
        </w:tc>
        <w:tc>
          <w:tcPr>
            <w:tcW w:w="1141"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bCs/>
                <w:color w:val="auto"/>
                <w:kern w:val="0"/>
                <w:sz w:val="21"/>
                <w:szCs w:val="21"/>
                <w:highlight w:val="none"/>
                <w:lang w:val="en-US" w:eastAsia="zh-CN"/>
              </w:rPr>
            </w:pPr>
          </w:p>
        </w:tc>
      </w:tr>
    </w:tbl>
    <w:p>
      <w:pPr>
        <w:spacing w:line="276" w:lineRule="auto"/>
        <w:rPr>
          <w:rFonts w:ascii="宋体" w:hAnsi="宋体" w:eastAsia="宋体" w:cs="宋体"/>
          <w:b/>
          <w:bCs/>
          <w:kern w:val="0"/>
          <w:szCs w:val="21"/>
          <w:highlight w:val="none"/>
        </w:rPr>
      </w:pPr>
      <w:r>
        <w:rPr>
          <w:rFonts w:hint="eastAsia" w:ascii="宋体" w:hAnsi="宋体" w:eastAsia="宋体" w:cs="宋体"/>
          <w:b/>
          <w:bCs/>
          <w:kern w:val="0"/>
          <w:szCs w:val="21"/>
          <w:highlight w:val="none"/>
        </w:rPr>
        <w:t>注：</w:t>
      </w:r>
    </w:p>
    <w:p>
      <w:pPr>
        <w:spacing w:line="276" w:lineRule="auto"/>
        <w:rPr>
          <w:rFonts w:ascii="华文仿宋" w:hAnsi="华文仿宋" w:eastAsia="华文仿宋" w:cs="华文仿宋"/>
          <w:kern w:val="0"/>
          <w:szCs w:val="21"/>
          <w:highlight w:val="none"/>
        </w:rPr>
      </w:pPr>
      <w:r>
        <w:rPr>
          <w:rFonts w:hint="eastAsia" w:ascii="华文仿宋" w:hAnsi="华文仿宋" w:eastAsia="华文仿宋" w:cs="华文仿宋"/>
          <w:kern w:val="0"/>
          <w:szCs w:val="21"/>
          <w:highlight w:val="none"/>
        </w:rPr>
        <w:t>1.评选对象应为罗湖区注册、纳税企事业单位、机构等，存续三年以上等；</w:t>
      </w:r>
    </w:p>
    <w:p>
      <w:pPr>
        <w:spacing w:line="276" w:lineRule="auto"/>
        <w:rPr>
          <w:rFonts w:ascii="华文仿宋" w:hAnsi="华文仿宋" w:eastAsia="华文仿宋" w:cs="华文仿宋"/>
          <w:kern w:val="0"/>
          <w:szCs w:val="21"/>
          <w:highlight w:val="none"/>
        </w:rPr>
      </w:pPr>
      <w:r>
        <w:rPr>
          <w:rFonts w:hint="eastAsia" w:ascii="华文仿宋" w:hAnsi="华文仿宋" w:eastAsia="华文仿宋" w:cs="华文仿宋"/>
          <w:kern w:val="0"/>
          <w:szCs w:val="21"/>
          <w:highlight w:val="none"/>
        </w:rPr>
        <w:t>2.相关荣誉获得者，三年内不重复参评，但有特殊贡献者除外；</w:t>
      </w:r>
    </w:p>
    <w:p>
      <w:pPr>
        <w:spacing w:line="276" w:lineRule="auto"/>
        <w:rPr>
          <w:rFonts w:ascii="华文仿宋" w:hAnsi="华文仿宋" w:eastAsia="华文仿宋" w:cs="华文仿宋"/>
          <w:kern w:val="0"/>
          <w:szCs w:val="21"/>
          <w:highlight w:val="none"/>
        </w:rPr>
      </w:pPr>
      <w:r>
        <w:rPr>
          <w:rFonts w:hint="eastAsia" w:ascii="华文仿宋" w:hAnsi="华文仿宋" w:eastAsia="华文仿宋" w:cs="华文仿宋"/>
          <w:kern w:val="0"/>
          <w:szCs w:val="21"/>
          <w:highlight w:val="none"/>
        </w:rPr>
        <w:t>3.对于贡献突出，但不属于表彰范围的单位可授予“罗湖区荣誉优秀技能人才培训基地”；</w:t>
      </w:r>
    </w:p>
    <w:p>
      <w:pPr>
        <w:spacing w:line="276" w:lineRule="auto"/>
        <w:ind w:left="210" w:hanging="210" w:hangingChars="100"/>
        <w:rPr>
          <w:rFonts w:ascii="华文仿宋" w:hAnsi="华文仿宋" w:eastAsia="华文仿宋" w:cs="华文仿宋"/>
          <w:kern w:val="0"/>
          <w:szCs w:val="21"/>
          <w:highlight w:val="none"/>
        </w:rPr>
      </w:pPr>
      <w:r>
        <w:rPr>
          <w:rFonts w:hint="eastAsia" w:ascii="华文仿宋" w:hAnsi="华文仿宋" w:eastAsia="华文仿宋" w:cs="华文仿宋"/>
          <w:kern w:val="0"/>
          <w:szCs w:val="21"/>
          <w:highlight w:val="none"/>
        </w:rPr>
        <w:t>4.“罗湖区产教融合枢纽型技能人才培训载体”按计分标准计分排序，并采用行业、企业均衡之原则，由罗湖区人力资源局、罗湖区总工会联合择优授予；</w:t>
      </w:r>
    </w:p>
    <w:p>
      <w:pPr>
        <w:spacing w:line="276" w:lineRule="auto"/>
        <w:rPr>
          <w:rFonts w:ascii="华文仿宋" w:hAnsi="华文仿宋" w:eastAsia="华文仿宋" w:cs="华文仿宋"/>
          <w:kern w:val="0"/>
          <w:szCs w:val="21"/>
          <w:highlight w:val="none"/>
        </w:rPr>
      </w:pPr>
      <w:r>
        <w:rPr>
          <w:rFonts w:hint="eastAsia" w:ascii="华文仿宋" w:hAnsi="华文仿宋" w:eastAsia="华文仿宋" w:cs="华文仿宋"/>
          <w:kern w:val="0"/>
          <w:szCs w:val="21"/>
          <w:highlight w:val="none"/>
        </w:rPr>
        <w:t>5.相关得分项目需提供电子证明材料（请提供pdf和可编辑两个版本）。</w:t>
      </w:r>
    </w:p>
    <w:p>
      <w:pPr>
        <w:keepNext w:val="0"/>
        <w:keepLines w:val="0"/>
        <w:suppressLineNumbers w:val="0"/>
        <w:spacing w:before="0" w:beforeAutospacing="0" w:after="0" w:afterAutospacing="0" w:line="276" w:lineRule="auto"/>
        <w:ind w:right="0"/>
        <w:rPr>
          <w:rFonts w:hint="eastAsia" w:ascii="宋体" w:hAnsi="宋体" w:eastAsia="宋体" w:cs="宋体"/>
          <w:color w:val="auto"/>
          <w:kern w:val="0"/>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Y2M3NWNkNTNhODE1M2I2YzBmMDM1Y2NiZmMyMWIifQ=="/>
  </w:docVars>
  <w:rsids>
    <w:rsidRoot w:val="212B18F6"/>
    <w:rsid w:val="0E073422"/>
    <w:rsid w:val="107C32F3"/>
    <w:rsid w:val="15830DC8"/>
    <w:rsid w:val="212B18F6"/>
    <w:rsid w:val="2417157F"/>
    <w:rsid w:val="2778731A"/>
    <w:rsid w:val="28C45EE2"/>
    <w:rsid w:val="374DFE16"/>
    <w:rsid w:val="399B39D3"/>
    <w:rsid w:val="3D7E84CE"/>
    <w:rsid w:val="415F3A41"/>
    <w:rsid w:val="555F6910"/>
    <w:rsid w:val="63D04F5B"/>
    <w:rsid w:val="668B3549"/>
    <w:rsid w:val="6E7DCDFE"/>
    <w:rsid w:val="781A01FB"/>
    <w:rsid w:val="7C878899"/>
    <w:rsid w:val="7CD474C6"/>
    <w:rsid w:val="7D575A28"/>
    <w:rsid w:val="7F93A296"/>
    <w:rsid w:val="7FF74F2D"/>
    <w:rsid w:val="DB3FCE36"/>
    <w:rsid w:val="DF6C7EDC"/>
    <w:rsid w:val="DF71DEA1"/>
    <w:rsid w:val="ED3EDBC4"/>
    <w:rsid w:val="F7AF9546"/>
    <w:rsid w:val="F7FF558F"/>
    <w:rsid w:val="FED61824"/>
    <w:rsid w:val="FEEE95BE"/>
    <w:rsid w:val="FFEFB99F"/>
    <w:rsid w:val="FFF74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w:basedOn w:val="2"/>
    <w:qFormat/>
    <w:uiPriority w:val="0"/>
    <w:pPr>
      <w:ind w:firstLine="420" w:firstLineChars="1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2021-10-29T10:24:00Z</dcterms:created>
  <dc:creator>working</dc:creator>
  <cp:lastModifiedBy>kylin</cp:lastModifiedBy>
  <dcterms:modified xsi:type="dcterms:W3CDTF">2023-11-17T11:13:17Z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45AC0E2769BE4518944F23FAC5B1B4A7_12</vt:lpwstr>
  </property>
</Properties>
</file>