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ind w:firstLine="643" w:firstLineChars="200"/>
        <w:jc w:val="center"/>
        <w:rPr>
          <w:rFonts w:hint="eastAsia" w:ascii="宋体" w:hAnsi="宋体" w:cs="宋体"/>
          <w:b/>
          <w:color w:val="auto"/>
          <w:sz w:val="32"/>
          <w:szCs w:val="32"/>
        </w:rPr>
      </w:pPr>
    </w:p>
    <w:p>
      <w:pPr>
        <w:spacing w:line="560" w:lineRule="exact"/>
        <w:ind w:firstLine="643" w:firstLineChars="200"/>
        <w:rPr>
          <w:rFonts w:ascii="宋体" w:hAnsi="宋体" w:cs="宋体"/>
          <w:b/>
          <w:color w:val="auto"/>
          <w:sz w:val="32"/>
          <w:szCs w:val="32"/>
        </w:rPr>
      </w:pPr>
    </w:p>
    <w:p>
      <w:pPr>
        <w:spacing w:line="560" w:lineRule="exact"/>
        <w:ind w:firstLine="643" w:firstLineChars="200"/>
        <w:jc w:val="center"/>
        <w:rPr>
          <w:rFonts w:ascii="宋体" w:hAnsi="宋体" w:cs="宋体"/>
          <w:b/>
          <w:color w:val="auto"/>
          <w:sz w:val="32"/>
          <w:szCs w:val="32"/>
        </w:rPr>
      </w:pPr>
    </w:p>
    <w:p>
      <w:pPr>
        <w:spacing w:line="560" w:lineRule="exact"/>
        <w:ind w:firstLine="643" w:firstLineChars="200"/>
        <w:jc w:val="center"/>
        <w:rPr>
          <w:rFonts w:ascii="宋体" w:hAnsi="宋体" w:cs="宋体"/>
          <w:b/>
          <w:color w:val="auto"/>
          <w:sz w:val="32"/>
          <w:szCs w:val="32"/>
        </w:rPr>
      </w:pPr>
    </w:p>
    <w:p>
      <w:pPr>
        <w:spacing w:line="560" w:lineRule="exact"/>
        <w:ind w:firstLine="643" w:firstLineChars="200"/>
        <w:rPr>
          <w:rFonts w:ascii="宋体" w:hAnsi="宋体" w:cs="宋体"/>
          <w:b/>
          <w:color w:val="auto"/>
          <w:sz w:val="32"/>
          <w:szCs w:val="32"/>
        </w:rPr>
      </w:pPr>
    </w:p>
    <w:p>
      <w:pPr>
        <w:spacing w:line="560" w:lineRule="exact"/>
        <w:ind w:firstLine="643" w:firstLineChars="200"/>
        <w:jc w:val="center"/>
        <w:rPr>
          <w:rFonts w:ascii="宋体" w:hAnsi="宋体" w:cs="宋体"/>
          <w:b/>
          <w:color w:val="auto"/>
          <w:sz w:val="32"/>
          <w:szCs w:val="32"/>
        </w:rPr>
      </w:pPr>
    </w:p>
    <w:p>
      <w:pPr>
        <w:spacing w:line="560" w:lineRule="exact"/>
        <w:ind w:firstLine="643" w:firstLineChars="200"/>
        <w:jc w:val="center"/>
        <w:rPr>
          <w:rFonts w:ascii="宋体" w:hAnsi="宋体" w:cs="宋体"/>
          <w:b/>
          <w:color w:val="auto"/>
          <w:sz w:val="32"/>
          <w:szCs w:val="32"/>
        </w:rPr>
      </w:pPr>
    </w:p>
    <w:p>
      <w:pPr>
        <w:spacing w:line="560" w:lineRule="exact"/>
        <w:ind w:firstLine="880" w:firstLineChars="200"/>
        <w:rPr>
          <w:rFonts w:ascii="黑体" w:hAnsi="黑体" w:eastAsia="黑体" w:cs="黑体"/>
          <w:color w:val="auto"/>
          <w:sz w:val="44"/>
          <w:szCs w:val="44"/>
        </w:rPr>
      </w:pPr>
    </w:p>
    <w:p>
      <w:pPr>
        <w:spacing w:line="560" w:lineRule="exact"/>
        <w:jc w:val="center"/>
        <w:rPr>
          <w:rStyle w:val="25"/>
          <w:rFonts w:hint="default" w:cs="宋体"/>
          <w:bCs/>
          <w:color w:val="auto"/>
        </w:rPr>
      </w:pPr>
      <w:bookmarkStart w:id="0" w:name="_Toc32372"/>
      <w:r>
        <w:rPr>
          <w:rStyle w:val="25"/>
          <w:rFonts w:hint="default" w:cs="宋体"/>
          <w:bCs/>
          <w:color w:val="auto"/>
        </w:rPr>
        <w:t>深圳市罗湖区政府投资代建项目</w:t>
      </w:r>
    </w:p>
    <w:p>
      <w:pPr>
        <w:spacing w:line="560" w:lineRule="exact"/>
        <w:jc w:val="center"/>
        <w:rPr>
          <w:rStyle w:val="25"/>
          <w:rFonts w:hint="eastAsia" w:eastAsia="宋体" w:cs="宋体"/>
          <w:bCs/>
          <w:color w:val="auto"/>
          <w:lang w:eastAsia="zh-CN"/>
        </w:rPr>
        <w:sectPr>
          <w:footerReference r:id="rId3" w:type="default"/>
          <w:footerReference r:id="rId4" w:type="even"/>
          <w:type w:val="continuous"/>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Style w:val="25"/>
          <w:rFonts w:hint="default" w:cs="宋体"/>
          <w:bCs/>
          <w:color w:val="auto"/>
        </w:rPr>
        <w:t>实施细则</w:t>
      </w:r>
      <w:bookmarkEnd w:id="0"/>
      <w:r>
        <w:rPr>
          <w:rStyle w:val="25"/>
          <w:rFonts w:hint="eastAsia" w:cs="宋体"/>
          <w:bCs/>
          <w:color w:val="auto"/>
          <w:lang w:eastAsia="zh-CN"/>
        </w:rPr>
        <w:t>（征求意见稿）</w:t>
      </w:r>
    </w:p>
    <w:p>
      <w:pPr>
        <w:spacing w:line="560" w:lineRule="exact"/>
        <w:ind w:firstLine="640" w:firstLineChars="200"/>
        <w:jc w:val="center"/>
        <w:rPr>
          <w:rFonts w:ascii="黑体" w:hAnsi="黑体" w:eastAsia="黑体" w:cs="黑体"/>
          <w:bCs/>
          <w:color w:val="auto"/>
          <w:kern w:val="0"/>
          <w:sz w:val="32"/>
          <w:szCs w:val="32"/>
          <w:lang w:val="zh-CN"/>
        </w:rPr>
        <w:sectPr>
          <w:footerReference r:id="rId5" w:type="default"/>
          <w:type w:val="continuous"/>
          <w:pgSz w:w="11906" w:h="16838"/>
          <w:pgMar w:top="1814" w:right="1474" w:bottom="1814" w:left="1587" w:header="851" w:footer="992" w:gutter="0"/>
          <w:pgBorders>
            <w:top w:val="none" w:sz="0" w:space="0"/>
            <w:left w:val="none" w:sz="0" w:space="0"/>
            <w:bottom w:val="none" w:sz="0" w:space="0"/>
            <w:right w:val="none" w:sz="0" w:space="0"/>
          </w:pgBorders>
          <w:pgNumType w:start="1"/>
          <w:cols w:space="720" w:num="1"/>
          <w:docGrid w:type="lines" w:linePitch="312" w:charSpace="0"/>
        </w:sectPr>
      </w:pPr>
      <w:bookmarkStart w:id="1" w:name="_Toc11943"/>
    </w:p>
    <w:p>
      <w:pPr>
        <w:spacing w:line="560" w:lineRule="exact"/>
        <w:ind w:left="420"/>
        <w:jc w:val="center"/>
        <w:rPr>
          <w:rFonts w:ascii="Calibri" w:hAnsi="Calibri" w:eastAsia="宋体" w:cs="Times New Roman"/>
          <w:color w:val="auto"/>
          <w:kern w:val="2"/>
          <w:sz w:val="21"/>
          <w:szCs w:val="22"/>
          <w:lang w:val="en-US" w:eastAsia="zh-CN" w:bidi="ar-SA"/>
        </w:rPr>
      </w:pPr>
      <w:r>
        <w:rPr>
          <w:rFonts w:hint="eastAsia" w:ascii="黑体" w:hAnsi="黑体" w:eastAsia="黑体" w:cs="黑体"/>
          <w:bCs/>
          <w:color w:val="auto"/>
          <w:kern w:val="0"/>
          <w:sz w:val="32"/>
          <w:szCs w:val="32"/>
          <w:lang w:val="zh-CN"/>
        </w:rPr>
        <w:t>目</w:t>
      </w:r>
      <w:r>
        <w:rPr>
          <w:rFonts w:ascii="黑体" w:hAnsi="黑体" w:eastAsia="黑体" w:cs="黑体"/>
          <w:bCs/>
          <w:color w:val="auto"/>
          <w:kern w:val="0"/>
          <w:sz w:val="32"/>
          <w:szCs w:val="32"/>
        </w:rPr>
        <w:t xml:space="preserve"> </w:t>
      </w:r>
      <w:r>
        <w:rPr>
          <w:rFonts w:hint="eastAsia" w:ascii="黑体" w:hAnsi="黑体" w:eastAsia="黑体" w:cs="黑体"/>
          <w:bCs/>
          <w:color w:val="auto"/>
          <w:kern w:val="0"/>
          <w:sz w:val="32"/>
          <w:szCs w:val="32"/>
          <w:lang w:val="zh-CN"/>
        </w:rPr>
        <w:t>录</w:t>
      </w:r>
      <w:bookmarkEnd w:id="1"/>
      <w:bookmarkStart w:id="2" w:name="_Toc29896"/>
      <w:r>
        <w:rPr>
          <w:color w:val="auto"/>
        </w:rPr>
        <w:fldChar w:fldCharType="begin"/>
      </w:r>
      <w:r>
        <w:rPr>
          <w:color w:val="auto"/>
        </w:rPr>
        <w:instrText xml:space="preserve">TOC \o "1-3" \h \u </w:instrText>
      </w:r>
      <w:r>
        <w:rPr>
          <w:color w:val="auto"/>
        </w:rPr>
        <w:fldChar w:fldCharType="separate"/>
      </w:r>
    </w:p>
    <w:p>
      <w:pPr>
        <w:pStyle w:val="12"/>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_Toc176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rPr>
        <w:t>第一章 总则</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_Toc176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- 1 -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2"/>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_Toc3255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rPr>
        <w:t>第二章 代建决策阶段</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_Toc3255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- 1 -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2"/>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_Toc5584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rPr>
        <w:t>第三章 代建单位的选择</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_Toc5584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- 3 -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2"/>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_Toc14375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rPr>
        <w:t>第四章 代建单位的进入</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_Toc14375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- 5 -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2"/>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_Toc2222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rPr>
        <w:t>第五章 施工阶段</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_Toc2222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- 9 -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2"/>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_Toc24356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rPr>
        <w:t>第六章 委托、代建、监理的职责分工</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_Toc24356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- 12 -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2"/>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_Toc30608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rPr>
        <w:t>第七章 竣工和保修阶段</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_Toc30608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- 22 -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2"/>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_Toc16153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rPr>
        <w:t>第八章 履约考核</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_Toc16153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- 24 -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2"/>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_Toc18819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rPr>
        <w:t>第九章 附则</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_Toc18819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- 29 -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8"/>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_Toc3301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rPr>
        <w:t>附件1：全过程代建的适用项目类型表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_Toc3301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- 30 -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8"/>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_Toc18899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附件2：代建管理费总额控制数费率表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_Toc18899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- 32 -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8"/>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_Toc12543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附件3：代建项目履约考核表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_Toc12543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- 33 -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8"/>
        <w:tabs>
          <w:tab w:val="right" w:leader="dot" w:pos="8845"/>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_Toc18436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附件4：各级建筑工程奖项名单</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_Toc18436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- 38 -</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spacing w:line="560" w:lineRule="exact"/>
        <w:ind w:left="420"/>
        <w:jc w:val="center"/>
        <w:rPr>
          <w:color w:val="auto"/>
        </w:rPr>
      </w:pPr>
      <w:r>
        <w:rPr>
          <w:color w:val="auto"/>
        </w:rPr>
        <w:fldChar w:fldCharType="end"/>
      </w:r>
    </w:p>
    <w:bookmarkEnd w:id="2"/>
    <w:p>
      <w:pPr>
        <w:spacing w:line="560" w:lineRule="exact"/>
        <w:rPr>
          <w:rStyle w:val="20"/>
          <w:rFonts w:hint="default" w:ascii="Times New Roman" w:hAnsi="Times New Roman"/>
          <w:color w:val="auto"/>
        </w:rPr>
      </w:pPr>
    </w:p>
    <w:p>
      <w:pPr>
        <w:spacing w:line="560" w:lineRule="exact"/>
        <w:ind w:firstLine="640" w:firstLineChars="200"/>
        <w:rPr>
          <w:rStyle w:val="20"/>
          <w:rFonts w:hint="default" w:ascii="Times New Roman" w:hAnsi="Times New Roman"/>
          <w:color w:val="auto"/>
        </w:rPr>
        <w:sectPr>
          <w:footerReference r:id="rId6" w:type="default"/>
          <w:footerReference r:id="rId7" w:type="even"/>
          <w:pgSz w:w="11906" w:h="16838"/>
          <w:pgMar w:top="1814" w:right="1474" w:bottom="1814" w:left="1587" w:header="851" w:footer="992" w:gutter="0"/>
          <w:pgBorders>
            <w:top w:val="none" w:sz="0" w:space="0"/>
            <w:left w:val="none" w:sz="0" w:space="0"/>
            <w:bottom w:val="none" w:sz="0" w:space="0"/>
            <w:right w:val="none" w:sz="0" w:space="0"/>
          </w:pgBorders>
          <w:pgNumType w:fmt="numberInDash" w:start="1"/>
          <w:cols w:space="720" w:num="1"/>
          <w:docGrid w:type="lines" w:linePitch="312" w:charSpace="0"/>
        </w:sectPr>
      </w:pPr>
    </w:p>
    <w:p>
      <w:pPr>
        <w:numPr>
          <w:ilvl w:val="0"/>
          <w:numId w:val="2"/>
        </w:numPr>
        <w:spacing w:before="156" w:beforeLines="50" w:after="156" w:afterLines="50" w:line="560" w:lineRule="exact"/>
        <w:jc w:val="center"/>
        <w:outlineLvl w:val="0"/>
        <w:rPr>
          <w:rFonts w:ascii="黑体" w:hAnsi="黑体" w:eastAsia="黑体" w:cs="黑体"/>
          <w:bCs/>
          <w:color w:val="auto"/>
          <w:sz w:val="30"/>
          <w:szCs w:val="30"/>
        </w:rPr>
      </w:pPr>
      <w:bookmarkStart w:id="3" w:name="_Toc3540"/>
      <w:bookmarkStart w:id="4" w:name="_Toc176"/>
      <w:r>
        <w:rPr>
          <w:rFonts w:hint="eastAsia" w:ascii="黑体" w:hAnsi="黑体" w:eastAsia="黑体" w:cs="黑体"/>
          <w:bCs/>
          <w:color w:val="auto"/>
          <w:sz w:val="32"/>
          <w:szCs w:val="32"/>
        </w:rPr>
        <w:t>总则</w:t>
      </w:r>
      <w:bookmarkEnd w:id="3"/>
      <w:bookmarkEnd w:id="4"/>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【依据】为进一步规范政府投资项目管理，提高政府投资项目的建设管理水平和投资效益，积极落实《国务院办公厅关于促进建筑业持续健康发展的意见》（国办发</w:t>
      </w:r>
      <w:r>
        <w:rPr>
          <w:rStyle w:val="26"/>
          <w:rFonts w:hint="default"/>
          <w:color w:val="auto"/>
        </w:rPr>
        <w:t>〔2017〕</w:t>
      </w:r>
      <w:r>
        <w:rPr>
          <w:rStyle w:val="20"/>
          <w:rFonts w:hint="default" w:cs="仿宋_GB2312"/>
          <w:color w:val="auto"/>
        </w:rPr>
        <w:t>19</w:t>
      </w:r>
      <w:r>
        <w:rPr>
          <w:rStyle w:val="20"/>
          <w:rFonts w:hint="default" w:ascii="Times New Roman" w:hAnsi="Times New Roman"/>
          <w:color w:val="auto"/>
        </w:rPr>
        <w:t>号），本细则以《罗湖区政府投资项目代建制管理办法》（下称《管理办法》）及相关法律法规、标准为依据，结合罗湖区代建活动的实际进行编制，以帮助代建项目各参与方系统地认识代建项目各阶段工作程序，厘清各方的责任和义务。</w:t>
      </w:r>
    </w:p>
    <w:p>
      <w:pPr>
        <w:tabs>
          <w:tab w:val="left" w:pos="0"/>
        </w:tabs>
        <w:spacing w:line="560" w:lineRule="exact"/>
        <w:ind w:left="640"/>
        <w:rPr>
          <w:rStyle w:val="20"/>
          <w:rFonts w:hint="default" w:ascii="Times New Roman" w:hAnsi="Times New Roman"/>
          <w:color w:val="auto"/>
        </w:rPr>
      </w:pPr>
    </w:p>
    <w:p>
      <w:pPr>
        <w:numPr>
          <w:ilvl w:val="0"/>
          <w:numId w:val="2"/>
        </w:numPr>
        <w:spacing w:before="156" w:beforeLines="50" w:after="156" w:afterLines="50" w:line="560" w:lineRule="exact"/>
        <w:jc w:val="center"/>
        <w:outlineLvl w:val="0"/>
        <w:rPr>
          <w:rFonts w:ascii="黑体" w:hAnsi="黑体" w:eastAsia="黑体" w:cs="黑体"/>
          <w:bCs/>
          <w:color w:val="auto"/>
          <w:sz w:val="32"/>
          <w:szCs w:val="32"/>
        </w:rPr>
      </w:pPr>
      <w:bookmarkStart w:id="5" w:name="_Toc3255"/>
      <w:bookmarkStart w:id="6" w:name="_Toc32194"/>
      <w:r>
        <w:rPr>
          <w:rFonts w:hint="eastAsia" w:ascii="黑体" w:hAnsi="黑体" w:eastAsia="黑体" w:cs="黑体"/>
          <w:bCs/>
          <w:color w:val="auto"/>
          <w:sz w:val="32"/>
          <w:szCs w:val="32"/>
        </w:rPr>
        <w:t>代建决策阶段</w:t>
      </w:r>
      <w:bookmarkEnd w:id="5"/>
      <w:bookmarkEnd w:id="6"/>
    </w:p>
    <w:p>
      <w:pPr>
        <w:numPr>
          <w:ilvl w:val="0"/>
          <w:numId w:val="3"/>
        </w:numPr>
        <w:spacing w:line="560" w:lineRule="exact"/>
        <w:ind w:firstLine="640" w:firstLineChars="200"/>
        <w:rPr>
          <w:rStyle w:val="26"/>
          <w:rFonts w:hint="default"/>
          <w:color w:val="auto"/>
        </w:rPr>
      </w:pPr>
      <w:r>
        <w:rPr>
          <w:rStyle w:val="26"/>
          <w:rFonts w:hint="default"/>
          <w:bCs/>
          <w:color w:val="auto"/>
        </w:rPr>
        <w:t>【适用范围】</w:t>
      </w:r>
      <w:r>
        <w:rPr>
          <w:rStyle w:val="42"/>
          <w:rFonts w:hint="eastAsia"/>
          <w:color w:val="auto"/>
          <w:lang w:bidi="ar"/>
        </w:rPr>
        <w:t>代建意向在</w:t>
      </w:r>
      <w:r>
        <w:rPr>
          <w:rStyle w:val="26"/>
          <w:rFonts w:hint="default"/>
          <w:bCs/>
          <w:color w:val="auto"/>
        </w:rPr>
        <w:t>项目立项后或立项时由建设单位一并提出，经区发展改革局审核后，按程序报批后开展下一阶段工作</w:t>
      </w:r>
      <w:r>
        <w:rPr>
          <w:rStyle w:val="26"/>
          <w:rFonts w:hint="default"/>
          <w:color w:val="auto"/>
        </w:rPr>
        <w:t>。</w:t>
      </w:r>
      <w:r>
        <w:rPr>
          <w:rStyle w:val="20"/>
          <w:rFonts w:hint="default" w:ascii="Times New Roman" w:hAnsi="Times New Roman"/>
          <w:color w:val="auto"/>
        </w:rPr>
        <w:t>区发展改革局依据《管理办法》的第一章</w:t>
      </w:r>
      <w:r>
        <w:rPr>
          <w:rStyle w:val="26"/>
          <w:rFonts w:hint="default"/>
          <w:color w:val="auto"/>
        </w:rPr>
        <w:t>第三条、第四条及第七条的规定审核是否采取代建制：</w:t>
      </w:r>
    </w:p>
    <w:p>
      <w:pPr>
        <w:numPr>
          <w:ilvl w:val="0"/>
          <w:numId w:val="4"/>
        </w:numPr>
        <w:spacing w:line="560" w:lineRule="exact"/>
        <w:ind w:firstLine="640" w:firstLineChars="200"/>
        <w:rPr>
          <w:rFonts w:hint="eastAsia" w:ascii="仿宋_GB2312" w:hAnsi="仿宋_GB2312" w:eastAsia="仿宋_GB2312" w:cs="仿宋_GB2312"/>
          <w:bCs/>
          <w:color w:val="auto"/>
          <w:sz w:val="32"/>
          <w:szCs w:val="32"/>
        </w:rPr>
      </w:pPr>
      <w:r>
        <w:rPr>
          <w:rStyle w:val="26"/>
          <w:rFonts w:hint="eastAsia" w:hAnsi="仿宋_GB2312" w:cs="仿宋_GB2312"/>
          <w:bCs/>
          <w:color w:val="auto"/>
        </w:rPr>
        <w:t>满足“与城市更新单元范围相邻”</w:t>
      </w:r>
      <w:r>
        <w:rPr>
          <w:rStyle w:val="26"/>
          <w:rFonts w:hint="eastAsia" w:ascii="仿宋_GB2312" w:hAnsi="仿宋_GB2312" w:cs="仿宋_GB2312"/>
          <w:bCs/>
          <w:color w:val="auto"/>
        </w:rPr>
        <w:t>或“与社会投资建设项目红线紧邻，需与该社会投资项目同步建设，且应由政府投资建设”条件之一的市政基础设施和公共配套设施项目，可以初步认定为零代建项目</w:t>
      </w:r>
      <w:r>
        <w:rPr>
          <w:rStyle w:val="20"/>
          <w:rFonts w:hint="eastAsia" w:ascii="仿宋_GB2312" w:hAnsi="仿宋_GB2312" w:cs="仿宋_GB2312"/>
          <w:color w:val="auto"/>
        </w:rPr>
        <w:t>。</w:t>
      </w:r>
    </w:p>
    <w:p>
      <w:pPr>
        <w:numPr>
          <w:ilvl w:val="0"/>
          <w:numId w:val="4"/>
        </w:numPr>
        <w:spacing w:line="560" w:lineRule="exact"/>
        <w:ind w:firstLine="640" w:firstLineChars="200"/>
        <w:rPr>
          <w:rFonts w:ascii="仿宋" w:hAnsi="仿宋" w:eastAsia="仿宋" w:cs="仿宋"/>
          <w:bCs/>
          <w:color w:val="auto"/>
          <w:sz w:val="32"/>
          <w:szCs w:val="32"/>
        </w:rPr>
      </w:pPr>
      <w:r>
        <w:rPr>
          <w:rStyle w:val="20"/>
          <w:rFonts w:hint="eastAsia" w:ascii="仿宋_GB2312" w:hAnsi="仿宋_GB2312" w:cs="仿宋_GB2312"/>
          <w:color w:val="auto"/>
        </w:rPr>
        <w:t>同时</w:t>
      </w:r>
      <w:r>
        <w:rPr>
          <w:rStyle w:val="26"/>
          <w:rFonts w:hint="eastAsia" w:ascii="仿宋_GB2312" w:hAnsi="仿宋_GB2312" w:cs="仿宋_GB2312"/>
          <w:bCs/>
          <w:color w:val="auto"/>
        </w:rPr>
        <w:t>满足“</w:t>
      </w:r>
      <w:r>
        <w:rPr>
          <w:rStyle w:val="26"/>
          <w:rFonts w:hint="eastAsia" w:hAnsi="仿宋_GB2312" w:cs="仿宋_GB2312"/>
          <w:bCs/>
          <w:color w:val="auto"/>
        </w:rPr>
        <w:t>位于城市重要地区、重要节点的环保水务、市容绿化、市政交通、城市医疗、教育及其他大型公共建筑类政府投资项目</w:t>
      </w:r>
      <w:r>
        <w:rPr>
          <w:rStyle w:val="26"/>
          <w:rFonts w:hint="eastAsia" w:ascii="仿宋_GB2312" w:hAnsi="仿宋_GB2312" w:cs="仿宋_GB2312"/>
          <w:bCs/>
          <w:color w:val="auto"/>
        </w:rPr>
        <w:t>”</w:t>
      </w:r>
      <w:r>
        <w:rPr>
          <w:rStyle w:val="26"/>
          <w:rFonts w:hint="eastAsia" w:hAnsi="仿宋_GB2312" w:cs="仿宋_GB2312"/>
          <w:bCs/>
          <w:color w:val="auto"/>
        </w:rPr>
        <w:t>、“</w:t>
      </w:r>
      <w:r>
        <w:rPr>
          <w:rStyle w:val="26"/>
          <w:rFonts w:hint="eastAsia" w:ascii="仿宋_GB2312" w:hAnsi="仿宋_GB2312" w:cs="仿宋_GB2312"/>
          <w:bCs/>
          <w:color w:val="auto"/>
        </w:rPr>
        <w:t>总投资规模2.5亿元以上</w:t>
      </w:r>
      <w:r>
        <w:rPr>
          <w:rStyle w:val="26"/>
          <w:rFonts w:hint="eastAsia" w:hAnsi="仿宋_GB2312" w:cs="仿宋_GB2312"/>
          <w:bCs/>
          <w:color w:val="auto"/>
        </w:rPr>
        <w:t>”</w:t>
      </w:r>
      <w:r>
        <w:rPr>
          <w:rStyle w:val="26"/>
          <w:rFonts w:hint="eastAsia" w:ascii="仿宋_GB2312" w:hAnsi="仿宋_GB2312" w:cs="仿宋_GB2312"/>
          <w:bCs/>
          <w:color w:val="auto"/>
        </w:rPr>
        <w:t>的</w:t>
      </w:r>
      <w:r>
        <w:rPr>
          <w:rStyle w:val="20"/>
          <w:rFonts w:hint="eastAsia" w:ascii="仿宋_GB2312" w:hAnsi="仿宋_GB2312" w:cs="仿宋_GB2312"/>
          <w:color w:val="auto"/>
        </w:rPr>
        <w:t>项目，</w:t>
      </w:r>
      <w:r>
        <w:rPr>
          <w:rStyle w:val="20"/>
          <w:rFonts w:hint="default" w:ascii="Times New Roman" w:hAnsi="Times New Roman"/>
          <w:color w:val="auto"/>
        </w:rPr>
        <w:t>可以初步认定为非零代建项目。</w:t>
      </w:r>
    </w:p>
    <w:p>
      <w:pPr>
        <w:numPr>
          <w:ilvl w:val="0"/>
          <w:numId w:val="4"/>
        </w:numPr>
        <w:spacing w:line="560" w:lineRule="exact"/>
        <w:ind w:firstLine="640" w:firstLineChars="200"/>
        <w:rPr>
          <w:rFonts w:ascii="仿宋" w:hAnsi="仿宋" w:eastAsia="仿宋" w:cs="仿宋"/>
          <w:bCs/>
          <w:color w:val="auto"/>
          <w:sz w:val="32"/>
          <w:szCs w:val="32"/>
        </w:rPr>
      </w:pPr>
      <w:r>
        <w:rPr>
          <w:rStyle w:val="20"/>
          <w:rFonts w:hint="default" w:ascii="Times New Roman" w:hAnsi="Times New Roman"/>
          <w:color w:val="auto"/>
        </w:rPr>
        <w:t>医疗设备与信息化工程项目，多个单项工程之间区域分布广、内在联系弱、协同难度高的群体工程，不宜采取代建制。内在联系需根据建设标准的统筹要求、功能定位的互补关系、物理空间的交叉联系、建设时序的先后安排等条件进行综合判断。</w:t>
      </w:r>
    </w:p>
    <w:p>
      <w:pPr>
        <w:numPr>
          <w:ilvl w:val="0"/>
          <w:numId w:val="4"/>
        </w:numPr>
        <w:spacing w:line="560" w:lineRule="exact"/>
        <w:ind w:firstLine="640" w:firstLineChars="200"/>
        <w:rPr>
          <w:rFonts w:ascii="仿宋" w:hAnsi="仿宋" w:eastAsia="仿宋" w:cs="仿宋"/>
          <w:bCs/>
          <w:color w:val="auto"/>
          <w:sz w:val="32"/>
          <w:szCs w:val="32"/>
        </w:rPr>
      </w:pPr>
      <w:r>
        <w:rPr>
          <w:rStyle w:val="26"/>
          <w:rFonts w:hint="default"/>
          <w:color w:val="auto"/>
        </w:rPr>
        <w:t>不符合（1）、（2）、（3）要求的项目，在征求相关单位意见并经过充分讨论后，经区政府常务会议议定，也可以按议定要求实施代建制。</w:t>
      </w:r>
    </w:p>
    <w:p>
      <w:pPr>
        <w:numPr>
          <w:ilvl w:val="0"/>
          <w:numId w:val="4"/>
        </w:numPr>
        <w:spacing w:line="560" w:lineRule="exact"/>
        <w:ind w:firstLine="640" w:firstLineChars="200"/>
        <w:rPr>
          <w:rStyle w:val="20"/>
          <w:rFonts w:hint="default" w:cs="仿宋_GB2312"/>
          <w:color w:val="auto"/>
        </w:rPr>
      </w:pPr>
      <w:r>
        <w:rPr>
          <w:rStyle w:val="20"/>
          <w:rFonts w:hint="default" w:ascii="Times New Roman" w:hAnsi="Times New Roman"/>
          <w:color w:val="auto"/>
        </w:rPr>
        <w:t>功能和技</w:t>
      </w:r>
      <w:r>
        <w:rPr>
          <w:rStyle w:val="20"/>
          <w:rFonts w:hint="default" w:cs="仿宋_GB2312"/>
          <w:color w:val="auto"/>
        </w:rPr>
        <w:t>术要求复杂的重大建设项目，可以实施全过程代建。全过程代建的适用项目类型参见附件1，区政府另定的除外。</w:t>
      </w:r>
    </w:p>
    <w:p>
      <w:pPr>
        <w:numPr>
          <w:ilvl w:val="0"/>
          <w:numId w:val="4"/>
        </w:numPr>
        <w:spacing w:line="560" w:lineRule="exact"/>
        <w:ind w:firstLine="640" w:firstLineChars="200"/>
        <w:rPr>
          <w:rStyle w:val="20"/>
          <w:rFonts w:hint="default" w:ascii="Times New Roman" w:hAnsi="Times New Roman"/>
          <w:color w:val="auto"/>
        </w:rPr>
      </w:pPr>
      <w:r>
        <w:rPr>
          <w:rStyle w:val="20"/>
          <w:rFonts w:hint="default" w:cs="仿宋_GB2312"/>
          <w:color w:val="auto"/>
        </w:rPr>
        <w:t>除本条（5）规定的情况外，代建项</w:t>
      </w:r>
      <w:r>
        <w:rPr>
          <w:rStyle w:val="20"/>
          <w:rFonts w:hint="default" w:ascii="Times New Roman" w:hAnsi="Times New Roman"/>
          <w:color w:val="auto"/>
        </w:rPr>
        <w:t>目原则上采取施工代建。</w:t>
      </w:r>
    </w:p>
    <w:p>
      <w:pPr>
        <w:numPr>
          <w:ilvl w:val="0"/>
          <w:numId w:val="3"/>
        </w:numPr>
        <w:shd w:val="clear" w:color="auto" w:fill="FFFFFF"/>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委托单位确定】代建项目原则上由项目建设单位作为代建委托单位，确需调整的由区发展改革局提出报分管建设单位、区发展改革局的副区长批准后，予以调整。项目建设单位的划分按罗湖区政府投资项目全过程管理办法执行。</w:t>
      </w:r>
    </w:p>
    <w:p>
      <w:pPr>
        <w:numPr>
          <w:ilvl w:val="0"/>
          <w:numId w:val="3"/>
        </w:numPr>
        <w:shd w:val="clear" w:color="auto" w:fill="FFFFFF"/>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【全过程代建实施】实施全过程代建的项目，代建意向批准后，由委托单位编制全过程代建方案，通过公开招标方式选择全过程代建单位实行全过程管理，直至缺陷责任期</w:t>
      </w:r>
      <w:r>
        <w:rPr>
          <w:rStyle w:val="20"/>
          <w:rFonts w:hint="default" w:cs="仿宋_GB2312"/>
          <w:color w:val="auto"/>
        </w:rPr>
        <w:t>结束。缺陷责任期从工程通过竣工验收之日起计，缺陷责任期一般为1年，最长不超过2年，具体在代建合同中约定。</w:t>
      </w:r>
    </w:p>
    <w:p>
      <w:pPr>
        <w:numPr>
          <w:ilvl w:val="0"/>
          <w:numId w:val="3"/>
        </w:numPr>
        <w:shd w:val="clear" w:color="auto" w:fill="FFFFFF"/>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【代建方案】实施施工代建的项目，可行性研究报告批复后委托单位会同区前期部门、项目</w:t>
      </w:r>
      <w:r>
        <w:rPr>
          <w:rStyle w:val="20"/>
          <w:rFonts w:hint="default" w:ascii="Times New Roman" w:hAnsi="Times New Roman"/>
          <w:color w:val="auto"/>
          <w:lang w:val="en"/>
        </w:rPr>
        <w:t>使用单位</w:t>
      </w:r>
      <w:r>
        <w:rPr>
          <w:rStyle w:val="20"/>
          <w:rFonts w:hint="default" w:ascii="Times New Roman" w:hAnsi="Times New Roman"/>
          <w:color w:val="auto"/>
        </w:rPr>
        <w:t>参照《罗湖区政府投资项目委托代建方案示范文本》编制施工代建方案，由区发展改革局审核，按程序提请区政府常务会议批准后实施。</w:t>
      </w:r>
      <w:bookmarkStart w:id="7" w:name="_Toc25875"/>
    </w:p>
    <w:p>
      <w:pPr>
        <w:tabs>
          <w:tab w:val="left" w:pos="0"/>
        </w:tabs>
        <w:spacing w:line="560" w:lineRule="exact"/>
        <w:rPr>
          <w:rStyle w:val="20"/>
          <w:rFonts w:hint="default" w:ascii="Times New Roman" w:hAnsi="Times New Roman"/>
          <w:color w:val="auto"/>
        </w:rPr>
      </w:pPr>
    </w:p>
    <w:p>
      <w:pPr>
        <w:numPr>
          <w:ilvl w:val="0"/>
          <w:numId w:val="2"/>
        </w:numPr>
        <w:spacing w:before="156" w:beforeLines="50" w:after="156" w:afterLines="50" w:line="560" w:lineRule="exact"/>
        <w:jc w:val="center"/>
        <w:outlineLvl w:val="0"/>
        <w:rPr>
          <w:rFonts w:ascii="黑体" w:hAnsi="黑体" w:eastAsia="黑体" w:cs="黑体"/>
          <w:bCs/>
          <w:color w:val="auto"/>
          <w:sz w:val="32"/>
          <w:szCs w:val="32"/>
        </w:rPr>
      </w:pPr>
      <w:bookmarkStart w:id="8" w:name="_Toc5584"/>
      <w:bookmarkStart w:id="9" w:name="_Toc22869"/>
      <w:r>
        <w:rPr>
          <w:rFonts w:hint="eastAsia" w:ascii="黑体" w:hAnsi="黑体" w:eastAsia="黑体" w:cs="黑体"/>
          <w:bCs/>
          <w:color w:val="auto"/>
          <w:sz w:val="32"/>
          <w:szCs w:val="32"/>
        </w:rPr>
        <w:t>代建单位的选择</w:t>
      </w:r>
      <w:bookmarkEnd w:id="7"/>
      <w:bookmarkEnd w:id="8"/>
      <w:bookmarkEnd w:id="9"/>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【选择方式】委托单位在代建方案批复后开始进行代建单位的选择，代建单位的选择方式在代建方案中确定。</w:t>
      </w:r>
    </w:p>
    <w:p>
      <w:pPr>
        <w:numPr>
          <w:ilvl w:val="255"/>
          <w:numId w:val="0"/>
        </w:numPr>
        <w:tabs>
          <w:tab w:val="left" w:pos="0"/>
        </w:tabs>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代建项目（零代建项目除外）选取代建单位的主要方式是公开招标。</w:t>
      </w:r>
    </w:p>
    <w:p>
      <w:pPr>
        <w:numPr>
          <w:ilvl w:val="255"/>
          <w:numId w:val="0"/>
        </w:numPr>
        <w:tabs>
          <w:tab w:val="left" w:pos="0"/>
        </w:tabs>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零代建项目可采取直接委托方式确定代建单位，由委托单位在代建方案中提出，</w:t>
      </w:r>
      <w:r>
        <w:rPr>
          <w:rStyle w:val="26"/>
          <w:rFonts w:hint="default"/>
          <w:color w:val="auto"/>
        </w:rPr>
        <w:t>经区发展改革局审核后，报</w:t>
      </w:r>
      <w:r>
        <w:rPr>
          <w:rStyle w:val="20"/>
          <w:rFonts w:hint="default" w:ascii="Times New Roman" w:hAnsi="Times New Roman"/>
          <w:color w:val="auto"/>
        </w:rPr>
        <w:t>区政府常务会议批准后实施。</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【全过程代建的招标文件】采取全过程代建的，委托单位将项目管理、勘察、设计、造价等咨询服务纳入代建单位合同范围的，应在招标文件中载明，相关服务事项费用以中标价为准。但</w:t>
      </w:r>
      <w:r>
        <w:rPr>
          <w:rStyle w:val="26"/>
          <w:rFonts w:hint="default"/>
          <w:color w:val="auto"/>
        </w:rPr>
        <w:t>招标文件中不得强制要求代建单位必须具备勘察、设计、监理或造价咨询等资质条件。中标的代建单位必须具有与工程规模及委托内容相适应的资质条件，方可承担勘察、设计或造价等咨询服务。</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招标准备】委托单位应编制描述代建项目的书面文件，并作为招标文件的组成部分。文件内容包括但不限于项目概况、项目范围、代建内容、投资控制要求、工期要求、质量安全要求、工程技术要求、投标报价要求、代建合同等。</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【原始资料】委托单位应将与代建项目有关的原始资料进行汇总，并将其提供给投标单位作为参考。</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【定标方式】代建项目定标原则上采用票决定标法、票决抽签定标法或集体议事法。采用票决定标法或集体议事法定标的，应当组建定标委员会。</w:t>
      </w:r>
    </w:p>
    <w:p>
      <w:pPr>
        <w:numPr>
          <w:ilvl w:val="0"/>
          <w:numId w:val="3"/>
        </w:numPr>
        <w:spacing w:line="560" w:lineRule="exact"/>
        <w:ind w:firstLine="640" w:firstLineChars="200"/>
        <w:rPr>
          <w:rFonts w:ascii="宋体" w:hAnsi="宋体"/>
          <w:color w:val="auto"/>
          <w:sz w:val="24"/>
        </w:rPr>
      </w:pPr>
      <w:r>
        <w:rPr>
          <w:rStyle w:val="20"/>
          <w:rFonts w:hint="default" w:ascii="Times New Roman" w:hAnsi="Times New Roman"/>
          <w:color w:val="auto"/>
        </w:rPr>
        <w:t>【代建项目实施主体】代建单位不得将业务交由与代建单位存在关联关系的其他单位代为实施。代建项目的招标可适当降低资质门槛要求，加强代建管理团队和人员的评审。</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【准入条件】代建单位的基本资格要求如下：</w:t>
      </w:r>
    </w:p>
    <w:p>
      <w:pPr>
        <w:numPr>
          <w:ilvl w:val="0"/>
          <w:numId w:val="5"/>
        </w:numPr>
        <w:spacing w:line="560" w:lineRule="exact"/>
        <w:ind w:firstLine="640" w:firstLineChars="200"/>
        <w:rPr>
          <w:rStyle w:val="20"/>
          <w:rFonts w:hint="default" w:cs="仿宋_GB2312"/>
          <w:color w:val="auto"/>
        </w:rPr>
      </w:pPr>
      <w:r>
        <w:rPr>
          <w:rStyle w:val="20"/>
          <w:rFonts w:hint="default" w:cs="仿宋_GB2312"/>
          <w:color w:val="auto"/>
        </w:rPr>
        <w:t>代建单位的资格要求包括但不限于代建单位具备的能</w:t>
      </w:r>
      <w:r>
        <w:rPr>
          <w:rFonts w:hint="eastAsia" w:ascii="仿宋_GB2312" w:hAnsi="仿宋_GB2312" w:eastAsia="仿宋_GB2312" w:cs="仿宋_GB2312"/>
          <w:color w:val="auto"/>
          <w:sz w:val="32"/>
          <w:szCs w:val="32"/>
        </w:rPr>
        <w:t>力要求</w:t>
      </w:r>
      <w:r>
        <w:rPr>
          <w:rStyle w:val="20"/>
          <w:rFonts w:hint="default" w:cs="仿宋_GB2312"/>
          <w:color w:val="auto"/>
        </w:rPr>
        <w:t>、资质要求、业绩要求、信誉要求、财务要求和人员配备要求。</w:t>
      </w:r>
    </w:p>
    <w:p>
      <w:pPr>
        <w:numPr>
          <w:ilvl w:val="0"/>
          <w:numId w:val="5"/>
        </w:numPr>
        <w:spacing w:line="560" w:lineRule="exact"/>
        <w:ind w:firstLine="640" w:firstLineChars="200"/>
        <w:rPr>
          <w:rStyle w:val="20"/>
          <w:rFonts w:hint="default" w:cs="仿宋_GB2312"/>
          <w:color w:val="auto"/>
        </w:rPr>
      </w:pPr>
      <w:r>
        <w:rPr>
          <w:rStyle w:val="20"/>
          <w:rFonts w:hint="default" w:cs="仿宋_GB2312"/>
          <w:color w:val="auto"/>
        </w:rPr>
        <w:t>代建单位的人员配备要求包括人员数量、专业配置、职能分工等内容，应避免出现项目负责人身兼多个建设项目无法良好履约责任的情况。</w:t>
      </w:r>
    </w:p>
    <w:p>
      <w:pPr>
        <w:numPr>
          <w:ilvl w:val="0"/>
          <w:numId w:val="5"/>
        </w:numPr>
        <w:spacing w:line="560" w:lineRule="exact"/>
        <w:ind w:firstLine="640" w:firstLineChars="200"/>
        <w:rPr>
          <w:rStyle w:val="20"/>
          <w:rFonts w:hint="default" w:cs="仿宋_GB2312"/>
          <w:color w:val="auto"/>
        </w:rPr>
      </w:pPr>
      <w:r>
        <w:rPr>
          <w:rStyle w:val="20"/>
          <w:rFonts w:hint="default" w:cs="仿宋_GB2312"/>
          <w:color w:val="auto"/>
        </w:rPr>
        <w:t>原则上应要求代建单位提交项目管理方案，并评估其可行性和合理性。项目管理方案包括但不限于：项目管理的工作内容；项目管理目标和管理制度；项目管理的组织架构；代建项目时间计划安排；投资控制、进度控制、质量安全控制、信息管理、风险管理的方法；对监理单位、施工单位的管理制度。</w:t>
      </w:r>
    </w:p>
    <w:p>
      <w:pPr>
        <w:numPr>
          <w:ilvl w:val="0"/>
          <w:numId w:val="5"/>
        </w:numPr>
        <w:spacing w:line="560" w:lineRule="exact"/>
        <w:ind w:firstLine="640" w:firstLineChars="200"/>
        <w:rPr>
          <w:rStyle w:val="20"/>
          <w:rFonts w:hint="default" w:cs="仿宋_GB2312"/>
          <w:color w:val="auto"/>
        </w:rPr>
      </w:pPr>
      <w:r>
        <w:rPr>
          <w:rStyle w:val="20"/>
          <w:rFonts w:hint="default" w:cs="仿宋_GB2312"/>
          <w:color w:val="auto"/>
        </w:rPr>
        <w:t>原则上不接受联合体形式。</w:t>
      </w:r>
    </w:p>
    <w:p>
      <w:pPr>
        <w:widowControl/>
        <w:numPr>
          <w:ilvl w:val="0"/>
          <w:numId w:val="5"/>
        </w:numPr>
        <w:spacing w:line="560" w:lineRule="exact"/>
        <w:ind w:firstLine="640" w:firstLineChars="200"/>
        <w:jc w:val="left"/>
        <w:rPr>
          <w:rStyle w:val="20"/>
          <w:rFonts w:hint="default" w:cs="仿宋_GB2312"/>
          <w:color w:val="auto"/>
        </w:rPr>
      </w:pPr>
      <w:r>
        <w:rPr>
          <w:rStyle w:val="20"/>
          <w:rFonts w:hint="default" w:cs="仿宋_GB2312"/>
          <w:color w:val="auto"/>
        </w:rPr>
        <w:t>不允许转包和分包代建项目工作内容。</w:t>
      </w:r>
      <w:bookmarkStart w:id="10" w:name="_Toc17948"/>
    </w:p>
    <w:p>
      <w:pPr>
        <w:widowControl/>
        <w:numPr>
          <w:ilvl w:val="255"/>
          <w:numId w:val="0"/>
        </w:numPr>
        <w:spacing w:line="560" w:lineRule="exact"/>
        <w:ind w:firstLine="0" w:firstLineChars="0"/>
        <w:jc w:val="left"/>
        <w:rPr>
          <w:rStyle w:val="20"/>
          <w:rFonts w:hint="default" w:cs="仿宋_GB2312"/>
          <w:color w:val="auto"/>
        </w:rPr>
      </w:pPr>
    </w:p>
    <w:p>
      <w:pPr>
        <w:numPr>
          <w:ilvl w:val="0"/>
          <w:numId w:val="2"/>
        </w:numPr>
        <w:spacing w:before="156" w:beforeLines="50" w:after="156" w:afterLines="50" w:line="560" w:lineRule="exact"/>
        <w:jc w:val="center"/>
        <w:outlineLvl w:val="0"/>
        <w:rPr>
          <w:rFonts w:ascii="黑体" w:hAnsi="黑体" w:eastAsia="黑体" w:cs="黑体"/>
          <w:bCs/>
          <w:color w:val="auto"/>
          <w:sz w:val="32"/>
          <w:szCs w:val="32"/>
        </w:rPr>
      </w:pPr>
      <w:bookmarkStart w:id="11" w:name="_Toc14375"/>
      <w:bookmarkStart w:id="12" w:name="_Toc18807"/>
      <w:r>
        <w:rPr>
          <w:rFonts w:hint="eastAsia" w:ascii="黑体" w:hAnsi="黑体" w:eastAsia="黑体" w:cs="黑体"/>
          <w:bCs/>
          <w:color w:val="auto"/>
          <w:sz w:val="32"/>
          <w:szCs w:val="32"/>
        </w:rPr>
        <w:t>代建单位的进入</w:t>
      </w:r>
      <w:bookmarkEnd w:id="10"/>
      <w:bookmarkEnd w:id="11"/>
      <w:bookmarkEnd w:id="12"/>
    </w:p>
    <w:p>
      <w:pPr>
        <w:numPr>
          <w:ilvl w:val="0"/>
          <w:numId w:val="3"/>
        </w:numPr>
        <w:spacing w:line="560" w:lineRule="exact"/>
        <w:ind w:firstLine="640" w:firstLineChars="200"/>
        <w:rPr>
          <w:rStyle w:val="20"/>
          <w:rFonts w:hint="default" w:cs="仿宋_GB2312"/>
          <w:color w:val="auto"/>
        </w:rPr>
      </w:pPr>
      <w:r>
        <w:rPr>
          <w:rStyle w:val="20"/>
          <w:rFonts w:hint="default" w:ascii="Times New Roman" w:hAnsi="Times New Roman"/>
          <w:color w:val="auto"/>
        </w:rPr>
        <w:t>【代建费】代建费用由代建</w:t>
      </w:r>
      <w:r>
        <w:rPr>
          <w:rStyle w:val="20"/>
          <w:rFonts w:hint="default" w:cs="仿宋_GB2312"/>
          <w:color w:val="auto"/>
        </w:rPr>
        <w:t>管理费和奖励金等构成，代建费用列入项目总概算。全过程代建费用原则上按照财政部颁布的《基本建设项目建设成本管理规定》（财建</w:t>
      </w:r>
      <w:r>
        <w:rPr>
          <w:rStyle w:val="26"/>
          <w:rFonts w:hint="default"/>
          <w:color w:val="auto"/>
        </w:rPr>
        <w:t>〔2016〕</w:t>
      </w:r>
      <w:r>
        <w:rPr>
          <w:rStyle w:val="20"/>
          <w:rFonts w:hint="default" w:cs="仿宋_GB2312"/>
          <w:color w:val="auto"/>
        </w:rPr>
        <w:t>504号）的限额标准执行；建设地点分散、点多面广以及使用新技术</w:t>
      </w:r>
      <w:r>
        <w:rPr>
          <w:rStyle w:val="20"/>
          <w:rFonts w:hint="default" w:ascii="Times New Roman" w:hAnsi="Times New Roman"/>
          <w:color w:val="auto"/>
        </w:rPr>
        <w:t>、新工艺等的项目，代建管理费确需超过规定限额标</w:t>
      </w:r>
      <w:r>
        <w:rPr>
          <w:rStyle w:val="20"/>
          <w:rFonts w:hint="default" w:cs="仿宋_GB2312"/>
          <w:color w:val="auto"/>
        </w:rPr>
        <w:t>准的，</w:t>
      </w:r>
      <w:r>
        <w:rPr>
          <w:rStyle w:val="26"/>
          <w:rFonts w:hint="default"/>
          <w:color w:val="auto"/>
        </w:rPr>
        <w:t>由委托单位在代建方案中提出，报</w:t>
      </w:r>
      <w:r>
        <w:rPr>
          <w:rStyle w:val="20"/>
          <w:rFonts w:hint="default" w:cs="仿宋_GB2312"/>
          <w:color w:val="auto"/>
        </w:rPr>
        <w:t>区发展改革局审核后报区政府常务会议审批，审批结果报区财政局，具体参见附件2。</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【分阶段计费】实施全过程代建的项目，代建管理费分阶段计取，</w:t>
      </w:r>
      <w:r>
        <w:rPr>
          <w:rStyle w:val="20"/>
          <w:rFonts w:hint="default" w:cs="仿宋_GB2312"/>
          <w:color w:val="auto"/>
        </w:rPr>
        <w:t>前期阶段代建管理费与施工阶段代建管理费原则上按照3：7的比例确定；实施施工代建的项目，施工代建管理费按照全过程代建管理费的70%计取。</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【代建合同</w:t>
      </w:r>
      <w:r>
        <w:rPr>
          <w:rStyle w:val="20"/>
          <w:rFonts w:hint="default" w:cs="仿宋_GB2312"/>
          <w:color w:val="auto"/>
        </w:rPr>
        <w:t>签订】拟采用代建制的项目，</w:t>
      </w:r>
      <w:r>
        <w:rPr>
          <w:rStyle w:val="26"/>
          <w:rFonts w:hint="default" w:hAnsi="仿宋_GB2312" w:cs="仿宋_GB2312"/>
          <w:color w:val="auto"/>
        </w:rPr>
        <w:t>代建单位确定后</w:t>
      </w:r>
      <w:r>
        <w:rPr>
          <w:rStyle w:val="20"/>
          <w:rFonts w:hint="default" w:cs="仿宋_GB2312"/>
          <w:color w:val="auto"/>
        </w:rPr>
        <w:t>，委托单位与代建单位应在30日内签订代建合同，代建合同参照《罗湖区政府投资项目代建</w:t>
      </w:r>
      <w:r>
        <w:rPr>
          <w:rStyle w:val="20"/>
          <w:rFonts w:hint="default" w:ascii="Times New Roman" w:hAnsi="Times New Roman"/>
          <w:color w:val="auto"/>
        </w:rPr>
        <w:t>合同范本》编制并报区司法局法律审查通过后签订。保证最大工程费用必须纳入代建合同中，代建单位应在概算批复后工程开工前完成保证最大工程费用报告，并与委托单位签署保证最大工程费用协议。委托单位报区发展改革局进行备案。</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【代建管理费】代建管理费核定和支付应当与工程进度、建设质量结合，并与代建项目履约考核挂钩，实行奖优罚劣。代建项目的罚金应支付到区财政局设立的指定账户中。</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【预付款</w:t>
      </w:r>
      <w:r>
        <w:rPr>
          <w:rStyle w:val="20"/>
          <w:rFonts w:hint="default" w:cs="仿宋_GB2312"/>
          <w:color w:val="auto"/>
        </w:rPr>
        <w:t>】委托单位认为有必要的，可以在代建合同中约定一定的预付款比例，预付款比例原则上应不超过当年可完成工程量的百分之三十，且原则上在当年内抵扣完毕，具体按照区有关规定执行。代建单位开具发票后，委托单位按照发票将代建管理费拨付到代建单位的资</w:t>
      </w:r>
      <w:r>
        <w:rPr>
          <w:rStyle w:val="20"/>
          <w:rFonts w:hint="default" w:ascii="Times New Roman" w:hAnsi="Times New Roman"/>
          <w:color w:val="auto"/>
        </w:rPr>
        <w:t>金账户。因设立监管账户而产生的相关费用，由委托单位在代建项目总投资中列支。</w:t>
      </w:r>
    </w:p>
    <w:p>
      <w:pPr>
        <w:widowControl/>
        <w:numPr>
          <w:ilvl w:val="0"/>
          <w:numId w:val="3"/>
        </w:numPr>
        <w:spacing w:line="560" w:lineRule="exact"/>
        <w:ind w:firstLine="640" w:firstLineChars="200"/>
        <w:jc w:val="left"/>
        <w:rPr>
          <w:rStyle w:val="20"/>
          <w:rFonts w:hint="default" w:ascii="Times New Roman" w:hAnsi="Times New Roman"/>
          <w:color w:val="auto"/>
        </w:rPr>
      </w:pPr>
      <w:r>
        <w:rPr>
          <w:rStyle w:val="20"/>
          <w:rFonts w:hint="default" w:ascii="Times New Roman" w:hAnsi="Times New Roman"/>
          <w:color w:val="auto"/>
        </w:rPr>
        <w:t>【税差问题】存在税差问题的代建单位，按照代建项目的实际情况支付费用收取发票。仍存在税差问题的代建单位，税差由代建单位承担。</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【履约保函】在代建合同生效前，委托单位应督促代建单位提供</w:t>
      </w:r>
      <w:r>
        <w:rPr>
          <w:rStyle w:val="20"/>
          <w:rFonts w:hint="default" w:cs="仿宋_GB2312"/>
          <w:color w:val="auto"/>
        </w:rPr>
        <w:t>履约保函。非零代建项目，履约保函不得低于代建管理费100%。代建单位在施工招标公告文件中应要求中标施工单位提供不低于中标工程施工合同价10%的履</w:t>
      </w:r>
      <w:r>
        <w:rPr>
          <w:rStyle w:val="20"/>
          <w:rFonts w:hint="default" w:ascii="Times New Roman" w:hAnsi="Times New Roman"/>
          <w:color w:val="auto"/>
        </w:rPr>
        <w:t>约保函，且保函受益方为委托单位。</w:t>
      </w:r>
    </w:p>
    <w:p>
      <w:pPr>
        <w:numPr>
          <w:ilvl w:val="0"/>
          <w:numId w:val="3"/>
        </w:numPr>
        <w:spacing w:line="560" w:lineRule="exact"/>
        <w:ind w:firstLine="640" w:firstLineChars="200"/>
        <w:rPr>
          <w:rFonts w:ascii="宋体" w:hAnsi="宋体"/>
          <w:color w:val="auto"/>
          <w:sz w:val="32"/>
          <w:szCs w:val="32"/>
        </w:rPr>
      </w:pPr>
      <w:r>
        <w:rPr>
          <w:rStyle w:val="20"/>
          <w:rFonts w:hint="default" w:ascii="Times New Roman" w:hAnsi="Times New Roman"/>
          <w:color w:val="auto"/>
        </w:rPr>
        <w:t>【零代建项目的履约保函】零代建项目，履约保函累计不低于总概算的</w:t>
      </w:r>
      <w:r>
        <w:rPr>
          <w:rStyle w:val="20"/>
          <w:rFonts w:hint="default" w:cs="仿宋_GB2312"/>
          <w:color w:val="auto"/>
        </w:rPr>
        <w:t>10%。代建合同可以约定，施工单位开具的履约保函可视同代建单位履约保函，且保函受益方为委托方。履约保函累计不足总概算的10%部</w:t>
      </w:r>
      <w:r>
        <w:rPr>
          <w:rStyle w:val="20"/>
          <w:rFonts w:hint="default" w:ascii="Times New Roman" w:hAnsi="Times New Roman"/>
          <w:color w:val="auto"/>
        </w:rPr>
        <w:t>分应由代建单位补齐。零代建项目履约情况为重点考核因素，履约情况全部纳入信用档案。</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前期工作】由区前期部门负责代建项目前期阶段的组织管理工作，至概算批复、施工图审查及建设工程规划许可批复等所有前期工作完成后截止。代建项目的前期工作包括编制各类前期文件（立项文件、可行性研究报告、勘察设计文件、造价文件等）、前期费用申请和支付、项目前期的报批报建等。</w:t>
      </w:r>
    </w:p>
    <w:p>
      <w:pPr>
        <w:numPr>
          <w:ilvl w:val="255"/>
          <w:numId w:val="0"/>
        </w:numPr>
        <w:tabs>
          <w:tab w:val="left" w:pos="0"/>
        </w:tabs>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全过程代建项目，在代建意向确定后由委托单位负责组织完成所有后续前期工作。</w:t>
      </w:r>
    </w:p>
    <w:p>
      <w:pPr>
        <w:numPr>
          <w:ilvl w:val="0"/>
          <w:numId w:val="3"/>
        </w:numPr>
        <w:spacing w:line="560" w:lineRule="exact"/>
        <w:ind w:firstLine="640" w:firstLineChars="200"/>
        <w:rPr>
          <w:rStyle w:val="20"/>
          <w:rFonts w:hint="default" w:ascii="Times New Roman" w:hAnsi="Times New Roman"/>
          <w:color w:val="auto"/>
        </w:rPr>
      </w:pPr>
      <w:r>
        <w:rPr>
          <w:rStyle w:val="26"/>
          <w:rFonts w:hint="default"/>
          <w:color w:val="auto"/>
        </w:rPr>
        <w:t>【前期移交】区前期部门完成概算批复、施工图审查和建设工程规划许可批复等所有前期工作后，将前期工作成果移交至委托单位。</w:t>
      </w:r>
      <w:r>
        <w:rPr>
          <w:rStyle w:val="20"/>
          <w:rFonts w:hint="default" w:ascii="Times New Roman" w:hAnsi="Times New Roman"/>
          <w:color w:val="auto"/>
        </w:rPr>
        <w:t>区前期部门移交资料包括但不限于如下内容：项目基本情况说明、项目大事记、相关会议纪要、各阶段的设计图纸文件、区发展改革局的各项批复文件、国土规划部门的审批文件、技术审查部门的审查文件、行政职能审批部门的审批文件、产权及专业部门审核意见及采纳修改情况等。</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提前移交】对于时间要求紧迫的工程项目，在依法依规的前提下，工程项目已完成施工图设计并取得施工图技术性审查意见，消防、人防、管线、燃气等相关专业职能部门审核意见，具备施工条件或施工招标条件的，可将工程项目有关资料提前移交给代建单位开展下一步工作，区前期部门应继续完善后续的报批报建工作，并取得所有批复文件后完善移交手续。</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cs="仿宋_GB2312"/>
          <w:color w:val="auto"/>
        </w:rPr>
        <w:t>【移交流程】区前期部门在工程项目移交完成之前，应当进行相应的项目资料、合同及财务移交，委托单位在收到项目移交协议书后，3个工作日内进行意见回复。意见回复不通过的，区前期部门完善后重新提交；回复通过的，区前期部门组织移交工作会议，完成工程项目移交工作。</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【移交协议书】区前期部门作为甲方签订的勘察、设计等合同，应在合同中约定工程项目移交后区前期部门的权利和义务移交至代建单位。</w:t>
      </w:r>
    </w:p>
    <w:p>
      <w:p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区前期部门应在工程项目移交前，按合同支付节点完成前期相应费用支付，如未完成的应在项目移交协议书中予以明确，并由代建单位直接按原合同支付，相关费用从资金监管账户支出。委托单位及国库支付中心对于资金监管账户内工程费用支付实施备案制。</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【授权办理】</w:t>
      </w:r>
      <w:r>
        <w:rPr>
          <w:rStyle w:val="26"/>
          <w:rFonts w:hint="default"/>
          <w:color w:val="auto"/>
        </w:rPr>
        <w:t>确定代建单位后，委托单位为代建单位出具工程建设授权委托书，</w:t>
      </w:r>
      <w:r>
        <w:rPr>
          <w:rStyle w:val="20"/>
          <w:rFonts w:hint="default" w:ascii="Times New Roman" w:hAnsi="Times New Roman"/>
          <w:color w:val="auto"/>
        </w:rPr>
        <w:t>涉及为保障施工但不属于前期工作范围和竣工验收、结决算等收尾事项的报批报建手续，如施工许可、施工临时用地、临时开设路口、临时占用道路及绿地审批等，应由代建单位凭代建合同及委托单位授权委托书到相应部门办理。</w:t>
      </w:r>
    </w:p>
    <w:p>
      <w:pPr>
        <w:numPr>
          <w:ilvl w:val="255"/>
          <w:numId w:val="0"/>
        </w:numPr>
        <w:tabs>
          <w:tab w:val="left" w:pos="0"/>
        </w:tabs>
        <w:spacing w:line="560" w:lineRule="exact"/>
        <w:ind w:firstLine="0" w:firstLineChars="0"/>
        <w:rPr>
          <w:rStyle w:val="20"/>
          <w:rFonts w:hint="default" w:ascii="Times New Roman" w:hAnsi="Times New Roman"/>
          <w:color w:val="auto"/>
        </w:rPr>
      </w:pPr>
    </w:p>
    <w:p>
      <w:pPr>
        <w:numPr>
          <w:ilvl w:val="0"/>
          <w:numId w:val="2"/>
        </w:numPr>
        <w:spacing w:before="156" w:beforeLines="50" w:after="156" w:afterLines="50" w:line="560" w:lineRule="exact"/>
        <w:jc w:val="center"/>
        <w:outlineLvl w:val="0"/>
        <w:rPr>
          <w:rFonts w:ascii="黑体" w:hAnsi="黑体" w:eastAsia="黑体" w:cs="黑体"/>
          <w:bCs/>
          <w:color w:val="auto"/>
          <w:sz w:val="30"/>
          <w:szCs w:val="30"/>
        </w:rPr>
      </w:pPr>
      <w:bookmarkStart w:id="13" w:name="_Toc18625"/>
      <w:bookmarkStart w:id="14" w:name="_Toc8626"/>
      <w:bookmarkStart w:id="15" w:name="_Toc2222"/>
      <w:r>
        <w:rPr>
          <w:rFonts w:hint="eastAsia" w:ascii="黑体" w:hAnsi="黑体" w:eastAsia="黑体" w:cs="黑体"/>
          <w:bCs/>
          <w:color w:val="auto"/>
          <w:sz w:val="32"/>
          <w:szCs w:val="32"/>
        </w:rPr>
        <w:t>施工阶段</w:t>
      </w:r>
      <w:bookmarkEnd w:id="13"/>
      <w:bookmarkEnd w:id="14"/>
      <w:bookmarkEnd w:id="15"/>
    </w:p>
    <w:p>
      <w:pPr>
        <w:numPr>
          <w:ilvl w:val="0"/>
          <w:numId w:val="3"/>
        </w:numPr>
        <w:spacing w:line="560" w:lineRule="exact"/>
        <w:ind w:firstLine="640" w:firstLineChars="200"/>
        <w:rPr>
          <w:rStyle w:val="26"/>
          <w:rFonts w:hint="default" w:ascii="Times New Roman" w:hAnsi="Times New Roman"/>
          <w:color w:val="auto"/>
        </w:rPr>
      </w:pPr>
      <w:r>
        <w:rPr>
          <w:rStyle w:val="20"/>
          <w:rFonts w:hint="default" w:ascii="Times New Roman" w:hAnsi="Times New Roman"/>
          <w:color w:val="auto"/>
        </w:rPr>
        <w:t>【施工招标】代建单位应根据法律法规的相关规定选择招标方式，以公开招标为主要方式。招标方式、方案、择优要素报委托单位确认，且</w:t>
      </w:r>
      <w:r>
        <w:rPr>
          <w:rStyle w:val="26"/>
          <w:rFonts w:hint="default"/>
          <w:color w:val="auto"/>
        </w:rPr>
        <w:t>招标文件、合同文件等按委托单位要求进行备案后，方可实施招标活动。</w:t>
      </w:r>
    </w:p>
    <w:p>
      <w:pPr>
        <w:numPr>
          <w:ilvl w:val="255"/>
          <w:numId w:val="0"/>
        </w:numPr>
        <w:tabs>
          <w:tab w:val="left" w:pos="0"/>
        </w:tabs>
        <w:spacing w:line="560" w:lineRule="exact"/>
        <w:ind w:firstLine="640" w:firstLineChars="200"/>
        <w:rPr>
          <w:rStyle w:val="26"/>
          <w:rFonts w:hint="default" w:ascii="Times New Roman" w:hAnsi="Times New Roman"/>
          <w:color w:val="auto"/>
        </w:rPr>
      </w:pPr>
      <w:r>
        <w:rPr>
          <w:rStyle w:val="26"/>
          <w:rFonts w:hint="default"/>
          <w:color w:val="auto"/>
        </w:rPr>
        <w:t>施工招标原则上应采用工程量清单招标方式，并应设置述标环节，拟采取下浮率等其他方式进行招标的，由委托单位充分论证必要性，并就投资、质量、工程控制提出具体措施，形成方案征求区发展改革局、区财政局、区住房建设局、区审计局等相关部门意见后，</w:t>
      </w:r>
      <w:r>
        <w:rPr>
          <w:rStyle w:val="26"/>
          <w:rFonts w:hint="default"/>
          <w:color w:val="auto"/>
        </w:rPr>
        <w:t>按程序提请区政府相关会议审议通过后实施。</w:t>
      </w:r>
    </w:p>
    <w:p>
      <w:p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施工招标采用票决定标法或集体议事法定标的，代建单位、委托单位共同负责组建定标委员会，实施定标活动，对于确定正式投标人、清标、定标时监督小组的组建方式由代建单位、委托单位共同组建</w:t>
      </w:r>
      <w:r>
        <w:rPr>
          <w:rStyle w:val="20"/>
          <w:rFonts w:hint="default" w:ascii="Times New Roman" w:hAnsi="Times New Roman"/>
          <w:color w:val="auto"/>
        </w:rPr>
        <w:t>，代建单位的监督小组人员由代建单位自行组建</w:t>
      </w:r>
      <w:r>
        <w:rPr>
          <w:rStyle w:val="20"/>
          <w:rFonts w:hint="default" w:ascii="Times New Roman" w:hAnsi="Times New Roman"/>
          <w:color w:val="auto"/>
        </w:rPr>
        <w:t>，一般为1人</w:t>
      </w:r>
      <w:r>
        <w:rPr>
          <w:rStyle w:val="20"/>
          <w:rFonts w:hint="default" w:ascii="Times New Roman" w:hAnsi="Times New Roman"/>
          <w:color w:val="auto"/>
        </w:rPr>
        <w:t>；政府部门的监督小组人员由委托单位自行组建</w:t>
      </w:r>
      <w:r>
        <w:rPr>
          <w:rStyle w:val="20"/>
          <w:rFonts w:hint="default" w:ascii="Times New Roman" w:hAnsi="Times New Roman"/>
          <w:color w:val="auto"/>
        </w:rPr>
        <w:t>，一般为2人。</w:t>
      </w:r>
    </w:p>
    <w:p>
      <w:p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施工招标定标委员会由不少于7名且数量为单数的专家组成，组建方式具体要求为</w:t>
      </w:r>
      <w:r>
        <w:rPr>
          <w:rStyle w:val="20"/>
          <w:rFonts w:hint="default" w:ascii="Times New Roman" w:hAnsi="Times New Roman"/>
          <w:color w:val="auto"/>
        </w:rPr>
        <w:t>：代建单位、委托单位各2名，由代建单位分别从代建单位、委托单位自行组建的2倍以上符合相关条件的备选人员名单中随机抽取确定2名专家名单；其他定标委员会成员由委托单位从区级专家库中抽取。此过程由上述监督小组全程监督。</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招标要求】代建单位不得与施工单位、材料设备供应单位存在关联关系。关联关系是指代建单位不得与施工单位的控股股东、实际控制人、董事、监事、高级管理人员存在直接或间接的控制关系，以及可能导致代建单位利益转移的其他关系。国家控股的企业之间不因为同受国家控股而具有关联关系。</w:t>
      </w:r>
    </w:p>
    <w:p>
      <w:pPr>
        <w:numPr>
          <w:ilvl w:val="0"/>
          <w:numId w:val="3"/>
        </w:numPr>
        <w:spacing w:line="560" w:lineRule="exact"/>
        <w:ind w:firstLine="640" w:firstLineChars="200"/>
        <w:rPr>
          <w:rStyle w:val="20"/>
          <w:rFonts w:ascii="Times New Roman" w:hAnsi="Times New Roman" w:eastAsia="黑体" w:cs="黑体"/>
          <w:bCs/>
          <w:color w:val="auto"/>
          <w:sz w:val="30"/>
          <w:szCs w:val="30"/>
        </w:rPr>
      </w:pPr>
      <w:r>
        <w:rPr>
          <w:rStyle w:val="20"/>
          <w:rFonts w:hint="default" w:ascii="Times New Roman" w:hAnsi="Times New Roman"/>
          <w:color w:val="auto"/>
        </w:rPr>
        <w:t>【招标采购】代建单位应与委托单位充分沟通材料、设备的招标采购情况，具体招标采购工作由代建单位负责。招标文件、合同文件等报委托单位备案后，代建</w:t>
      </w:r>
      <w:bookmarkStart w:id="38" w:name="_GoBack"/>
      <w:bookmarkEnd w:id="38"/>
      <w:r>
        <w:rPr>
          <w:rStyle w:val="20"/>
          <w:rFonts w:hint="default" w:ascii="Times New Roman" w:hAnsi="Times New Roman"/>
          <w:color w:val="auto"/>
        </w:rPr>
        <w:t>单位方可实施材料、设备的招标采购活动。</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施工前期准备】在施工开始前，代建单位组织代建项目相关责任主体的法定代表人签署授权书，明确本单位项目负责人。在办理工程质量监督手续前，代建单位组织代建项目相关责任主体签署工程质量终身责任承诺书，连同法定代表人授权书，报工程质量监督机构备案。</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【施工许可证】委托单位应协调代建单位办理施工许可证的相关工作事项，督促代建单位及时申报施工许可手续。</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【履职监督】委托单位应监督代建单位人员的实际履职情况，并对人员信息及施工档案予以备案。</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【安全施工】代建单位应建立完善的安全文明施工管理制度，全面履行安全生产管理职责，及时支付安全文明施工管理专项资金和购买工程保险（包括建筑/安装工程一切险、第三者责任险）。</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资金使用计划】委托单位负责审核代建单位编制的工程进度计划和年度资金使用计划，实地查验和审核工程进度，原则上每个月支付一次工程进度款及相关其他费用，在相关合同中予以约定。上一笔费用已支付形成支出且剩余资金不够支付下一笔款时，方可划拨下一笔款项。</w:t>
      </w:r>
    </w:p>
    <w:p>
      <w:pPr>
        <w:numPr>
          <w:ilvl w:val="0"/>
          <w:numId w:val="3"/>
        </w:numPr>
        <w:spacing w:line="560" w:lineRule="exact"/>
        <w:ind w:firstLine="640" w:firstLineChars="200"/>
        <w:jc w:val="left"/>
        <w:rPr>
          <w:rFonts w:ascii="宋体" w:hAnsi="宋体"/>
          <w:color w:val="auto"/>
          <w:sz w:val="24"/>
          <w:szCs w:val="24"/>
        </w:rPr>
      </w:pPr>
      <w:r>
        <w:rPr>
          <w:rStyle w:val="20"/>
          <w:rFonts w:hint="default" w:ascii="Times New Roman" w:hAnsi="Times New Roman"/>
          <w:color w:val="auto"/>
        </w:rPr>
        <w:t>【资金支付】代建单位收到拨付的工程进度款后，按施工合同约定的支付时间和额度进行支付，相关费用从资金监管账户支出。委托单位及国库支付中心对于资金监管账户内工程费用支付实施备案制。若项目涉及超计划问题，则需待相关程序处理完成后支付。</w:t>
      </w:r>
    </w:p>
    <w:p>
      <w:pPr>
        <w:numPr>
          <w:ilvl w:val="255"/>
          <w:numId w:val="0"/>
        </w:numPr>
        <w:tabs>
          <w:tab w:val="left" w:pos="0"/>
        </w:tabs>
        <w:spacing w:line="560" w:lineRule="exact"/>
        <w:ind w:firstLine="640" w:firstLineChars="200"/>
        <w:jc w:val="left"/>
        <w:rPr>
          <w:rStyle w:val="20"/>
          <w:rFonts w:hint="default" w:ascii="Times New Roman" w:hAnsi="Times New Roman"/>
          <w:color w:val="auto"/>
        </w:rPr>
      </w:pPr>
      <w:r>
        <w:rPr>
          <w:rStyle w:val="20"/>
          <w:rFonts w:hint="default" w:ascii="Times New Roman" w:hAnsi="Times New Roman"/>
          <w:color w:val="auto"/>
        </w:rPr>
        <w:t>代建单位定期向委托单位报送工程进度和资金使用情况，委托单位对代建单位资金使用进行监督。</w:t>
      </w:r>
    </w:p>
    <w:p>
      <w:pPr>
        <w:numPr>
          <w:ilvl w:val="0"/>
          <w:numId w:val="3"/>
        </w:numPr>
        <w:spacing w:line="560" w:lineRule="exact"/>
        <w:ind w:firstLine="640" w:firstLineChars="200"/>
        <w:jc w:val="left"/>
        <w:rPr>
          <w:rStyle w:val="20"/>
          <w:rFonts w:hint="default" w:ascii="Times New Roman" w:hAnsi="Times New Roman"/>
          <w:color w:val="auto"/>
        </w:rPr>
      </w:pPr>
      <w:r>
        <w:rPr>
          <w:rStyle w:val="20"/>
          <w:rFonts w:hint="default" w:ascii="Times New Roman" w:hAnsi="Times New Roman"/>
          <w:color w:val="auto"/>
        </w:rPr>
        <w:t>【公章使用】代建单位、勘察设计单位、施工单位、监理单位不得以总公司在外地为理由拖延工程资料的用章，影响资金支付，在工程投标中标后，对于非省内企业，应在罗湖辖区成立子公司、刻制公章，由中标企业授权子公司开展资金支付等工作。</w:t>
      </w:r>
    </w:p>
    <w:p>
      <w:pPr>
        <w:numPr>
          <w:ilvl w:val="0"/>
          <w:numId w:val="2"/>
        </w:numPr>
        <w:spacing w:before="156" w:beforeLines="50" w:after="156" w:afterLines="50" w:line="560" w:lineRule="exact"/>
        <w:jc w:val="center"/>
        <w:outlineLvl w:val="0"/>
        <w:rPr>
          <w:rFonts w:ascii="黑体" w:hAnsi="黑体" w:eastAsia="黑体" w:cs="黑体"/>
          <w:bCs/>
          <w:color w:val="auto"/>
          <w:sz w:val="32"/>
          <w:szCs w:val="32"/>
        </w:rPr>
      </w:pPr>
      <w:bookmarkStart w:id="16" w:name="_Toc19342"/>
      <w:bookmarkStart w:id="17" w:name="_Toc24356"/>
      <w:bookmarkStart w:id="18" w:name="_Toc6477"/>
      <w:r>
        <w:rPr>
          <w:rFonts w:hint="eastAsia" w:ascii="黑体" w:hAnsi="黑体" w:eastAsia="黑体" w:cs="黑体"/>
          <w:bCs/>
          <w:color w:val="auto"/>
          <w:sz w:val="32"/>
          <w:szCs w:val="32"/>
        </w:rPr>
        <w:t>委托、代建、监理的职责分工</w:t>
      </w:r>
      <w:bookmarkEnd w:id="16"/>
      <w:bookmarkEnd w:id="17"/>
      <w:bookmarkEnd w:id="18"/>
    </w:p>
    <w:p>
      <w:pPr>
        <w:numPr>
          <w:ilvl w:val="0"/>
          <w:numId w:val="3"/>
        </w:numPr>
        <w:spacing w:line="560" w:lineRule="exact"/>
        <w:ind w:firstLine="640" w:firstLineChars="200"/>
        <w:rPr>
          <w:rFonts w:ascii="仿宋_GB2312" w:eastAsia="仿宋_GB2312"/>
          <w:color w:val="auto"/>
          <w:sz w:val="32"/>
          <w:szCs w:val="32"/>
        </w:rPr>
      </w:pPr>
      <w:r>
        <w:rPr>
          <w:rStyle w:val="20"/>
          <w:rFonts w:hint="default" w:ascii="Times New Roman" w:hAnsi="Times New Roman"/>
          <w:color w:val="auto"/>
        </w:rPr>
        <w:t>【代建单位主要职责】</w:t>
      </w:r>
    </w:p>
    <w:p>
      <w:pPr>
        <w:numPr>
          <w:ilvl w:val="0"/>
          <w:numId w:val="6"/>
        </w:numPr>
        <w:tabs>
          <w:tab w:val="left" w:pos="0"/>
        </w:tabs>
        <w:spacing w:line="560" w:lineRule="exact"/>
        <w:ind w:right="0" w:firstLine="640" w:firstLineChars="200"/>
        <w:jc w:val="left"/>
        <w:rPr>
          <w:rFonts w:ascii="仿宋_GB2312" w:eastAsia="仿宋_GB2312"/>
          <w:color w:val="auto"/>
          <w:sz w:val="32"/>
          <w:szCs w:val="32"/>
        </w:rPr>
      </w:pPr>
      <w:r>
        <w:rPr>
          <w:rFonts w:hint="eastAsia" w:ascii="仿宋_GB2312" w:eastAsia="仿宋_GB2312"/>
          <w:color w:val="auto"/>
          <w:sz w:val="32"/>
          <w:szCs w:val="32"/>
        </w:rPr>
        <w:t>负责接收委托单位移交的全部前期工作成果，负责编制及报送代建项目相关报建报批文件，主要包括工程预算、施工许可、临时用地审批、临时占用绿化审批等。</w:t>
      </w:r>
    </w:p>
    <w:p>
      <w:pPr>
        <w:numPr>
          <w:ilvl w:val="255"/>
          <w:numId w:val="0"/>
        </w:numPr>
        <w:tabs>
          <w:tab w:val="left" w:pos="0"/>
        </w:tabs>
        <w:spacing w:line="560" w:lineRule="exact"/>
        <w:ind w:right="0" w:firstLine="640" w:firstLineChars="200"/>
        <w:jc w:val="left"/>
        <w:rPr>
          <w:rFonts w:ascii="仿宋_GB2312" w:eastAsia="仿宋_GB2312"/>
          <w:color w:val="auto"/>
          <w:sz w:val="32"/>
          <w:szCs w:val="32"/>
        </w:rPr>
      </w:pPr>
      <w:r>
        <w:rPr>
          <w:rFonts w:hint="eastAsia" w:ascii="仿宋_GB2312" w:eastAsia="仿宋_GB2312"/>
          <w:color w:val="auto"/>
          <w:sz w:val="32"/>
          <w:szCs w:val="32"/>
        </w:rPr>
        <w:t>对于全过程代建，除上款施工前工作外，还包括负责编制及报送项目可行性研究报告、各阶段的设计方案、概算、保证最大工程费用报告、项目竣工决算报表等文件;</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（二）负责办理项目实施过程中有关投资计划、规划、建设、国土资源、环保、水务、消防等申报手续；</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（三）负责组织除监理外的工程勘察、设计、造价、咨询、施工和设备材料采购等招标工作和协助开展标后评估工作；</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（四）负责有关项目建设合同的洽谈与签订工作，对工程建设实行全过程管理；</w:t>
      </w:r>
    </w:p>
    <w:p>
      <w:pPr>
        <w:spacing w:line="600" w:lineRule="exact"/>
        <w:ind w:firstLine="640" w:firstLineChars="200"/>
        <w:jc w:val="left"/>
        <w:rPr>
          <w:rFonts w:ascii="仿宋_GB2312" w:eastAsia="仿宋_GB2312"/>
          <w:color w:val="auto"/>
          <w:sz w:val="32"/>
          <w:szCs w:val="32"/>
        </w:rPr>
      </w:pPr>
      <w:r>
        <w:rPr>
          <w:rFonts w:hint="eastAsia" w:ascii="仿宋_GB2312" w:eastAsia="仿宋_GB2312"/>
          <w:color w:val="auto"/>
          <w:sz w:val="32"/>
          <w:szCs w:val="32"/>
        </w:rPr>
        <w:t>（五）负责代建期内的安全管理，负责组织工程中间验收，对工程质量及安全负主体责任，实行终身负责制；</w:t>
      </w:r>
    </w:p>
    <w:p>
      <w:pPr>
        <w:ind w:right="160" w:firstLine="640" w:firstLineChars="200"/>
        <w:jc w:val="left"/>
        <w:rPr>
          <w:rFonts w:ascii="仿宋_GB2312" w:eastAsia="仿宋_GB2312"/>
          <w:color w:val="auto"/>
          <w:sz w:val="32"/>
          <w:szCs w:val="32"/>
        </w:rPr>
      </w:pPr>
      <w:r>
        <w:rPr>
          <w:rFonts w:hint="eastAsia" w:ascii="仿宋_GB2312" w:eastAsia="仿宋_GB2312"/>
          <w:color w:val="auto"/>
          <w:sz w:val="32"/>
          <w:szCs w:val="32"/>
        </w:rPr>
        <w:t>（六）配合保险单位和工程质量安全风险管理机构开展质量监督检查工作，对工程质量安全风险管理机构提出的工程质量问题，应及时责成相关责任方进行整改;</w:t>
      </w:r>
    </w:p>
    <w:p>
      <w:pPr>
        <w:spacing w:line="600" w:lineRule="exact"/>
        <w:ind w:firstLine="640" w:firstLineChars="200"/>
        <w:jc w:val="left"/>
        <w:rPr>
          <w:rFonts w:ascii="仿宋_GB2312" w:eastAsia="仿宋_GB2312"/>
          <w:color w:val="auto"/>
          <w:sz w:val="32"/>
          <w:szCs w:val="32"/>
        </w:rPr>
      </w:pPr>
      <w:r>
        <w:rPr>
          <w:rFonts w:hint="eastAsia" w:ascii="仿宋_GB2312" w:eastAsia="仿宋_GB2312"/>
          <w:color w:val="auto"/>
          <w:sz w:val="32"/>
          <w:szCs w:val="32"/>
        </w:rPr>
        <w:t>（七）设计变更、现场签证报委托单位同意后组织实施，按照合同约定，对工程投资控制和进度安排负责；工程完工后，负责组织工程验收；</w:t>
      </w:r>
    </w:p>
    <w:p>
      <w:pPr>
        <w:ind w:right="160" w:firstLine="640" w:firstLineChars="200"/>
        <w:jc w:val="left"/>
        <w:rPr>
          <w:rFonts w:ascii="仿宋_GB2312" w:eastAsia="仿宋_GB2312"/>
          <w:color w:val="auto"/>
          <w:sz w:val="32"/>
          <w:szCs w:val="32"/>
        </w:rPr>
      </w:pPr>
      <w:r>
        <w:rPr>
          <w:rFonts w:hint="eastAsia" w:ascii="仿宋_GB2312" w:eastAsia="仿宋_GB2312"/>
          <w:color w:val="auto"/>
          <w:sz w:val="32"/>
          <w:szCs w:val="32"/>
        </w:rPr>
        <w:t>（八）负责开设项目资金监管账户，负责项目资金拨付和管理工作，每月支付工程款项，向委托单位报送工程进度和资金使用情况;</w:t>
      </w:r>
    </w:p>
    <w:p>
      <w:pPr>
        <w:ind w:right="160" w:firstLine="640" w:firstLineChars="200"/>
        <w:jc w:val="left"/>
        <w:rPr>
          <w:rFonts w:ascii="仿宋_GB2312" w:eastAsia="仿宋_GB2312"/>
          <w:color w:val="auto"/>
          <w:sz w:val="32"/>
          <w:szCs w:val="32"/>
        </w:rPr>
      </w:pPr>
      <w:r>
        <w:rPr>
          <w:rFonts w:hint="eastAsia" w:ascii="仿宋_GB2312" w:eastAsia="仿宋_GB2312"/>
          <w:color w:val="auto"/>
          <w:sz w:val="32"/>
          <w:szCs w:val="32"/>
        </w:rPr>
        <w:t>（九）代持建设工程质量保证金，由银行监管，在缺陷责任期内行使建设单位的相关权责;</w:t>
      </w:r>
    </w:p>
    <w:p>
      <w:pPr>
        <w:ind w:right="160" w:firstLine="640" w:firstLineChars="200"/>
        <w:jc w:val="left"/>
        <w:rPr>
          <w:rFonts w:ascii="仿宋_GB2312" w:eastAsia="仿宋_GB2312"/>
          <w:color w:val="auto"/>
          <w:sz w:val="32"/>
          <w:szCs w:val="32"/>
        </w:rPr>
      </w:pPr>
      <w:r>
        <w:rPr>
          <w:rFonts w:hint="eastAsia" w:ascii="仿宋_GB2312" w:eastAsia="仿宋_GB2312"/>
          <w:color w:val="auto"/>
          <w:sz w:val="32"/>
          <w:szCs w:val="32"/>
        </w:rPr>
        <w:t>（十）负责编制项目工程结算、竣工决算报表，报委托单位审核后，完成项目工程结算、决算和竣工财务决算批复等申报工作；</w:t>
      </w:r>
    </w:p>
    <w:p>
      <w:pPr>
        <w:ind w:right="160" w:firstLine="640" w:firstLineChars="200"/>
        <w:jc w:val="left"/>
        <w:rPr>
          <w:rFonts w:ascii="仿宋_GB2312" w:eastAsia="仿宋_GB2312"/>
          <w:color w:val="auto"/>
          <w:sz w:val="32"/>
          <w:szCs w:val="32"/>
        </w:rPr>
      </w:pPr>
      <w:r>
        <w:rPr>
          <w:rFonts w:hint="eastAsia" w:ascii="仿宋_GB2312" w:eastAsia="仿宋_GB2312"/>
          <w:color w:val="auto"/>
          <w:sz w:val="32"/>
          <w:szCs w:val="32"/>
        </w:rPr>
        <w:t xml:space="preserve">（十一）负责将项目竣工及有关技术资料整理汇编移交，并按批准的资产价值向资产使用单位或政府资产管理单位办理资产交付手续; </w:t>
      </w:r>
    </w:p>
    <w:p>
      <w:pPr>
        <w:ind w:right="160" w:firstLine="640" w:firstLineChars="200"/>
        <w:jc w:val="left"/>
        <w:rPr>
          <w:rFonts w:ascii="仿宋_GB2312" w:eastAsia="仿宋_GB2312"/>
          <w:color w:val="auto"/>
          <w:sz w:val="32"/>
          <w:szCs w:val="32"/>
        </w:rPr>
      </w:pPr>
      <w:r>
        <w:rPr>
          <w:rFonts w:hint="eastAsia" w:ascii="仿宋_GB2312" w:eastAsia="仿宋_GB2312"/>
          <w:color w:val="auto"/>
          <w:sz w:val="32"/>
          <w:szCs w:val="32"/>
        </w:rPr>
        <w:t>（十二）对项目参建单位进行履约评价，协助开展代建项目后评价工作;</w:t>
      </w:r>
    </w:p>
    <w:p>
      <w:pPr>
        <w:numPr>
          <w:ilvl w:val="255"/>
          <w:numId w:val="0"/>
        </w:numPr>
        <w:spacing w:line="600" w:lineRule="exact"/>
        <w:ind w:firstLine="640" w:firstLineChars="0"/>
        <w:rPr>
          <w:rFonts w:ascii="仿宋_GB2312" w:eastAsia="仿宋_GB2312"/>
          <w:color w:val="auto"/>
          <w:sz w:val="32"/>
          <w:szCs w:val="32"/>
        </w:rPr>
      </w:pPr>
      <w:r>
        <w:rPr>
          <w:rFonts w:hint="eastAsia" w:ascii="仿宋_GB2312" w:eastAsia="仿宋_GB2312"/>
          <w:color w:val="auto"/>
          <w:sz w:val="32"/>
          <w:szCs w:val="32"/>
        </w:rPr>
        <w:t>（十三）合同约定的其他事项。</w:t>
      </w:r>
    </w:p>
    <w:p>
      <w:pPr>
        <w:numPr>
          <w:ilvl w:val="0"/>
          <w:numId w:val="3"/>
        </w:numPr>
        <w:spacing w:line="560" w:lineRule="exact"/>
        <w:ind w:firstLine="640" w:firstLineChars="200"/>
        <w:rPr>
          <w:rFonts w:ascii="仿宋_GB2312" w:eastAsia="仿宋_GB2312"/>
          <w:color w:val="auto"/>
          <w:sz w:val="32"/>
          <w:szCs w:val="32"/>
        </w:rPr>
      </w:pPr>
      <w:r>
        <w:rPr>
          <w:rStyle w:val="20"/>
          <w:rFonts w:hint="default" w:ascii="Times New Roman" w:hAnsi="Times New Roman"/>
          <w:color w:val="auto"/>
        </w:rPr>
        <w:t>【委托单位主要职责】</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（一）会同项目使用单位、前期工作部门，根据项目已批复的建设规模、建设内容和总投资额等成果，编制及报送代建方案；</w:t>
      </w:r>
    </w:p>
    <w:p>
      <w:pPr>
        <w:ind w:right="160" w:firstLine="640" w:firstLineChars="200"/>
        <w:jc w:val="left"/>
        <w:rPr>
          <w:rFonts w:hint="eastAsia" w:ascii="仿宋_GB2312" w:eastAsia="仿宋_GB2312"/>
          <w:color w:val="auto"/>
          <w:sz w:val="32"/>
          <w:szCs w:val="32"/>
          <w:lang w:eastAsia="zh-CN"/>
        </w:rPr>
      </w:pPr>
      <w:r>
        <w:rPr>
          <w:rFonts w:hint="eastAsia" w:ascii="仿宋_GB2312" w:eastAsia="仿宋_GB2312"/>
          <w:color w:val="auto"/>
          <w:sz w:val="32"/>
          <w:szCs w:val="32"/>
        </w:rPr>
        <w:t>（二）负责按照代建方案批复，选定代建单位，组织代建单位开展后续工作</w:t>
      </w:r>
      <w:r>
        <w:rPr>
          <w:rFonts w:hint="eastAsia" w:ascii="仿宋_GB2312" w:eastAsia="仿宋_GB2312"/>
          <w:color w:val="auto"/>
          <w:sz w:val="32"/>
          <w:szCs w:val="32"/>
          <w:lang w:eastAsia="zh-CN"/>
        </w:rPr>
        <w:t>；</w:t>
      </w:r>
    </w:p>
    <w:p>
      <w:pPr>
        <w:ind w:right="160" w:firstLine="640" w:firstLineChars="200"/>
        <w:jc w:val="left"/>
        <w:rPr>
          <w:rFonts w:ascii="仿宋_GB2312" w:eastAsia="仿宋_GB2312"/>
          <w:color w:val="auto"/>
          <w:sz w:val="32"/>
          <w:szCs w:val="32"/>
        </w:rPr>
      </w:pPr>
      <w:r>
        <w:rPr>
          <w:rFonts w:hint="eastAsia" w:ascii="仿宋_GB2312" w:eastAsia="仿宋_GB2312"/>
          <w:color w:val="auto"/>
          <w:sz w:val="32"/>
          <w:szCs w:val="32"/>
        </w:rPr>
        <w:t>（三）负责接收前期工作部门移交的全部工作成果，经确认后，移交代建单位。</w:t>
      </w:r>
    </w:p>
    <w:p>
      <w:pPr>
        <w:spacing w:line="600" w:lineRule="exact"/>
        <w:ind w:firstLine="640" w:firstLineChars="200"/>
        <w:jc w:val="left"/>
        <w:rPr>
          <w:rFonts w:hint="eastAsia" w:ascii="仿宋_GB2312" w:eastAsia="仿宋_GB2312"/>
          <w:color w:val="auto"/>
          <w:sz w:val="32"/>
          <w:szCs w:val="32"/>
          <w:lang w:eastAsia="zh-CN"/>
        </w:rPr>
      </w:pPr>
      <w:r>
        <w:rPr>
          <w:rFonts w:hint="eastAsia" w:ascii="仿宋_GB2312" w:eastAsia="仿宋_GB2312"/>
          <w:color w:val="auto"/>
          <w:sz w:val="32"/>
          <w:szCs w:val="32"/>
        </w:rPr>
        <w:t>对于全过程代建，除施工阶段的报批报建直接以代建单位名义申报外，对代建单位负责编制的项目可行性研究报告、设计、概算、预算、保证最大工程费用报告、投资计划等文件，以及规划、建设、国土资源、环保、水务、消防、占道挖掘等审批事项成果进行确认，并以委托单位名义进行申报</w:t>
      </w:r>
      <w:r>
        <w:rPr>
          <w:rFonts w:hint="eastAsia" w:ascii="仿宋_GB2312" w:eastAsia="仿宋_GB2312"/>
          <w:color w:val="auto"/>
          <w:sz w:val="32"/>
          <w:szCs w:val="32"/>
          <w:lang w:eastAsia="zh-CN"/>
        </w:rPr>
        <w:t>；</w:t>
      </w:r>
    </w:p>
    <w:p>
      <w:pPr>
        <w:ind w:right="160" w:firstLine="640" w:firstLineChars="200"/>
        <w:jc w:val="left"/>
        <w:rPr>
          <w:rFonts w:ascii="仿宋_GB2312" w:eastAsia="仿宋_GB2312"/>
          <w:color w:val="auto"/>
          <w:sz w:val="32"/>
          <w:szCs w:val="32"/>
        </w:rPr>
      </w:pPr>
      <w:r>
        <w:rPr>
          <w:rFonts w:hint="eastAsia" w:ascii="仿宋_GB2312" w:eastAsia="仿宋_GB2312"/>
          <w:color w:val="auto"/>
          <w:sz w:val="32"/>
          <w:szCs w:val="32"/>
        </w:rPr>
        <w:t>（四）配合代建单位协调前期工作部门、项目使用单位及与代建项目有关的政府部门间的关系；</w:t>
      </w:r>
    </w:p>
    <w:p>
      <w:pPr>
        <w:ind w:right="160" w:firstLine="640" w:firstLineChars="200"/>
        <w:jc w:val="left"/>
        <w:rPr>
          <w:rFonts w:ascii="仿宋_GB2312" w:eastAsia="仿宋_GB2312"/>
          <w:color w:val="auto"/>
          <w:sz w:val="32"/>
          <w:szCs w:val="32"/>
        </w:rPr>
      </w:pPr>
      <w:r>
        <w:rPr>
          <w:rFonts w:hint="eastAsia" w:ascii="仿宋_GB2312" w:eastAsia="仿宋_GB2312"/>
          <w:color w:val="auto"/>
          <w:sz w:val="32"/>
          <w:szCs w:val="32"/>
        </w:rPr>
        <w:t>（五）与代建单位共同组织施工招标，并单独负责监理单位的招标和管理工作</w:t>
      </w:r>
      <w:r>
        <w:rPr>
          <w:rFonts w:hint="eastAsia" w:ascii="仿宋_GB2312" w:eastAsia="仿宋_GB2312"/>
          <w:color w:val="auto"/>
          <w:sz w:val="32"/>
          <w:szCs w:val="32"/>
          <w:lang w:eastAsia="zh-CN"/>
        </w:rPr>
        <w:t>；</w:t>
      </w:r>
    </w:p>
    <w:p>
      <w:pPr>
        <w:ind w:right="160" w:firstLine="640" w:firstLineChars="200"/>
        <w:jc w:val="left"/>
        <w:rPr>
          <w:rFonts w:ascii="仿宋_GB2312" w:eastAsia="仿宋_GB2312"/>
          <w:color w:val="auto"/>
          <w:sz w:val="32"/>
          <w:szCs w:val="32"/>
        </w:rPr>
      </w:pPr>
      <w:r>
        <w:rPr>
          <w:rFonts w:hint="eastAsia" w:ascii="仿宋_GB2312" w:eastAsia="仿宋_GB2312"/>
          <w:color w:val="auto"/>
          <w:sz w:val="32"/>
          <w:szCs w:val="32"/>
        </w:rPr>
        <w:t>（六）负责监督代建单位主要专业责任人员配备和履职情况;</w:t>
      </w:r>
    </w:p>
    <w:p>
      <w:pPr>
        <w:tabs>
          <w:tab w:val="left" w:pos="0"/>
        </w:tabs>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（七）对代建项目的安全管理、工程质量和施工进度、投资控制负监督责任，对设计变更、现场签证进行审核把关，参与工程验收；</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（八）监督代建单位对政府资金的使用情况；</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（九）每月向区发展改革等相关部门报告工程进度、完成投资和资金使用情况；</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（十）在项目实际开工后，每月向区统计部门报送项目统计报表；</w:t>
      </w:r>
    </w:p>
    <w:p>
      <w:pPr>
        <w:ind w:right="160" w:firstLine="640" w:firstLineChars="200"/>
        <w:jc w:val="left"/>
        <w:rPr>
          <w:rFonts w:hint="eastAsia" w:ascii="仿宋_GB2312" w:eastAsia="仿宋_GB2312"/>
          <w:color w:val="auto"/>
          <w:sz w:val="32"/>
          <w:szCs w:val="32"/>
          <w:lang w:eastAsia="zh-CN"/>
        </w:rPr>
      </w:pPr>
      <w:r>
        <w:rPr>
          <w:rFonts w:hint="eastAsia" w:ascii="仿宋_GB2312" w:eastAsia="仿宋_GB2312"/>
          <w:color w:val="auto"/>
          <w:sz w:val="32"/>
          <w:szCs w:val="32"/>
        </w:rPr>
        <w:t>（十一）协助代建单位编制完成项目工程结算、竣工决算和竣工财务决算批复、产权登记、资产移交等文件，经确认后以委托单位名义报审</w:t>
      </w:r>
      <w:r>
        <w:rPr>
          <w:rFonts w:hint="eastAsia" w:ascii="仿宋_GB2312" w:eastAsia="仿宋_GB2312"/>
          <w:color w:val="auto"/>
          <w:sz w:val="32"/>
          <w:szCs w:val="32"/>
          <w:lang w:eastAsia="zh-CN"/>
        </w:rPr>
        <w:t>；</w:t>
      </w:r>
    </w:p>
    <w:p>
      <w:pPr>
        <w:ind w:right="160" w:firstLine="640" w:firstLineChars="200"/>
        <w:jc w:val="left"/>
        <w:rPr>
          <w:rFonts w:ascii="仿宋_GB2312" w:eastAsia="仿宋_GB2312"/>
          <w:color w:val="auto"/>
          <w:sz w:val="32"/>
          <w:szCs w:val="32"/>
        </w:rPr>
      </w:pPr>
      <w:r>
        <w:rPr>
          <w:rFonts w:hint="eastAsia" w:ascii="仿宋_GB2312" w:eastAsia="仿宋_GB2312"/>
          <w:color w:val="auto"/>
          <w:sz w:val="32"/>
          <w:szCs w:val="32"/>
        </w:rPr>
        <w:t>（十二）负责协助开展代建项目后评价工作;</w:t>
      </w:r>
    </w:p>
    <w:p>
      <w:pPr>
        <w:spacing w:line="600" w:lineRule="exact"/>
        <w:ind w:firstLine="640" w:firstLineChars="200"/>
        <w:rPr>
          <w:rStyle w:val="26"/>
          <w:rFonts w:hint="default"/>
          <w:color w:val="auto"/>
        </w:rPr>
      </w:pPr>
      <w:r>
        <w:rPr>
          <w:rFonts w:hint="eastAsia" w:ascii="仿宋_GB2312" w:eastAsia="仿宋_GB2312"/>
          <w:color w:val="auto"/>
          <w:sz w:val="32"/>
          <w:szCs w:val="32"/>
        </w:rPr>
        <w:t xml:space="preserve">（十三）合同约定的其他事项。 </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【监理报告形式】监理单位采取监理月报和监理急报两种形式，向委托单位和代建单位提交工程质量和安全生产情况报告。</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【确认监理单位】委托单位负责确认监理单位的组织形式、人员构成及对总监理工程师的任命。</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【调换总监理工程师】监理单位调换总监理工程师时，应征得委托单位书面同意，并书面通知代建单位。调换专业监理工程师时，总监理工程师应书面通知委托单位，并抄送代建单位。</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【履职情况】一名总监理工程师原则上只能担任一项建设工程监理合同的总监理工程师。同时担任多项建设工程监理合同的总监理工程师时，应经委托单位书面同意。</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【监理规划调整】在实施建设工程监理过程中，实际情况或条件发生变化而需要调整监理规划时，应由总监理工程师组织专业监理工程师修改，并应经监理单位技术负责人批准后报委托单位。</w:t>
      </w:r>
    </w:p>
    <w:p>
      <w:pPr>
        <w:numPr>
          <w:ilvl w:val="0"/>
          <w:numId w:val="3"/>
        </w:numPr>
        <w:spacing w:line="560" w:lineRule="exact"/>
        <w:ind w:firstLine="640" w:firstLineChars="200"/>
        <w:rPr>
          <w:color w:val="auto"/>
          <w:sz w:val="24"/>
        </w:rPr>
      </w:pPr>
      <w:r>
        <w:rPr>
          <w:rStyle w:val="20"/>
          <w:rFonts w:hint="default" w:ascii="Times New Roman" w:hAnsi="Times New Roman"/>
          <w:color w:val="auto"/>
        </w:rPr>
        <w:t>【质量事故】对需要返工处理或加固补强的质量事故，监理单位应及时向委托单位提交质量事故书面报告，并应将完整的质量事故处理记录整理归档，同时抄送代建单位。</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【开工通知】工程开工前，代建单位应将监理单位的名称，监理的范围、内容和权限及总监理工程师的姓名书面通知施工单位。</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【工地会议】工程开工前，代建单位主持召开的第一次工地会议，会议纪要应由监理单位负责整理，与会各方代表应会签。</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【监理单位参会】代建单位应负责主持图纸会审和设计交底会议，监理单位应熟悉工程设计文件并参加上述会议，会议纪要应由总监理工程师签认。</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【监理规划编制】监理规划可在签订建设工程监理合同及收到工程设计文件后由总监理工程师组织编制，并应在召开第一次工地会议前报送委托单位，同时抄送代建单位。</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【审查施工组织】监理单位应审查施工单位报审的施工组织设计，符合要求时，应由总监理工程师签认后报委托单位，并同时抄送代建单位。</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开工资料审查】总监理工程师应组织专业监理工程师审查施工单位报送的开工报审表及相关资料；具备开工条件的，应由总监理工程师签署审查意见，并应报委托单位批准后，同时抄送代建单位后，总监理工程师签发工程开工令。</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监理审查意见】总监理工程师对专业监理工程师的审查意见进行审核，签认后报代建单位审批，同时抄送施工单位，并就工程竣工结算事宜与代建单位、施工单位协商；达成一致意见的，根据代建单位审批意见向施工单位签发竣工结算款支付证书；不能达成一致意见的，应按施工合同约定处理。</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【专项施工方案审查】监理单位应审查施工单位报审的专项施工方案，符合要求的，应由总监理工程师签认后报委托单位备案。</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【安全隐患】监理单位在实施监理过程中，发现工程存在安全事故隐患时，应签发监理通知单，要求施工单位整改；情况严重时，应签发工程暂停令，并应及时报告代建单位。</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【施工合同终止】施工合同终止时，监理单位应协助代建单位按施工合同约定处理施工合同终止的有关事宜。</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【工程暂停令】总监理工程师签发工程暂停令应征得委托单位和代建单位同意。在紧急情况下未能事先报告的，应在事后及时向委托单位作出书面报告，同时抄送代建单位。</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复工】当暂停施工原因消失、具备复工条件时，施工单位提出复工申请的，监理单位应审查施工单位报送的复工报审表及有关材料，符合要求后，总监理工程师应及时签署审查意见，并应报委托单位和代建单位批准后签发工程复工令；施工单位未提出复工申请的，总监理工程师应根据工程实际情况，报委托单位和代建单位批准后指令施工单位恢复施工。</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【多方协同】总监理工程师组织代建单位、施工单位等共同协商确定工程变更费用及工期变化，会签工程变更单。</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【工程变更计价】监理单位可在工程变更实施前与代建单位、施工单位等协商确定工程变更的计价原则、计价方法或价款。</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【费用索赔】监理单位与代建单位和施工单位协商一致后，在施工合同约定的期限内签发费用索赔报审表，并报代建单位确认。</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【综合处理意见】当施工单位的费用索赔要求与工程延期要求相关联时，监理单位可提出费用索赔和工程延期的综合处理意见，并应与代建单位和施工单位协商。</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【索赔协商】因施工单位原因造成代建项目损失，代建单位提出索赔时，监理单位应与代建单位和施工单位协商处理。</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【工程最终延期】当影响工期事件具有持续性时，监理单位应对施工单位提交的阶段性工程临时延期报审表进行审查，并应签署工程临时延期审核意见后报委托单位和代建单位。</w:t>
      </w:r>
    </w:p>
    <w:p>
      <w:pPr>
        <w:numPr>
          <w:ilvl w:val="255"/>
          <w:numId w:val="0"/>
        </w:numPr>
        <w:tabs>
          <w:tab w:val="left" w:pos="0"/>
        </w:tabs>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当影响工期事件结束后，监理单位应对施工单位提交的工程最终延期报审表进行审查，并应签署工程最终延期审核意见后报代建单位。</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【延期协商】监理单位在作出工程临时延期批准和工程最终延期批准前，均应与代建单位和施工单位协商。</w:t>
      </w:r>
    </w:p>
    <w:p>
      <w:pPr>
        <w:numPr>
          <w:ilvl w:val="0"/>
          <w:numId w:val="3"/>
        </w:numPr>
        <w:spacing w:line="560" w:lineRule="exact"/>
        <w:ind w:firstLine="640" w:firstLineChars="200"/>
        <w:rPr>
          <w:color w:val="auto"/>
          <w:sz w:val="24"/>
        </w:rPr>
      </w:pPr>
      <w:r>
        <w:rPr>
          <w:rStyle w:val="20"/>
          <w:rFonts w:hint="default" w:ascii="Times New Roman" w:hAnsi="Times New Roman"/>
          <w:color w:val="auto"/>
        </w:rPr>
        <w:t>【监理档案】监理单位应根据工程特点和有关规定，保存监理档案，并应向委托单位移交需要存档的监理文件资料，并抄送代建单位。</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【监理报告制】监理单位做好监理报告工作，委托单位督促监理单位履行监理责任，落实监理报告制度。监理单位对监理报告的时效性、真实性负责。</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【月报内容】监理月报是监理单位按照《建设工程监理规范》的要求，在施工阶段监理工作过程中形成，按月定期上报，记录监理日常工作的监理报告。</w:t>
      </w:r>
    </w:p>
    <w:p>
      <w:pPr>
        <w:spacing w:line="560" w:lineRule="exact"/>
        <w:ind w:firstLine="640" w:firstLineChars="200"/>
        <w:rPr>
          <w:rStyle w:val="20"/>
          <w:rFonts w:hint="default" w:cs="仿宋_GB2312"/>
          <w:color w:val="auto"/>
        </w:rPr>
      </w:pPr>
      <w:r>
        <w:rPr>
          <w:rStyle w:val="20"/>
          <w:rFonts w:hint="default" w:cs="仿宋_GB2312"/>
          <w:color w:val="auto"/>
        </w:rPr>
        <w:t>监理月报至少包括以下内容：</w:t>
      </w:r>
    </w:p>
    <w:p>
      <w:pPr>
        <w:numPr>
          <w:ilvl w:val="0"/>
          <w:numId w:val="7"/>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本月所完成分部工程验收情况；</w:t>
      </w:r>
    </w:p>
    <w:p>
      <w:pPr>
        <w:numPr>
          <w:ilvl w:val="0"/>
          <w:numId w:val="7"/>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国家强制性标准的执行情况；</w:t>
      </w:r>
    </w:p>
    <w:p>
      <w:pPr>
        <w:numPr>
          <w:ilvl w:val="0"/>
          <w:numId w:val="7"/>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监理开展的审核情况和监理指令发出及落实情况；</w:t>
      </w:r>
    </w:p>
    <w:p>
      <w:pPr>
        <w:numPr>
          <w:ilvl w:val="0"/>
          <w:numId w:val="7"/>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建筑工地扬尘治理、农民工实名制和工资管理情况。</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急报内容】除监理月报之外，监理单位还应不定期上报工程质量安全监理报告（监理急报）。监理急报是监理单位对工程的重点部位关键工序和专业性较强、危险性较大的分部分项工程施工阶段开展监理工作情况，以及发现质量安全问题并对其进行整改的情况反映，是重要事项的监理报告。</w:t>
      </w:r>
    </w:p>
    <w:p>
      <w:pPr>
        <w:spacing w:line="560" w:lineRule="exact"/>
        <w:ind w:firstLine="640" w:firstLineChars="200"/>
        <w:rPr>
          <w:rStyle w:val="20"/>
          <w:rFonts w:hint="default" w:cs="仿宋_GB2312"/>
          <w:color w:val="auto"/>
        </w:rPr>
      </w:pPr>
      <w:r>
        <w:rPr>
          <w:rStyle w:val="20"/>
          <w:rFonts w:hint="default" w:cs="仿宋_GB2312"/>
          <w:color w:val="auto"/>
        </w:rPr>
        <w:t>监理急报应包括下列内容：</w:t>
      </w:r>
    </w:p>
    <w:p>
      <w:pPr>
        <w:numPr>
          <w:ilvl w:val="255"/>
          <w:numId w:val="0"/>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1）未办理工程质量、安全监督注册手续擅自开工，或未办理施工许可证擅自开工；</w:t>
      </w:r>
    </w:p>
    <w:p>
      <w:pPr>
        <w:numPr>
          <w:ilvl w:val="255"/>
          <w:numId w:val="0"/>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2）随意变更规划，导致建筑物违规增加面积、增加楼层；</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3）施工图设计文件未经审查合格而擅自施工，以及施工过程中有重大设计变更，未将变更后的施工图报原施工图审查机构审查并获批准而擅自施工；</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4）采购的建筑材料、建筑构配件和设备不符合设计文件要求；在建工程在施工过程中擅自变动工程主体和承重结构；明示或暗示设计单位或者施工单位违反工程建设强制性标准，降低建设工程质量标准和违反安全管理规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5）对勘察、设计、施工、工程监理等单位提出不符合安全生产法律、法规和强制性标准规定的要求；要求施工单位任意压缩合理工期；将不合格工程按合格验收；</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6）工程未按规定组织竣工验收或将验收不合格的工程擅自使用；项目关键岗位人员与中标人员不符，没有办理变更手续或没有到岗、不能到岗履职；不按照经审查批准的施工图或施工技术标准施工。</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【干预责任】对于阻挠或干预监理履行报告制度，或拖延监理上报的，对造成质量安全事故的代建单位及其相关责任人依法追究责任。</w:t>
      </w:r>
    </w:p>
    <w:p>
      <w:pPr>
        <w:numPr>
          <w:ilvl w:val="0"/>
          <w:numId w:val="3"/>
        </w:numPr>
        <w:spacing w:line="560" w:lineRule="exact"/>
        <w:ind w:firstLine="640" w:firstLineChars="200"/>
        <w:rPr>
          <w:rFonts w:ascii="宋体" w:hAnsi="宋体"/>
          <w:bCs/>
          <w:color w:val="auto"/>
          <w:sz w:val="24"/>
          <w:szCs w:val="24"/>
        </w:rPr>
      </w:pPr>
      <w:r>
        <w:rPr>
          <w:rStyle w:val="20"/>
          <w:rFonts w:hint="default" w:cs="仿宋_GB2312"/>
          <w:color w:val="auto"/>
        </w:rPr>
        <w:t>【监理履职】对于不按照有关规定上报或迟报监理报告，以及质量安全监督机构在监督检查中发现施工现场的质量安全状况与监理报告内容有明显差异；而监理人员又未认真履行监理职责，存在知情不报或弄虚作假行为的，由区建设行政主管部门按《建设工程质量管理条例》、《建设工程安全生产管理条例》等有关规定进行处罚并记载不良行为记录；如果监理单位遵守法律、法规，《建设工程监理规范》及相关法律法规制度，履行职责的，予以免责。</w:t>
      </w:r>
    </w:p>
    <w:p>
      <w:pPr>
        <w:numPr>
          <w:ilvl w:val="0"/>
          <w:numId w:val="3"/>
        </w:numPr>
        <w:spacing w:line="560" w:lineRule="exact"/>
        <w:ind w:firstLine="640" w:firstLineChars="200"/>
        <w:rPr>
          <w:rStyle w:val="20"/>
          <w:rFonts w:hint="default" w:ascii="仿宋_GB2312" w:hAnsi="仿宋_GB2312" w:cs="仿宋_GB2312"/>
          <w:color w:val="auto"/>
        </w:rPr>
      </w:pPr>
      <w:r>
        <w:rPr>
          <w:rStyle w:val="20"/>
          <w:rFonts w:hint="default" w:ascii="仿宋_GB2312" w:hAnsi="仿宋_GB2312" w:cs="仿宋_GB2312"/>
          <w:color w:val="auto"/>
        </w:rPr>
        <w:t>【设计变更管理】代建单位在监理单位的协助下完成设计变更的管理工作，符合罗湖区政府投资项目</w:t>
      </w:r>
      <w:r>
        <w:rPr>
          <w:rStyle w:val="20"/>
          <w:rFonts w:hint="default" w:ascii="仿宋_GB2312" w:hAnsi="仿宋_GB2312" w:eastAsia="仿宋_GB2312" w:cs="仿宋_GB2312"/>
          <w:color w:val="auto"/>
          <w:shd w:val="clear" w:fill="auto"/>
          <w:lang w:eastAsia="zh-CN"/>
        </w:rPr>
        <w:t>设计变更备案实施细则</w:t>
      </w:r>
      <w:r>
        <w:rPr>
          <w:rStyle w:val="20"/>
          <w:rFonts w:hint="default" w:ascii="仿宋_GB2312" w:hAnsi="仿宋_GB2312" w:cs="仿宋_GB2312"/>
          <w:color w:val="auto"/>
        </w:rPr>
        <w:t>规定的报委托单位按规定的程序实施。</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【工程计量和付款签证程序】监理单位应按下列程序进行工程计量和付款签证：</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1）专业监理工程师对施工单位在工程款支付报审表中提交的工程量和支付金额进行复核，确定实际完成的工程量，提出到期应支付给施工单位的金额，并提出相应的支持性材料。</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2）总监理工程师对专业监理工程师的审查意见进行审核，签认后报代建单位。</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3）总监理工程师根据代建单位的审批意见，向施工单位签发工程款支付证书。</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【工程变更处理】监理单位可按下列程序处理施工单位提出的工程变更：</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1）总监理工程师组织专业监理工程师审查施工单位提出的工程变更申请，报代建单位审核并提出审查意见。对涉及工程设计文件修改的工程变更，应由代建单位转交原设计单位修改工程设计文件。必要时，监理单位应建议代建单位组织设计、施工等单位召开论证工程设计文件的修改方案的专题会议。</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2）总监理工程师组织专业监理工程师对工程变更费用及工期影响作出评估。</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3）总监理工程师组织代建单位、施工单位等共同协商确定工程变更费用及工期变化，会签工程变更单。</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4）监理单位根据批准的工程变更文件监督施工单位实施工程变更。</w:t>
      </w:r>
      <w:bookmarkStart w:id="19" w:name="_Toc32317"/>
    </w:p>
    <w:p>
      <w:pPr>
        <w:spacing w:line="560" w:lineRule="exact"/>
        <w:ind w:firstLine="640" w:firstLineChars="200"/>
        <w:rPr>
          <w:rFonts w:ascii="仿宋_GB2312" w:hAnsi="仿宋_GB2312" w:eastAsia="仿宋_GB2312" w:cs="仿宋_GB2312"/>
          <w:color w:val="auto"/>
          <w:sz w:val="32"/>
          <w:szCs w:val="32"/>
        </w:rPr>
      </w:pPr>
    </w:p>
    <w:p>
      <w:pPr>
        <w:numPr>
          <w:ilvl w:val="0"/>
          <w:numId w:val="2"/>
        </w:numPr>
        <w:spacing w:before="156" w:beforeLines="50" w:after="156" w:afterLines="50" w:line="560" w:lineRule="exact"/>
        <w:jc w:val="center"/>
        <w:outlineLvl w:val="0"/>
        <w:rPr>
          <w:rFonts w:ascii="黑体" w:hAnsi="黑体" w:eastAsia="黑体" w:cs="黑体"/>
          <w:bCs/>
          <w:color w:val="auto"/>
          <w:sz w:val="32"/>
          <w:szCs w:val="32"/>
        </w:rPr>
      </w:pPr>
      <w:bookmarkStart w:id="20" w:name="_Toc30608"/>
      <w:bookmarkStart w:id="21" w:name="_Toc28925"/>
      <w:r>
        <w:rPr>
          <w:rFonts w:hint="eastAsia" w:ascii="黑体" w:hAnsi="黑体" w:eastAsia="黑体" w:cs="黑体"/>
          <w:bCs/>
          <w:color w:val="auto"/>
          <w:sz w:val="32"/>
          <w:szCs w:val="32"/>
        </w:rPr>
        <w:t>竣工和保修阶段</w:t>
      </w:r>
      <w:bookmarkEnd w:id="19"/>
      <w:bookmarkEnd w:id="20"/>
      <w:bookmarkEnd w:id="21"/>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【工程验收】代建单位</w:t>
      </w:r>
      <w:r>
        <w:rPr>
          <w:rStyle w:val="20"/>
          <w:rFonts w:hint="default" w:cs="仿宋_GB2312"/>
          <w:color w:val="auto"/>
        </w:rPr>
        <w:t>按照国家有关规定及时组织工程验收，委托单位应参与工程验收。在工程验收合格后30个工作日内委托单位组织代建单位将工程实体移交给接收管理单位，接收管理单位必须按竣工图纸内容接</w:t>
      </w:r>
      <w:r>
        <w:rPr>
          <w:rStyle w:val="20"/>
          <w:rFonts w:hint="default" w:ascii="Times New Roman" w:hAnsi="Times New Roman"/>
          <w:color w:val="auto"/>
        </w:rPr>
        <w:t>收，并尽快投入使用。未经工程验收或者验收不合格的，委托单位应责令代建单位进行整改，不得交付使用。</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【工程结算报告】通过工程验收的项目，代建单位应当组织施工单位</w:t>
      </w:r>
      <w:r>
        <w:rPr>
          <w:rStyle w:val="20"/>
          <w:rFonts w:hint="default" w:cs="仿宋_GB2312"/>
          <w:color w:val="auto"/>
        </w:rPr>
        <w:t>在3个月内完成工程结算报告的编制，并按照有关规定报区政府指定</w:t>
      </w:r>
      <w:r>
        <w:rPr>
          <w:rStyle w:val="20"/>
          <w:rFonts w:hint="default" w:ascii="Times New Roman" w:hAnsi="Times New Roman"/>
          <w:color w:val="auto"/>
        </w:rPr>
        <w:t>部门审核。</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【超额记录】委托单位对预算送审金额超预算审核金额、结算送审金额超结算审核金额、决算送审金额超决算审核金额百分之十的，必须记录在案。</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【竣工决算报告】代建单位应当在政府投资项目全部工程结算报告审核意见出具后</w:t>
      </w:r>
      <w:r>
        <w:rPr>
          <w:rStyle w:val="20"/>
          <w:rFonts w:hint="default" w:cs="仿宋_GB2312"/>
          <w:color w:val="auto"/>
        </w:rPr>
        <w:t>3个月内，完成竣工决算报告的编制，并按照相关规定报区政府指定部门审核。代建单位应当在区政府投资项目竣工财务决算报告审核意见出具后30</w:t>
      </w:r>
      <w:r>
        <w:rPr>
          <w:rStyle w:val="20"/>
          <w:rFonts w:hint="default" w:ascii="Times New Roman" w:hAnsi="Times New Roman"/>
          <w:color w:val="auto"/>
        </w:rPr>
        <w:t>个工作日内，向区财政局申请办理竣工财务决算批复。</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【资产移交】代建单位应当按照有关规定及时与项目接收管理单位办理资产移交手续，委托单位负责协调工作。竣工后形成固定资产的，在完成资产移交手续后，由项目接收管理单位</w:t>
      </w:r>
      <w:r>
        <w:rPr>
          <w:rStyle w:val="20"/>
          <w:rFonts w:hint="default" w:cs="仿宋_GB2312"/>
          <w:color w:val="auto"/>
        </w:rPr>
        <w:t>在竣工财务决算批复后30个工作日内，向</w:t>
      </w:r>
      <w:r>
        <w:rPr>
          <w:rStyle w:val="20"/>
          <w:rFonts w:hint="default" w:ascii="Times New Roman" w:hAnsi="Times New Roman"/>
          <w:color w:val="auto"/>
        </w:rPr>
        <w:t>区财政局申请办理资产备案手续，并依法办理产权登记。</w:t>
      </w:r>
    </w:p>
    <w:p>
      <w:pPr>
        <w:numPr>
          <w:ilvl w:val="255"/>
          <w:numId w:val="0"/>
        </w:numPr>
        <w:tabs>
          <w:tab w:val="left" w:pos="0"/>
        </w:tabs>
        <w:spacing w:line="560" w:lineRule="exact"/>
        <w:ind w:firstLine="640" w:firstLineChars="200"/>
        <w:rPr>
          <w:rFonts w:ascii="宋体" w:hAnsi="宋体"/>
          <w:bCs/>
          <w:color w:val="auto"/>
          <w:sz w:val="24"/>
          <w:szCs w:val="24"/>
        </w:rPr>
      </w:pPr>
      <w:r>
        <w:rPr>
          <w:rStyle w:val="20"/>
          <w:rFonts w:hint="default" w:ascii="Times New Roman" w:hAnsi="Times New Roman"/>
          <w:color w:val="auto"/>
        </w:rPr>
        <w:t>区政府投资项目竣工后不形成固定资产的，委托单位或接</w:t>
      </w:r>
      <w:r>
        <w:rPr>
          <w:rStyle w:val="20"/>
          <w:rFonts w:hint="default" w:cs="仿宋_GB2312"/>
          <w:color w:val="auto"/>
        </w:rPr>
        <w:t>收管理单位应当在竣工财务决算批复后30个工作日内，按照财务</w:t>
      </w:r>
      <w:r>
        <w:rPr>
          <w:rStyle w:val="20"/>
          <w:rFonts w:hint="default" w:ascii="Times New Roman" w:hAnsi="Times New Roman"/>
          <w:color w:val="auto"/>
        </w:rPr>
        <w:t>管理制度做好相关后续处理工作。</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工程质量保证金】完成资产移交后，代建单位应负责工程质量保证金的代持，委托单位对代建单位进行监督。不设工程质量保证金的，应通过履约保函代替。代建单位应协同施工单位在缺陷责任期内承担质量保修责任，对施工单位工作进行监督。</w:t>
      </w:r>
    </w:p>
    <w:p>
      <w:pPr>
        <w:numPr>
          <w:ilvl w:val="0"/>
          <w:numId w:val="3"/>
        </w:numPr>
        <w:spacing w:line="560" w:lineRule="exact"/>
        <w:ind w:firstLine="640" w:firstLineChars="200"/>
        <w:rPr>
          <w:rFonts w:ascii="Times New Roman" w:hAnsi="Times New Roman" w:eastAsia="仿宋_GB2312"/>
          <w:color w:val="auto"/>
          <w:sz w:val="32"/>
          <w:szCs w:val="32"/>
        </w:rPr>
      </w:pPr>
      <w:r>
        <w:rPr>
          <w:rStyle w:val="20"/>
          <w:rFonts w:hint="default" w:ascii="Times New Roman" w:hAnsi="Times New Roman"/>
          <w:color w:val="auto"/>
        </w:rPr>
        <w:t>【缺陷责任】缺陷责任期内，代建单位应及时安排质量缺陷维修工作，相关责任方由代建单位予以认定。如出现非人为损坏归属保修范围的事项，项目</w:t>
      </w:r>
      <w:r>
        <w:rPr>
          <w:rStyle w:val="20"/>
          <w:rFonts w:hint="default" w:ascii="Times New Roman" w:hAnsi="Times New Roman"/>
          <w:color w:val="auto"/>
          <w:lang w:val="en"/>
        </w:rPr>
        <w:t>使用单位</w:t>
      </w:r>
      <w:r>
        <w:rPr>
          <w:rStyle w:val="20"/>
          <w:rFonts w:hint="default" w:ascii="Times New Roman" w:hAnsi="Times New Roman"/>
          <w:color w:val="auto"/>
        </w:rPr>
        <w:t>可直接联络代建单位组织维修，代建单位应安排相关人员进行检查和记录，要求并监督施工单位予以修复，合格后签认。</w:t>
      </w:r>
    </w:p>
    <w:p>
      <w:pPr>
        <w:numPr>
          <w:ilvl w:val="255"/>
          <w:numId w:val="0"/>
        </w:numPr>
        <w:tabs>
          <w:tab w:val="left" w:pos="0"/>
        </w:tabs>
        <w:spacing w:line="560" w:lineRule="exact"/>
        <w:rPr>
          <w:rFonts w:ascii="Times New Roman" w:hAnsi="Times New Roman" w:eastAsia="仿宋_GB2312"/>
          <w:color w:val="auto"/>
          <w:sz w:val="32"/>
          <w:szCs w:val="32"/>
        </w:rPr>
      </w:pPr>
    </w:p>
    <w:p>
      <w:pPr>
        <w:numPr>
          <w:ilvl w:val="0"/>
          <w:numId w:val="2"/>
        </w:numPr>
        <w:spacing w:before="156" w:beforeLines="50" w:after="156" w:afterLines="50" w:line="560" w:lineRule="exact"/>
        <w:jc w:val="center"/>
        <w:outlineLvl w:val="0"/>
        <w:rPr>
          <w:rFonts w:ascii="黑体" w:hAnsi="黑体" w:eastAsia="黑体" w:cs="黑体"/>
          <w:bCs/>
          <w:color w:val="auto"/>
          <w:sz w:val="32"/>
          <w:szCs w:val="32"/>
        </w:rPr>
      </w:pPr>
      <w:bookmarkStart w:id="22" w:name="_Toc15834"/>
      <w:bookmarkStart w:id="23" w:name="_Toc16153"/>
      <w:bookmarkStart w:id="24" w:name="_Toc10134"/>
      <w:r>
        <w:rPr>
          <w:rFonts w:hint="eastAsia" w:ascii="黑体" w:hAnsi="黑体" w:eastAsia="黑体" w:cs="黑体"/>
          <w:bCs/>
          <w:color w:val="auto"/>
          <w:sz w:val="32"/>
          <w:szCs w:val="32"/>
        </w:rPr>
        <w:t>履约考核</w:t>
      </w:r>
      <w:bookmarkEnd w:id="22"/>
      <w:bookmarkEnd w:id="23"/>
      <w:bookmarkEnd w:id="24"/>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【履约考核】委托单位负责组织具体履约考核工作，项目</w:t>
      </w:r>
      <w:r>
        <w:rPr>
          <w:rStyle w:val="20"/>
          <w:rFonts w:hint="default" w:ascii="Times New Roman" w:hAnsi="Times New Roman"/>
          <w:color w:val="auto"/>
          <w:lang w:val="en"/>
        </w:rPr>
        <w:t>使用单位</w:t>
      </w:r>
      <w:r>
        <w:rPr>
          <w:rStyle w:val="20"/>
          <w:rFonts w:hint="default" w:ascii="Times New Roman" w:hAnsi="Times New Roman"/>
          <w:color w:val="auto"/>
        </w:rPr>
        <w:t>也可定期或不定期对代建项目进行考核，并将考核结果报送委托单位。</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【考核分类】考核主体对代建单位履约考核方式分为项目阶段履约考核和项目最终履约考核。</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【履约考核表】项目阶段履约考核是指在合同履行期间，考核主体根据代建项目类型、特点及管理需要，可定期或不定期对代建项目进行阶段考核。阶段考核分为施工准备、施工以及竣工验收和移交三个阶段</w:t>
      </w:r>
      <w:r>
        <w:rPr>
          <w:rStyle w:val="20"/>
          <w:rFonts w:hint="default" w:cs="仿宋_GB2312"/>
          <w:color w:val="auto"/>
        </w:rPr>
        <w:t>。各阶段具体考核内容参照《代建项目履约考核表》（见附件3</w:t>
      </w:r>
      <w:r>
        <w:rPr>
          <w:rStyle w:val="20"/>
          <w:rFonts w:hint="default" w:ascii="Times New Roman" w:hAnsi="Times New Roman"/>
          <w:color w:val="auto"/>
        </w:rPr>
        <w:t>）执行，并将检查结果及考核结果记录入表。</w:t>
      </w:r>
    </w:p>
    <w:p>
      <w:pPr>
        <w:numPr>
          <w:ilvl w:val="0"/>
          <w:numId w:val="3"/>
        </w:numPr>
        <w:spacing w:line="560" w:lineRule="exact"/>
        <w:ind w:firstLine="640" w:firstLineChars="200"/>
        <w:rPr>
          <w:rStyle w:val="20"/>
          <w:rFonts w:hint="default" w:cs="仿宋_GB2312"/>
          <w:color w:val="auto"/>
        </w:rPr>
      </w:pPr>
      <w:r>
        <w:rPr>
          <w:rStyle w:val="20"/>
          <w:rFonts w:hint="default" w:ascii="Times New Roman" w:hAnsi="Times New Roman"/>
          <w:color w:val="auto"/>
        </w:rPr>
        <w:t>【最终履约考核方式】项目最终履约考核是指合同履行完毕后，委托单位综合项目阶段履约考核情况，对代建单位的履约行为进行最终的具体评价。委托单位应当在代建项目完成移交并完成竣工财务决算后及时对考核主体的阶段履约结果进行统计，综合得出代建项目</w:t>
      </w:r>
      <w:r>
        <w:rPr>
          <w:rStyle w:val="20"/>
          <w:rFonts w:hint="default" w:cs="仿宋_GB2312"/>
          <w:color w:val="auto"/>
        </w:rPr>
        <w:t>的最终履约得分，计算方法如下：</w:t>
      </w:r>
    </w:p>
    <w:p>
      <w:pPr>
        <w:spacing w:line="560" w:lineRule="exact"/>
        <w:ind w:firstLine="640" w:firstLineChars="200"/>
        <w:rPr>
          <w:rStyle w:val="20"/>
          <w:rFonts w:hint="eastAsia" w:cs="仿宋_GB2312"/>
          <w:color w:val="auto"/>
        </w:rPr>
      </w:pPr>
      <w:r>
        <w:rPr>
          <w:rStyle w:val="20"/>
          <w:rFonts w:hint="default" w:cs="仿宋_GB2312"/>
          <w:color w:val="auto"/>
        </w:rPr>
        <w:t>代建项目最终履约考核得分=施工准备阶段考核平均分*0.15+施工阶段考核平均分*0.75+竣工验收和移交阶段考核平均分*0.10</w:t>
      </w:r>
      <w:r>
        <w:rPr>
          <w:rStyle w:val="20"/>
          <w:rFonts w:hint="eastAsia" w:eastAsia="仿宋_GB2312" w:cs="仿宋_GB2312"/>
          <w:color w:val="auto"/>
          <w:lang w:eastAsia="zh-CN"/>
        </w:rPr>
        <w:t>。</w:t>
      </w:r>
    </w:p>
    <w:p>
      <w:pPr>
        <w:numPr>
          <w:ilvl w:val="0"/>
          <w:numId w:val="3"/>
        </w:numPr>
        <w:spacing w:line="560" w:lineRule="exact"/>
        <w:ind w:firstLine="640" w:firstLineChars="200"/>
        <w:rPr>
          <w:rStyle w:val="20"/>
          <w:rFonts w:hint="default" w:ascii="Times New Roman" w:hAnsi="Times New Roman"/>
          <w:color w:val="auto"/>
        </w:rPr>
      </w:pPr>
      <w:r>
        <w:rPr>
          <w:rStyle w:val="20"/>
          <w:rFonts w:hint="default" w:ascii="Times New Roman" w:hAnsi="Times New Roman"/>
          <w:color w:val="auto"/>
        </w:rPr>
        <w:t>【最终履约考核结果】代建项目最终履约考核结果分为优秀、良好、合格、不合格四个等级，考核结果以通报的形式予以公布。</w:t>
      </w:r>
    </w:p>
    <w:p>
      <w:pPr>
        <w:spacing w:line="560" w:lineRule="exact"/>
        <w:ind w:firstLine="640" w:firstLineChars="200"/>
        <w:rPr>
          <w:rStyle w:val="20"/>
          <w:rFonts w:hint="default" w:cs="仿宋_GB2312"/>
          <w:color w:val="auto"/>
        </w:rPr>
      </w:pPr>
      <w:r>
        <w:rPr>
          <w:rStyle w:val="20"/>
          <w:rFonts w:hint="default" w:ascii="Times New Roman" w:hAnsi="Times New Roman"/>
          <w:color w:val="auto"/>
        </w:rPr>
        <w:t>优秀：代建单位的履约表现达到合同</w:t>
      </w:r>
      <w:r>
        <w:rPr>
          <w:rStyle w:val="20"/>
          <w:rFonts w:hint="default" w:cs="仿宋_GB2312"/>
          <w:color w:val="auto"/>
        </w:rPr>
        <w:t>约定的标准且大部分履约水平高于合同约定的标准，评价得分在90～100分；</w:t>
      </w:r>
    </w:p>
    <w:p>
      <w:pPr>
        <w:spacing w:line="560" w:lineRule="exact"/>
        <w:ind w:firstLine="640" w:firstLineChars="200"/>
        <w:rPr>
          <w:rStyle w:val="20"/>
          <w:rFonts w:hint="default" w:cs="仿宋_GB2312"/>
          <w:color w:val="auto"/>
        </w:rPr>
      </w:pPr>
      <w:r>
        <w:rPr>
          <w:rStyle w:val="20"/>
          <w:rFonts w:hint="default" w:cs="仿宋_GB2312"/>
          <w:color w:val="auto"/>
        </w:rPr>
        <w:t>良好：代建单位的履约表现达到合同约定的标准且部分履约水平高于合同约定的标准，评价得分在75～89分；</w:t>
      </w:r>
    </w:p>
    <w:p>
      <w:pPr>
        <w:spacing w:line="560" w:lineRule="exact"/>
        <w:ind w:firstLine="640" w:firstLineChars="200"/>
        <w:rPr>
          <w:rStyle w:val="20"/>
          <w:rFonts w:hint="default" w:cs="仿宋_GB2312"/>
          <w:color w:val="auto"/>
        </w:rPr>
      </w:pPr>
      <w:r>
        <w:rPr>
          <w:rStyle w:val="20"/>
          <w:rFonts w:hint="default" w:cs="仿宋_GB2312"/>
          <w:color w:val="auto"/>
        </w:rPr>
        <w:t>合格：代建单位的履约表现达到合同约定的标准，评价得分在60～74分；</w:t>
      </w:r>
    </w:p>
    <w:p>
      <w:pPr>
        <w:spacing w:line="560" w:lineRule="exact"/>
        <w:ind w:firstLine="640" w:firstLineChars="200"/>
        <w:rPr>
          <w:rStyle w:val="20"/>
          <w:rFonts w:hint="default" w:cs="仿宋_GB2312"/>
          <w:color w:val="auto"/>
        </w:rPr>
      </w:pPr>
      <w:r>
        <w:rPr>
          <w:rStyle w:val="20"/>
          <w:rFonts w:hint="default" w:cs="仿宋_GB2312"/>
          <w:color w:val="auto"/>
        </w:rPr>
        <w:t>不合格：代建单位的履约表现低于合同约定的标准，或需有关单位重复发出指令、反复整改，才能达到满意水平，评价得分在59分（含）以下。</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不合格情形】代建单位有下列情形之一的，其代建项目最终履约考核结果直接评为“不合格”等级，履约考核得分高于59分的，以59分计；委托单位可视情节轻重予以相应经济处罚，造成经济损失的追究直接经济损失，触犯相关法律的依纪依法移送相关部门追究法律责任：</w:t>
      </w:r>
    </w:p>
    <w:p>
      <w:pPr>
        <w:numPr>
          <w:ilvl w:val="0"/>
          <w:numId w:val="8"/>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经相关职能部门查实，以不正当行为影响履约考核工作的；</w:t>
      </w:r>
    </w:p>
    <w:p>
      <w:pPr>
        <w:numPr>
          <w:ilvl w:val="0"/>
          <w:numId w:val="8"/>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因代建单位原因造成工程发生一般安全责任事故（指一次造成</w:t>
      </w:r>
      <w:r>
        <w:rPr>
          <w:rFonts w:ascii="仿宋_GB2312" w:hAnsi="仿宋_GB2312" w:eastAsia="仿宋_GB2312" w:cs="仿宋_GB2312"/>
          <w:color w:val="auto"/>
          <w:kern w:val="0"/>
          <w:sz w:val="32"/>
          <w:szCs w:val="32"/>
          <w:lang w:bidi="ar"/>
        </w:rPr>
        <w:t>3人以下死亡，或者10人以下重伤，或者1000万元以下直接经济损失的事故）的；</w:t>
      </w:r>
    </w:p>
    <w:p>
      <w:pPr>
        <w:numPr>
          <w:ilvl w:val="0"/>
          <w:numId w:val="8"/>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因代建单位原因造成履约时间滞后超过合同约定履约时间</w:t>
      </w:r>
      <w:r>
        <w:rPr>
          <w:rFonts w:ascii="仿宋_GB2312" w:hAnsi="仿宋_GB2312" w:eastAsia="仿宋_GB2312" w:cs="仿宋_GB2312"/>
          <w:color w:val="auto"/>
          <w:kern w:val="0"/>
          <w:sz w:val="32"/>
          <w:szCs w:val="32"/>
          <w:lang w:bidi="ar"/>
        </w:rPr>
        <w:t>20%的；</w:t>
      </w:r>
    </w:p>
    <w:p>
      <w:pPr>
        <w:numPr>
          <w:ilvl w:val="0"/>
          <w:numId w:val="8"/>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被建设主管部门认定违法分包工程行为的；</w:t>
      </w:r>
    </w:p>
    <w:p>
      <w:pPr>
        <w:numPr>
          <w:ilvl w:val="0"/>
          <w:numId w:val="8"/>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因拖欠工人工资或分包商工程款而发生纠纷逾期未整改或引发群体性（</w:t>
      </w:r>
      <w:r>
        <w:rPr>
          <w:rFonts w:ascii="仿宋_GB2312" w:hAnsi="仿宋_GB2312" w:eastAsia="仿宋_GB2312" w:cs="仿宋_GB2312"/>
          <w:color w:val="auto"/>
          <w:kern w:val="0"/>
          <w:sz w:val="32"/>
          <w:szCs w:val="32"/>
          <w:lang w:bidi="ar"/>
        </w:rPr>
        <w:t>5人及5人以上）上访事件造成重大社会影响的；</w:t>
      </w:r>
    </w:p>
    <w:p>
      <w:pPr>
        <w:numPr>
          <w:ilvl w:val="0"/>
          <w:numId w:val="8"/>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被认定行贿政府部门公职人员的；</w:t>
      </w:r>
    </w:p>
    <w:p>
      <w:pPr>
        <w:numPr>
          <w:ilvl w:val="0"/>
          <w:numId w:val="8"/>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因造价咨询单位原因项目结算送审价超过审定价</w:t>
      </w:r>
      <w:r>
        <w:rPr>
          <w:rFonts w:ascii="仿宋_GB2312" w:hAnsi="仿宋_GB2312" w:eastAsia="仿宋_GB2312" w:cs="仿宋_GB2312"/>
          <w:color w:val="auto"/>
          <w:kern w:val="0"/>
          <w:sz w:val="32"/>
          <w:szCs w:val="32"/>
          <w:lang w:bidi="ar"/>
        </w:rPr>
        <w:t>25%的；</w:t>
      </w:r>
    </w:p>
    <w:p>
      <w:pPr>
        <w:numPr>
          <w:ilvl w:val="0"/>
          <w:numId w:val="8"/>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委托单位检查人员发现代建项目存在</w:t>
      </w:r>
      <w:r>
        <w:rPr>
          <w:rStyle w:val="26"/>
          <w:rFonts w:hint="default"/>
          <w:color w:val="auto"/>
        </w:rPr>
        <w:t>“预罚金挪作他用”、</w:t>
      </w:r>
      <w:r>
        <w:rPr>
          <w:rFonts w:hint="eastAsia" w:ascii="仿宋_GB2312" w:hAnsi="仿宋_GB2312" w:eastAsia="仿宋_GB2312" w:cs="仿宋_GB2312"/>
          <w:color w:val="auto"/>
          <w:kern w:val="0"/>
          <w:sz w:val="32"/>
          <w:szCs w:val="32"/>
          <w:lang w:bidi="ar"/>
        </w:rPr>
        <w:t>“屡犯不罚”、“随意设定和执行罚金收缴时间”、“随意管理处罚记录”等情况的；</w:t>
      </w:r>
    </w:p>
    <w:p>
      <w:pPr>
        <w:numPr>
          <w:ilvl w:val="0"/>
          <w:numId w:val="8"/>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在招标文件中或合同中列明的其他情形；</w:t>
      </w:r>
    </w:p>
    <w:p>
      <w:pPr>
        <w:numPr>
          <w:ilvl w:val="0"/>
          <w:numId w:val="8"/>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其他违反相关法律法规的行为。</w:t>
      </w:r>
    </w:p>
    <w:p>
      <w:pPr>
        <w:spacing w:line="560" w:lineRule="exact"/>
        <w:ind w:firstLine="640" w:firstLineChars="200"/>
        <w:rPr>
          <w:rStyle w:val="26"/>
          <w:rFonts w:hint="default" w:hAnsi="仿宋_GB2312" w:cs="仿宋_GB2312"/>
          <w:color w:val="auto"/>
        </w:rPr>
      </w:pPr>
      <w:r>
        <w:rPr>
          <w:rStyle w:val="20"/>
          <w:rFonts w:hint="default" w:cs="仿宋_GB2312"/>
          <w:color w:val="auto"/>
        </w:rPr>
        <w:t>代建单位有下列情形之一的，其代建项目最终履约考核结果直接评为“不合格”等级，履约考核得分高于59分的，以59分计；委托单位可视情节轻重予以相应经济处罚，造成经济损失的可追究直接经济损失，触犯相关法律的依纪依法移送相关部门追究法律责任</w:t>
      </w:r>
      <w:r>
        <w:rPr>
          <w:rStyle w:val="26"/>
          <w:rFonts w:hint="default" w:hAnsi="仿宋_GB2312" w:cs="仿宋_GB2312"/>
          <w:color w:val="auto"/>
        </w:rPr>
        <w:t>。采用公开招标方式选取代建单位的，委托单位应根据区住房建设局的通报情况，在招标文件中增加履约评价为“不合格”情形的否决性条款。</w:t>
      </w:r>
    </w:p>
    <w:p>
      <w:pPr>
        <w:numPr>
          <w:ilvl w:val="0"/>
          <w:numId w:val="9"/>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以欺骗、贿赂等不正当手段取得代建资格的；</w:t>
      </w:r>
    </w:p>
    <w:p>
      <w:pPr>
        <w:numPr>
          <w:ilvl w:val="0"/>
          <w:numId w:val="9"/>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被建设主管部门认定存在违规转包、挂靠行为的；</w:t>
      </w:r>
    </w:p>
    <w:p>
      <w:pPr>
        <w:numPr>
          <w:ilvl w:val="0"/>
          <w:numId w:val="9"/>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因代建单位原因造成工程发生较大安全责任事故（造成</w:t>
      </w:r>
      <w:r>
        <w:rPr>
          <w:rFonts w:ascii="仿宋_GB2312" w:hAnsi="仿宋_GB2312" w:eastAsia="仿宋_GB2312" w:cs="仿宋_GB2312"/>
          <w:color w:val="auto"/>
          <w:kern w:val="0"/>
          <w:sz w:val="32"/>
          <w:szCs w:val="32"/>
          <w:lang w:bidi="ar"/>
        </w:rPr>
        <w:t>3人以上10人以下死亡，或者10人以上50人以下重伤，或者1000万元以上5000万元以下直接经济损失的事故）及以上事故的；</w:t>
      </w:r>
    </w:p>
    <w:p>
      <w:pPr>
        <w:numPr>
          <w:ilvl w:val="0"/>
          <w:numId w:val="9"/>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无正当理由不履行已签订代建合同义务，或同一事项超过两次整改不到位的；</w:t>
      </w:r>
    </w:p>
    <w:p>
      <w:pPr>
        <w:numPr>
          <w:ilvl w:val="0"/>
          <w:numId w:val="9"/>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在招标文件中或合同中列明的其他情形；</w:t>
      </w:r>
    </w:p>
    <w:p>
      <w:pPr>
        <w:numPr>
          <w:ilvl w:val="0"/>
          <w:numId w:val="9"/>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其他违反相关法律法规的行为。</w:t>
      </w:r>
    </w:p>
    <w:p>
      <w:pPr>
        <w:numPr>
          <w:ilvl w:val="0"/>
          <w:numId w:val="3"/>
        </w:numPr>
        <w:spacing w:line="560" w:lineRule="exact"/>
        <w:ind w:firstLine="640" w:firstLineChars="200"/>
        <w:rPr>
          <w:rFonts w:ascii="宋体" w:hAnsi="宋体" w:cs="宋体"/>
          <w:color w:val="auto"/>
          <w:sz w:val="24"/>
          <w:szCs w:val="24"/>
        </w:rPr>
      </w:pPr>
      <w:r>
        <w:rPr>
          <w:rStyle w:val="20"/>
          <w:rFonts w:hint="default" w:ascii="Times New Roman" w:hAnsi="Times New Roman"/>
          <w:color w:val="auto"/>
        </w:rPr>
        <w:t>【信用体系】代建项目阶段履约考核和最终履约考核结果抄送区发展改革局和区住房建设局，并按信用体系建设有关要求记入代建单位信用档案。</w:t>
      </w:r>
    </w:p>
    <w:p>
      <w:pPr>
        <w:numPr>
          <w:ilvl w:val="0"/>
          <w:numId w:val="3"/>
        </w:numPr>
        <w:spacing w:line="560" w:lineRule="exact"/>
        <w:ind w:firstLine="640"/>
        <w:rPr>
          <w:rStyle w:val="20"/>
          <w:rFonts w:hint="default" w:ascii="Times New Roman" w:hAnsi="Times New Roman"/>
          <w:color w:val="auto"/>
        </w:rPr>
      </w:pPr>
      <w:r>
        <w:rPr>
          <w:rStyle w:val="26"/>
          <w:rFonts w:hint="default"/>
          <w:color w:val="auto"/>
        </w:rPr>
        <w:t>【择优定标机制】采取公开招标方式选取代建单位的，委托单位应在招标文件中将代建单位在罗湖区承担的代建项目获得国家级、省级和市级建筑工程奖项的情况，</w:t>
      </w:r>
      <w:r>
        <w:rPr>
          <w:rStyle w:val="26"/>
          <w:rFonts w:hint="default"/>
          <w:color w:val="auto"/>
        </w:rPr>
        <w:t>以及代建单位信用档案情况</w:t>
      </w:r>
      <w:r>
        <w:rPr>
          <w:rStyle w:val="26"/>
          <w:rFonts w:hint="default"/>
          <w:color w:val="auto"/>
        </w:rPr>
        <w:t>纳入定标的择优要素，有关</w:t>
      </w:r>
      <w:r>
        <w:rPr>
          <w:rStyle w:val="20"/>
          <w:rFonts w:hint="default" w:ascii="Times New Roman" w:hAnsi="Times New Roman"/>
          <w:color w:val="auto"/>
        </w:rPr>
        <w:t>建筑工程奖项名单见附</w:t>
      </w:r>
      <w:r>
        <w:rPr>
          <w:rStyle w:val="20"/>
          <w:rFonts w:hint="default" w:cs="仿宋_GB2312"/>
          <w:color w:val="auto"/>
        </w:rPr>
        <w:t>件4。</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【退出机制】在代建合同履行过程中，出现以下情况之一，代建单位需退出代建项目，具体应在代建合同中予以约定：</w:t>
      </w:r>
    </w:p>
    <w:p>
      <w:pPr>
        <w:numPr>
          <w:ilvl w:val="0"/>
          <w:numId w:val="10"/>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由于委托单位原因致使代建项目发生暂停或终止的；</w:t>
      </w:r>
    </w:p>
    <w:p>
      <w:pPr>
        <w:numPr>
          <w:ilvl w:val="0"/>
          <w:numId w:val="10"/>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代建单位无法继续履行或明确表示不履行，或实质上已停止履行合同；</w:t>
      </w:r>
    </w:p>
    <w:p>
      <w:pPr>
        <w:numPr>
          <w:ilvl w:val="0"/>
          <w:numId w:val="10"/>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代建单位出现《代建项目履约考核表》的违约情况拒不整改，或同一事项超过两次整改不到位的；</w:t>
      </w:r>
    </w:p>
    <w:p>
      <w:pPr>
        <w:numPr>
          <w:ilvl w:val="0"/>
          <w:numId w:val="10"/>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代建单位与第三方串通，损害委托单位利益的；</w:t>
      </w:r>
    </w:p>
    <w:p>
      <w:pPr>
        <w:numPr>
          <w:ilvl w:val="0"/>
          <w:numId w:val="10"/>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由于不可抗力因素，致使代建合同无法继续履行的；</w:t>
      </w:r>
    </w:p>
    <w:p>
      <w:pPr>
        <w:numPr>
          <w:ilvl w:val="0"/>
          <w:numId w:val="10"/>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招标文件或代建合同中约定的其他终止情况。</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【合同解除】因委托单位违约致使代建合同无法继续履行的，代建单位可书面通知委托单位解除合同，并根据代建合同约定进行相应索赔。</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【金额凭证】因委托单位原因解除代建合同的，委托单位应在解除合同后28天内向代建单位支付下列款项，代建单位应在此期限内及时向委托单位提供支付下列金额的有关资料和凭证：</w:t>
      </w:r>
    </w:p>
    <w:p>
      <w:pPr>
        <w:numPr>
          <w:ilvl w:val="0"/>
          <w:numId w:val="11"/>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代建单位发出解除合同通知前所完成工作的价款；</w:t>
      </w:r>
    </w:p>
    <w:p>
      <w:pPr>
        <w:numPr>
          <w:ilvl w:val="0"/>
          <w:numId w:val="11"/>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代建单位为该工程施工订购并已付款的材料、工程设备和其他物品的金额。委托单位付款后，该材料、工程设备和其他物品归委托单位所有；</w:t>
      </w:r>
    </w:p>
    <w:p>
      <w:pPr>
        <w:numPr>
          <w:ilvl w:val="0"/>
          <w:numId w:val="11"/>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代建单位为完成工程所发生的，而委托单位未支付的金额；</w:t>
      </w:r>
    </w:p>
    <w:p>
      <w:pPr>
        <w:numPr>
          <w:ilvl w:val="0"/>
          <w:numId w:val="11"/>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代建单位撤离施工场地的必要费用；</w:t>
      </w:r>
    </w:p>
    <w:p>
      <w:pPr>
        <w:numPr>
          <w:ilvl w:val="0"/>
          <w:numId w:val="11"/>
        </w:numPr>
        <w:spacing w:line="560" w:lineRule="exact"/>
        <w:ind w:firstLine="640" w:firstLineChars="200"/>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按合同约定在代建单位发出解除合同通知前应支付给代建单位的其他金额。</w:t>
      </w:r>
    </w:p>
    <w:p>
      <w:pPr>
        <w:spacing w:line="560" w:lineRule="exact"/>
        <w:ind w:firstLine="640" w:firstLineChars="200"/>
        <w:rPr>
          <w:rStyle w:val="20"/>
          <w:rFonts w:hint="default" w:cs="仿宋_GB2312"/>
          <w:color w:val="auto"/>
        </w:rPr>
      </w:pPr>
      <w:r>
        <w:rPr>
          <w:rStyle w:val="20"/>
          <w:rFonts w:hint="default" w:cs="仿宋_GB2312"/>
          <w:color w:val="auto"/>
        </w:rPr>
        <w:t>委托单位应按本项约定支付上述金额并退还履约保函，但有权要求代建单位支付应偿还给委托单位的各项资金。</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撤场】因委托单位原因解除代建合同后，代建单位应妥善处理施工工程和已购材料、设备的保护及移交工作，并按委托单位的要求将代建单位设备和人员撤出施工场地。委托单位应为代建单位撤出提供必要条件并办理移交手续。</w:t>
      </w:r>
    </w:p>
    <w:p>
      <w:pPr>
        <w:numPr>
          <w:ilvl w:val="255"/>
          <w:numId w:val="0"/>
        </w:numPr>
        <w:tabs>
          <w:tab w:val="left" w:pos="0"/>
        </w:tabs>
        <w:spacing w:line="560" w:lineRule="exact"/>
        <w:rPr>
          <w:rStyle w:val="20"/>
          <w:rFonts w:hint="default" w:cs="仿宋_GB2312"/>
          <w:color w:val="auto"/>
        </w:rPr>
      </w:pPr>
    </w:p>
    <w:p>
      <w:pPr>
        <w:numPr>
          <w:ilvl w:val="0"/>
          <w:numId w:val="2"/>
        </w:numPr>
        <w:spacing w:before="156" w:beforeLines="50" w:after="156" w:afterLines="50" w:line="560" w:lineRule="exact"/>
        <w:jc w:val="center"/>
        <w:outlineLvl w:val="0"/>
        <w:rPr>
          <w:rFonts w:ascii="黑体" w:hAnsi="黑体" w:eastAsia="黑体" w:cs="黑体"/>
          <w:bCs/>
          <w:color w:val="auto"/>
          <w:sz w:val="32"/>
          <w:szCs w:val="32"/>
        </w:rPr>
      </w:pPr>
      <w:bookmarkStart w:id="25" w:name="_Toc18819"/>
      <w:bookmarkStart w:id="26" w:name="_Toc8008"/>
      <w:r>
        <w:rPr>
          <w:rFonts w:hint="eastAsia" w:ascii="黑体" w:hAnsi="黑体" w:eastAsia="黑体" w:cs="黑体"/>
          <w:bCs/>
          <w:color w:val="auto"/>
          <w:sz w:val="32"/>
          <w:szCs w:val="32"/>
        </w:rPr>
        <w:t>附则</w:t>
      </w:r>
      <w:bookmarkEnd w:id="25"/>
      <w:bookmarkEnd w:id="26"/>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【文本解释】本细则由</w:t>
      </w:r>
      <w:r>
        <w:rPr>
          <w:rStyle w:val="26"/>
          <w:rFonts w:hint="default"/>
          <w:color w:val="auto"/>
        </w:rPr>
        <w:t>区发展改革局负责解释</w:t>
      </w:r>
      <w:r>
        <w:rPr>
          <w:rStyle w:val="20"/>
          <w:rFonts w:hint="default" w:cs="仿宋_GB2312"/>
          <w:color w:val="auto"/>
        </w:rPr>
        <w:t>。</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【有效期】本细则</w:t>
      </w:r>
      <w:r>
        <w:rPr>
          <w:rStyle w:val="26"/>
          <w:rFonts w:hint="default"/>
          <w:color w:val="auto"/>
        </w:rPr>
        <w:t>有效期为五年。</w:t>
      </w:r>
    </w:p>
    <w:p>
      <w:pPr>
        <w:numPr>
          <w:ilvl w:val="0"/>
          <w:numId w:val="3"/>
        </w:numPr>
        <w:spacing w:line="560" w:lineRule="exact"/>
        <w:ind w:firstLine="640" w:firstLineChars="200"/>
        <w:rPr>
          <w:rStyle w:val="20"/>
          <w:rFonts w:hint="default" w:cs="仿宋_GB2312"/>
          <w:color w:val="auto"/>
        </w:rPr>
      </w:pPr>
      <w:r>
        <w:rPr>
          <w:rStyle w:val="20"/>
          <w:rFonts w:hint="default" w:cs="仿宋_GB2312"/>
          <w:color w:val="auto"/>
        </w:rPr>
        <w:t>【法律规定】本细则自印发之日起施行，</w:t>
      </w:r>
      <w:r>
        <w:rPr>
          <w:rStyle w:val="20"/>
          <w:rFonts w:hint="default" w:cs="仿宋_GB2312"/>
          <w:color w:val="auto"/>
          <w:lang w:val="en"/>
        </w:rPr>
        <w:t>原《深圳市罗湖区政府投资项目代建制管理办法》（罗府办规</w:t>
      </w:r>
      <w:r>
        <w:rPr>
          <w:rStyle w:val="26"/>
          <w:rFonts w:hint="default" w:hAnsi="Times New Roman"/>
          <w:color w:val="auto"/>
        </w:rPr>
        <w:t>〔201</w:t>
      </w:r>
      <w:r>
        <w:rPr>
          <w:rStyle w:val="26"/>
          <w:rFonts w:hint="default" w:hAnsi="Times New Roman"/>
          <w:color w:val="auto"/>
          <w:lang w:val="en"/>
        </w:rPr>
        <w:t>9</w:t>
      </w:r>
      <w:r>
        <w:rPr>
          <w:rStyle w:val="26"/>
          <w:rFonts w:hint="default" w:hAnsi="Times New Roman"/>
          <w:color w:val="auto"/>
        </w:rPr>
        <w:t>〕</w:t>
      </w:r>
      <w:r>
        <w:rPr>
          <w:rStyle w:val="20"/>
          <w:rFonts w:hint="default" w:cs="仿宋_GB2312"/>
          <w:color w:val="auto"/>
          <w:lang w:val="en"/>
        </w:rPr>
        <w:t>2</w:t>
      </w:r>
      <w:r>
        <w:rPr>
          <w:rStyle w:val="20"/>
          <w:rFonts w:hint="default" w:ascii="Times New Roman" w:hAnsi="Times New Roman"/>
          <w:color w:val="auto"/>
        </w:rPr>
        <w:t>号</w:t>
      </w:r>
      <w:r>
        <w:rPr>
          <w:rStyle w:val="20"/>
          <w:rFonts w:hint="default" w:cs="仿宋_GB2312"/>
          <w:color w:val="auto"/>
          <w:lang w:val="en"/>
        </w:rPr>
        <w:t>）同时废止</w:t>
      </w:r>
      <w:r>
        <w:rPr>
          <w:rStyle w:val="20"/>
          <w:rFonts w:hint="default" w:cs="仿宋_GB2312"/>
          <w:color w:val="auto"/>
        </w:rPr>
        <w:t>。</w:t>
      </w:r>
    </w:p>
    <w:p>
      <w:pPr>
        <w:spacing w:before="156" w:beforeLines="50" w:after="156" w:afterLines="50" w:line="560" w:lineRule="exact"/>
        <w:outlineLvl w:val="2"/>
        <w:rPr>
          <w:rFonts w:ascii="黑体" w:hAnsi="黑体" w:cs="黑体"/>
          <w:color w:val="auto"/>
        </w:rPr>
      </w:pPr>
      <w:bookmarkStart w:id="27" w:name="_Toc14639"/>
      <w:r>
        <w:rPr>
          <w:rFonts w:ascii="黑体" w:hAnsi="黑体" w:eastAsia="宋体" w:cs="黑体"/>
          <w:color w:val="auto"/>
          <w:sz w:val="21"/>
          <w:szCs w:val="22"/>
        </w:rPr>
        <w:br w:type="page"/>
      </w:r>
      <w:bookmarkStart w:id="28" w:name="_Toc29996"/>
      <w:bookmarkStart w:id="29" w:name="_Toc3301"/>
      <w:r>
        <w:rPr>
          <w:rFonts w:hint="eastAsia" w:ascii="黑体" w:hAnsi="黑体" w:eastAsia="黑体" w:cs="黑体"/>
          <w:bCs/>
          <w:color w:val="auto"/>
          <w:sz w:val="28"/>
          <w:szCs w:val="32"/>
        </w:rPr>
        <w:t>附件</w:t>
      </w:r>
      <w:r>
        <w:rPr>
          <w:rFonts w:ascii="黑体" w:hAnsi="黑体" w:eastAsia="黑体" w:cs="黑体"/>
          <w:bCs/>
          <w:color w:val="auto"/>
          <w:sz w:val="28"/>
          <w:szCs w:val="32"/>
        </w:rPr>
        <w:t>1：全过程代建的适用项目类型表</w:t>
      </w:r>
      <w:bookmarkEnd w:id="27"/>
      <w:bookmarkEnd w:id="28"/>
      <w:bookmarkEnd w:id="29"/>
    </w:p>
    <w:p>
      <w:pPr>
        <w:spacing w:line="560" w:lineRule="exact"/>
        <w:ind w:firstLine="560" w:firstLineChars="200"/>
        <w:jc w:val="center"/>
        <w:rPr>
          <w:rFonts w:ascii="Times New Roman" w:hAnsi="Times New Roman" w:eastAsia="黑体"/>
          <w:color w:val="auto"/>
          <w:sz w:val="28"/>
          <w:szCs w:val="28"/>
        </w:rPr>
      </w:pPr>
      <w:r>
        <w:rPr>
          <w:rFonts w:ascii="黑体" w:hAnsi="宋体" w:eastAsia="黑体" w:cs="黑体"/>
          <w:color w:val="auto"/>
          <w:sz w:val="28"/>
          <w:szCs w:val="28"/>
          <w:lang w:bidi="ar"/>
        </w:rPr>
        <w:t>全过程代建的适用项目类型表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6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1560" w:type="dxa"/>
            <w:shd w:val="clear" w:color="auto" w:fill="auto"/>
          </w:tcPr>
          <w:p>
            <w:pPr>
              <w:spacing w:line="560" w:lineRule="exact"/>
              <w:jc w:val="center"/>
              <w:rPr>
                <w:rFonts w:ascii="仿宋_GB2312" w:eastAsia="仿宋_GB2312" w:cs="仿宋_GB2312"/>
                <w:b/>
                <w:bCs/>
                <w:color w:val="auto"/>
                <w:szCs w:val="21"/>
              </w:rPr>
            </w:pPr>
            <w:r>
              <w:rPr>
                <w:rFonts w:hint="eastAsia" w:ascii="仿宋_GB2312" w:eastAsia="仿宋_GB2312" w:cs="仿宋_GB2312"/>
                <w:b/>
                <w:bCs/>
                <w:color w:val="auto"/>
                <w:szCs w:val="21"/>
                <w:lang w:bidi="ar"/>
              </w:rPr>
              <w:t>工程类别</w:t>
            </w:r>
          </w:p>
        </w:tc>
        <w:tc>
          <w:tcPr>
            <w:tcW w:w="6861" w:type="dxa"/>
            <w:shd w:val="clear" w:color="auto" w:fill="auto"/>
          </w:tcPr>
          <w:p>
            <w:pPr>
              <w:spacing w:line="560" w:lineRule="exact"/>
              <w:jc w:val="center"/>
              <w:rPr>
                <w:rFonts w:ascii="仿宋_GB2312" w:eastAsia="仿宋_GB2312" w:cs="仿宋_GB2312"/>
                <w:color w:val="auto"/>
                <w:szCs w:val="21"/>
              </w:rPr>
            </w:pPr>
            <w:r>
              <w:rPr>
                <w:rFonts w:hint="eastAsia" w:ascii="仿宋_GB2312" w:eastAsia="仿宋_GB2312" w:cs="仿宋_GB2312"/>
                <w:b/>
                <w:bCs/>
                <w:color w:val="auto"/>
                <w:szCs w:val="21"/>
                <w:lang w:bidi="ar"/>
              </w:rPr>
              <w:t>项目类型描述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tcBorders>
              <w:bottom w:val="nil"/>
            </w:tcBorders>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房屋建筑工程</w:t>
            </w: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建筑高度大于100米（含）的居住或公共建筑工程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单体建筑面积大于80000平方米的超大型公共建筑工程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建筑面积大于50000平方米的单建地下工程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单体建筑面积大于50000平方米的消防设施工程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开挖深度超过12米的深基坑工程（局部开挖深度不一致的，超过12米深度的基坑面积须超过基坑总开挖面积的50%以上）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单跨跨度36米以上房屋建筑工程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工艺复杂或1000床以上的医疗建筑工程；1600座以上剧院或包含两个及以上不同类型观演厅的综合文化建筑工程；5万平方米以上会议中心、航站楼、客运站；6000座以上体育馆；30000座以上体育场；超过五星级标准的酒店或度假村等公共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抗震设防有特殊要求的建筑工程（隔震垫、阻尼器、消能装置等）、结构超限的建筑工程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仿古建筑、宗教建筑、古建筑和保护性建筑工程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涉及建筑面积10万平方米以上的老旧小区综合改造提升工程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幕墙面积8000平方米以上的建筑幕墙工程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rPr>
                <w:rFonts w:ascii="Times New Roman" w:hAnsi="Times New Roman"/>
                <w:color w:val="auto"/>
                <w:sz w:val="20"/>
                <w:szCs w:val="20"/>
              </w:rPr>
            </w:pPr>
          </w:p>
        </w:tc>
        <w:tc>
          <w:tcPr>
            <w:tcW w:w="6861" w:type="dxa"/>
            <w:tcBorders>
              <w:bottom w:val="nil"/>
            </w:tcBorders>
            <w:shd w:val="clear" w:color="auto" w:fill="auto"/>
            <w:vAlign w:val="center"/>
          </w:tcPr>
          <w:p>
            <w:pPr>
              <w:autoSpaceDE w:val="0"/>
              <w:spacing w:line="360" w:lineRule="auto"/>
              <w:jc w:val="center"/>
              <w:rPr>
                <w:rFonts w:ascii="仿宋_GB2312" w:eastAsia="仿宋_GB2312" w:cs="仿宋_GB2312"/>
                <w:color w:val="auto"/>
                <w:szCs w:val="21"/>
              </w:rPr>
            </w:pPr>
            <w:r>
              <w:rPr>
                <w:rFonts w:hint="eastAsia" w:ascii="仿宋_GB2312" w:eastAsia="仿宋_GB2312" w:cs="仿宋_GB2312"/>
                <w:color w:val="auto"/>
                <w:szCs w:val="21"/>
                <w:lang w:bidi="ar"/>
              </w:rPr>
              <w:t>适用于国际性活动的大型公共建筑工程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tcBorders>
              <w:top w:val="single" w:color="auto" w:sz="4" w:space="0"/>
              <w:bottom w:val="nil"/>
            </w:tcBorders>
            <w:shd w:val="clear" w:color="auto" w:fill="auto"/>
            <w:vAlign w:val="center"/>
          </w:tcPr>
          <w:p>
            <w:pPr>
              <w:jc w:val="center"/>
              <w:rPr>
                <w:rFonts w:ascii="仿宋_GB2312" w:eastAsia="仿宋_GB2312" w:cs="仿宋_GB2312"/>
                <w:color w:val="auto"/>
                <w:szCs w:val="21"/>
                <w:lang w:bidi="ar"/>
              </w:rPr>
            </w:pPr>
            <w:r>
              <w:rPr>
                <w:rFonts w:ascii="仿宋_GB2312" w:eastAsia="仿宋_GB2312" w:cs="仿宋_GB2312"/>
                <w:color w:val="auto"/>
                <w:szCs w:val="21"/>
                <w:lang w:bidi="ar"/>
              </w:rPr>
              <w:t>市政公用工程</w:t>
            </w: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ascii="仿宋_GB2312" w:eastAsia="仿宋_GB2312" w:cs="仿宋_GB2312"/>
                <w:color w:val="auto"/>
                <w:szCs w:val="21"/>
                <w:lang w:bidi="ar"/>
              </w:rPr>
              <w:t>单跨跨度超过40米的桥梁工程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jc w:val="center"/>
              <w:rPr>
                <w:rFonts w:ascii="仿宋_GB2312" w:eastAsia="仿宋_GB2312" w:cs="仿宋_GB2312"/>
                <w:color w:val="auto"/>
                <w:szCs w:val="21"/>
                <w:lang w:bidi="ar"/>
              </w:rPr>
            </w:pPr>
          </w:p>
        </w:tc>
        <w:tc>
          <w:tcPr>
            <w:tcW w:w="6861" w:type="dxa"/>
            <w:shd w:val="clear" w:color="auto" w:fill="auto"/>
            <w:vAlign w:val="center"/>
          </w:tcPr>
          <w:p>
            <w:pPr>
              <w:autoSpaceDE w:val="0"/>
              <w:spacing w:line="360" w:lineRule="auto"/>
              <w:jc w:val="center"/>
              <w:rPr>
                <w:rFonts w:ascii="仿宋_GB2312" w:eastAsia="仿宋_GB2312" w:cs="仿宋_GB2312"/>
                <w:color w:val="auto"/>
                <w:szCs w:val="21"/>
              </w:rPr>
            </w:pPr>
            <w:r>
              <w:rPr>
                <w:rFonts w:ascii="仿宋_GB2312" w:eastAsia="仿宋_GB2312" w:cs="仿宋_GB2312"/>
                <w:color w:val="auto"/>
                <w:kern w:val="0"/>
                <w:szCs w:val="21"/>
                <w:lang w:bidi="ar"/>
              </w:rPr>
              <w:t>断面面积超过25平方米以上或单洞长度1000米以上的隧道工程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nil"/>
            </w:tcBorders>
            <w:shd w:val="clear" w:color="auto" w:fill="auto"/>
            <w:vAlign w:val="center"/>
          </w:tcPr>
          <w:p>
            <w:pPr>
              <w:jc w:val="center"/>
              <w:rPr>
                <w:rFonts w:ascii="仿宋_GB2312" w:eastAsia="仿宋_GB2312" w:cs="仿宋_GB2312"/>
                <w:color w:val="auto"/>
                <w:szCs w:val="21"/>
                <w:lang w:bidi="ar"/>
              </w:rPr>
            </w:pP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总贮存容积1000立方米以上液化气贮罐场（站）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0" w:type="dxa"/>
            <w:vMerge w:val="continue"/>
            <w:tcBorders>
              <w:top w:val="nil"/>
              <w:bottom w:val="nil"/>
            </w:tcBorders>
            <w:shd w:val="clear" w:color="auto" w:fill="auto"/>
            <w:vAlign w:val="center"/>
          </w:tcPr>
          <w:p>
            <w:pPr>
              <w:jc w:val="center"/>
              <w:rPr>
                <w:rFonts w:ascii="仿宋_GB2312" w:eastAsia="仿宋_GB2312" w:cs="仿宋_GB2312"/>
                <w:color w:val="auto"/>
                <w:szCs w:val="21"/>
                <w:lang w:bidi="ar"/>
              </w:rPr>
            </w:pP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供气规模15万立方米/日以上的燃气工程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bottom w:val="single" w:color="auto" w:sz="4" w:space="0"/>
            </w:tcBorders>
            <w:shd w:val="clear" w:color="auto" w:fill="auto"/>
            <w:vAlign w:val="center"/>
          </w:tcPr>
          <w:p>
            <w:pPr>
              <w:jc w:val="center"/>
              <w:rPr>
                <w:rFonts w:ascii="仿宋_GB2312" w:eastAsia="仿宋_GB2312" w:cs="仿宋_GB2312"/>
                <w:color w:val="auto"/>
                <w:szCs w:val="21"/>
                <w:lang w:bidi="ar"/>
              </w:rPr>
            </w:pP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高压以上燃气管道、调压站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tcBorders>
              <w:top w:val="single" w:color="auto" w:sz="4" w:space="0"/>
              <w:bottom w:val="single" w:color="auto" w:sz="4" w:space="0"/>
            </w:tcBorders>
            <w:shd w:val="clear" w:color="auto" w:fill="auto"/>
            <w:vAlign w:val="center"/>
          </w:tcPr>
          <w:p>
            <w:pPr>
              <w:jc w:val="center"/>
              <w:rPr>
                <w:rFonts w:ascii="Times New Roman" w:hAnsi="Times New Roman"/>
                <w:color w:val="auto"/>
                <w:sz w:val="20"/>
                <w:szCs w:val="20"/>
              </w:rPr>
            </w:pPr>
            <w:r>
              <w:rPr>
                <w:rFonts w:ascii="仿宋_GB2312" w:eastAsia="仿宋_GB2312" w:cs="仿宋_GB2312"/>
                <w:color w:val="auto"/>
                <w:szCs w:val="21"/>
                <w:lang w:bidi="ar"/>
              </w:rPr>
              <w:t>市政公用工程</w:t>
            </w: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直径2米以上及长度30公里以上的混凝土管道工程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single" w:color="auto" w:sz="4" w:space="0"/>
              <w:bottom w:val="single" w:color="auto" w:sz="4" w:space="0"/>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供热面积150万平方米以上的热力工程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single" w:color="auto" w:sz="4" w:space="0"/>
              <w:bottom w:val="single" w:color="auto" w:sz="4" w:space="0"/>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widowControl/>
              <w:autoSpaceDE w:val="0"/>
              <w:spacing w:line="360" w:lineRule="auto"/>
              <w:jc w:val="center"/>
              <w:rPr>
                <w:rFonts w:ascii="仿宋_GB2312" w:eastAsia="仿宋_GB2312" w:cs="仿宋_GB2312"/>
                <w:color w:val="auto"/>
                <w:kern w:val="0"/>
                <w:szCs w:val="21"/>
                <w:lang w:bidi="ar"/>
              </w:rPr>
            </w:pPr>
            <w:r>
              <w:rPr>
                <w:rFonts w:ascii="仿宋_GB2312" w:eastAsia="仿宋_GB2312" w:cs="仿宋_GB2312"/>
                <w:color w:val="auto"/>
                <w:kern w:val="0"/>
                <w:szCs w:val="21"/>
                <w:lang w:bidi="ar"/>
              </w:rPr>
              <w:t>总规模10万吨/日以上的污水泵站或雨水泵站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single" w:color="auto" w:sz="4" w:space="0"/>
              <w:bottom w:val="single" w:color="auto" w:sz="4" w:space="0"/>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widowControl/>
              <w:autoSpaceDE w:val="0"/>
              <w:spacing w:line="360" w:lineRule="auto"/>
              <w:jc w:val="center"/>
              <w:rPr>
                <w:rFonts w:ascii="仿宋_GB2312" w:eastAsia="仿宋_GB2312" w:cs="仿宋_GB2312"/>
                <w:color w:val="auto"/>
                <w:kern w:val="0"/>
                <w:szCs w:val="21"/>
                <w:lang w:bidi="ar"/>
              </w:rPr>
            </w:pPr>
            <w:r>
              <w:rPr>
                <w:rFonts w:ascii="仿宋_GB2312" w:eastAsia="仿宋_GB2312" w:cs="仿宋_GB2312"/>
                <w:color w:val="auto"/>
                <w:kern w:val="0"/>
                <w:szCs w:val="21"/>
                <w:lang w:bidi="ar"/>
              </w:rPr>
              <w:t>总规模20万吨/日以上的给水泵站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single" w:color="auto" w:sz="4" w:space="0"/>
              <w:bottom w:val="single" w:color="auto" w:sz="4" w:space="0"/>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总规模4万吨/日以上的供水厂或污水处理厂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single" w:color="auto" w:sz="4" w:space="0"/>
              <w:bottom w:val="single" w:color="auto" w:sz="4" w:space="0"/>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开挖深度超过12米的深基坑工程（局部开挖深度不一致的，超过12米深度的基坑面积须超过基坑总开挖面积的50%以上）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single" w:color="auto" w:sz="4" w:space="0"/>
              <w:bottom w:val="single" w:color="auto" w:sz="4" w:space="0"/>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长度500米以上地下综合管廊工程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single" w:color="auto" w:sz="4" w:space="0"/>
              <w:bottom w:val="single" w:color="auto" w:sz="4" w:space="0"/>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交通枢纽工程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single" w:color="auto" w:sz="4" w:space="0"/>
              <w:bottom w:val="single" w:color="auto" w:sz="4" w:space="0"/>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路面面积15万平方米以上的城市道路工程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single" w:color="auto" w:sz="4" w:space="0"/>
              <w:bottom w:val="single" w:color="auto" w:sz="4" w:space="0"/>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库容500万立方米以上的垃圾填埋场工程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single" w:color="auto" w:sz="4" w:space="0"/>
              <w:bottom w:val="single" w:color="auto" w:sz="4" w:space="0"/>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面积10h㎡以上的园林景观工程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single" w:color="auto" w:sz="4" w:space="0"/>
              <w:bottom w:val="single" w:color="auto" w:sz="4" w:space="0"/>
            </w:tcBorders>
            <w:shd w:val="clear" w:color="auto" w:fill="auto"/>
            <w:vAlign w:val="center"/>
          </w:tcPr>
          <w:p>
            <w:pPr>
              <w:rPr>
                <w:rFonts w:ascii="Times New Roman" w:hAnsi="Times New Roman"/>
                <w:color w:val="auto"/>
                <w:sz w:val="20"/>
                <w:szCs w:val="20"/>
              </w:rPr>
            </w:pPr>
          </w:p>
        </w:tc>
        <w:tc>
          <w:tcPr>
            <w:tcW w:w="6861" w:type="dxa"/>
            <w:shd w:val="clear" w:color="auto" w:fill="auto"/>
            <w:vAlign w:val="center"/>
          </w:tcPr>
          <w:p>
            <w:pPr>
              <w:pStyle w:val="14"/>
              <w:widowControl/>
              <w:autoSpaceDE w:val="0"/>
              <w:spacing w:beforeAutospacing="0" w:afterAutospacing="0" w:line="360" w:lineRule="auto"/>
              <w:jc w:val="center"/>
              <w:rPr>
                <w:rFonts w:ascii="仿宋_GB2312" w:eastAsia="仿宋_GB2312" w:cs="仿宋_GB2312"/>
                <w:color w:val="auto"/>
                <w:sz w:val="21"/>
                <w:szCs w:val="21"/>
              </w:rPr>
            </w:pPr>
            <w:r>
              <w:rPr>
                <w:rFonts w:ascii="仿宋_GB2312" w:eastAsia="仿宋_GB2312" w:cs="仿宋_GB2312"/>
                <w:color w:val="auto"/>
                <w:sz w:val="21"/>
                <w:szCs w:val="21"/>
              </w:rPr>
              <w:t>面积5万平方米以上的城市公共广场工程</w:t>
            </w:r>
          </w:p>
        </w:tc>
      </w:tr>
    </w:tbl>
    <w:p>
      <w:pPr>
        <w:spacing w:line="560" w:lineRule="exact"/>
        <w:ind w:firstLine="560" w:firstLineChars="200"/>
        <w:jc w:val="center"/>
        <w:rPr>
          <w:rFonts w:ascii="Times New Roman" w:hAnsi="Times New Roman" w:eastAsia="黑体"/>
          <w:color w:val="auto"/>
          <w:sz w:val="28"/>
          <w:szCs w:val="28"/>
        </w:rPr>
      </w:pPr>
      <w:r>
        <w:rPr>
          <w:rFonts w:ascii="Times New Roman" w:hAnsi="Times New Roman" w:eastAsia="黑体"/>
          <w:color w:val="auto"/>
          <w:sz w:val="28"/>
          <w:szCs w:val="28"/>
          <w:lang w:bidi="ar"/>
        </w:rPr>
        <w:t xml:space="preserve"> </w:t>
      </w:r>
    </w:p>
    <w:p>
      <w:pPr>
        <w:spacing w:line="560" w:lineRule="exact"/>
        <w:ind w:firstLine="480" w:firstLineChars="200"/>
        <w:jc w:val="left"/>
        <w:rPr>
          <w:rFonts w:ascii="宋体" w:hAnsi="宋体" w:cs="宋体"/>
          <w:color w:val="auto"/>
          <w:sz w:val="24"/>
          <w:szCs w:val="24"/>
        </w:rPr>
      </w:pPr>
    </w:p>
    <w:p>
      <w:pPr>
        <w:spacing w:line="560" w:lineRule="exact"/>
        <w:ind w:firstLine="522" w:firstLineChars="200"/>
        <w:jc w:val="left"/>
        <w:rPr>
          <w:rFonts w:ascii="宋体" w:hAnsi="宋体" w:cs="宋体"/>
          <w:b/>
          <w:color w:val="auto"/>
          <w:sz w:val="26"/>
          <w:szCs w:val="26"/>
        </w:rPr>
        <w:sectPr>
          <w:footerReference r:id="rId8" w:type="default"/>
          <w:footerReference r:id="rId9" w:type="even"/>
          <w:pgSz w:w="11906" w:h="16838"/>
          <w:pgMar w:top="1814" w:right="1474" w:bottom="1814" w:left="2227" w:header="851" w:footer="992" w:gutter="0"/>
          <w:pgBorders>
            <w:top w:val="none" w:sz="0" w:space="0"/>
            <w:left w:val="none" w:sz="0" w:space="0"/>
            <w:bottom w:val="none" w:sz="0" w:space="0"/>
            <w:right w:val="none" w:sz="0" w:space="0"/>
          </w:pgBorders>
          <w:pgNumType w:fmt="numberInDash" w:start="1"/>
          <w:cols w:space="720" w:num="1"/>
          <w:docGrid w:type="lines" w:linePitch="312" w:charSpace="0"/>
        </w:sectPr>
      </w:pPr>
    </w:p>
    <w:p>
      <w:pPr>
        <w:pStyle w:val="4"/>
        <w:spacing w:before="156" w:beforeLines="50" w:after="156" w:afterLines="50" w:line="540" w:lineRule="exact"/>
        <w:ind w:firstLine="560" w:firstLineChars="200"/>
        <w:rPr>
          <w:rFonts w:ascii="黑体" w:hAnsi="黑体" w:cs="黑体"/>
          <w:color w:val="auto"/>
        </w:rPr>
      </w:pPr>
      <w:bookmarkStart w:id="30" w:name="_Toc20039"/>
      <w:bookmarkStart w:id="31" w:name="_Toc22674"/>
      <w:bookmarkStart w:id="32" w:name="_Toc18899"/>
      <w:r>
        <w:rPr>
          <w:rFonts w:hint="eastAsia" w:ascii="黑体" w:hAnsi="黑体" w:cs="黑体"/>
          <w:color w:val="auto"/>
        </w:rPr>
        <w:t>附件</w:t>
      </w:r>
      <w:r>
        <w:rPr>
          <w:rFonts w:ascii="黑体" w:hAnsi="黑体" w:cs="黑体"/>
          <w:color w:val="auto"/>
        </w:rPr>
        <w:t>2：代建管理费总额控制数费率表</w:t>
      </w:r>
      <w:bookmarkEnd w:id="30"/>
      <w:bookmarkEnd w:id="31"/>
      <w:bookmarkEnd w:id="32"/>
    </w:p>
    <w:p>
      <w:pPr>
        <w:spacing w:line="540" w:lineRule="exact"/>
        <w:ind w:firstLine="560" w:firstLineChars="200"/>
        <w:jc w:val="center"/>
        <w:rPr>
          <w:rFonts w:ascii="Times New Roman" w:hAnsi="Times New Roman" w:eastAsia="黑体"/>
          <w:color w:val="auto"/>
          <w:sz w:val="28"/>
          <w:szCs w:val="28"/>
        </w:rPr>
      </w:pPr>
      <w:r>
        <w:rPr>
          <w:rFonts w:hint="eastAsia" w:ascii="Times New Roman" w:hAnsi="Times New Roman" w:eastAsia="黑体"/>
          <w:color w:val="auto"/>
          <w:sz w:val="28"/>
          <w:szCs w:val="28"/>
        </w:rPr>
        <w:t>代建管理费总额控制数费率表</w:t>
      </w:r>
    </w:p>
    <w:p>
      <w:pPr>
        <w:wordWrap w:val="0"/>
        <w:spacing w:line="540" w:lineRule="exact"/>
        <w:ind w:firstLine="482" w:firstLineChars="200"/>
        <w:jc w:val="right"/>
        <w:rPr>
          <w:rFonts w:ascii="宋体" w:hAnsi="宋体" w:eastAsia="仿宋_GB2312" w:cs="宋体"/>
          <w:b/>
          <w:bCs/>
          <w:color w:val="auto"/>
          <w:sz w:val="26"/>
          <w:szCs w:val="26"/>
        </w:rPr>
      </w:pPr>
      <w:r>
        <w:rPr>
          <w:rFonts w:hint="eastAsia" w:ascii="仿宋_GB2312" w:hAnsi="仿宋_GB2312" w:eastAsia="仿宋_GB2312" w:cs="仿宋_GB2312"/>
          <w:b/>
          <w:bCs/>
          <w:color w:val="auto"/>
          <w:sz w:val="24"/>
          <w:szCs w:val="24"/>
        </w:rPr>
        <w:t>单位：万元</w:t>
      </w:r>
    </w:p>
    <w:tbl>
      <w:tblPr>
        <w:tblStyle w:val="15"/>
        <w:tblpPr w:leftFromText="180" w:rightFromText="180" w:vertAnchor="page" w:horzAnchor="page" w:tblpX="1455" w:tblpY="3884"/>
        <w:tblOverlap w:val="never"/>
        <w:tblW w:w="139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73"/>
        <w:gridCol w:w="815"/>
        <w:gridCol w:w="1243"/>
        <w:gridCol w:w="4074"/>
        <w:gridCol w:w="754"/>
        <w:gridCol w:w="1103"/>
        <w:gridCol w:w="40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972" w:type="dxa"/>
            <w:vMerge w:val="restart"/>
            <w:vAlign w:val="center"/>
          </w:tcPr>
          <w:p>
            <w:pPr>
              <w:pStyle w:val="40"/>
              <w:jc w:val="center"/>
              <w:rPr>
                <w:b/>
                <w:color w:val="auto"/>
                <w:szCs w:val="21"/>
              </w:rPr>
            </w:pPr>
            <w:r>
              <w:rPr>
                <w:rFonts w:hint="eastAsia"/>
                <w:b/>
                <w:color w:val="auto"/>
                <w:szCs w:val="21"/>
              </w:rPr>
              <w:t>工程总概算</w:t>
            </w:r>
          </w:p>
        </w:tc>
        <w:tc>
          <w:tcPr>
            <w:tcW w:w="6132" w:type="dxa"/>
            <w:gridSpan w:val="3"/>
            <w:vAlign w:val="center"/>
          </w:tcPr>
          <w:p>
            <w:pPr>
              <w:pStyle w:val="40"/>
              <w:jc w:val="center"/>
              <w:rPr>
                <w:b/>
                <w:color w:val="auto"/>
                <w:szCs w:val="21"/>
              </w:rPr>
            </w:pPr>
            <w:r>
              <w:rPr>
                <w:rFonts w:hint="eastAsia"/>
                <w:b/>
                <w:color w:val="auto"/>
                <w:szCs w:val="21"/>
              </w:rPr>
              <w:t>普通项目</w:t>
            </w:r>
          </w:p>
        </w:tc>
        <w:tc>
          <w:tcPr>
            <w:tcW w:w="5864" w:type="dxa"/>
            <w:gridSpan w:val="3"/>
            <w:vAlign w:val="center"/>
          </w:tcPr>
          <w:p>
            <w:pPr>
              <w:pStyle w:val="40"/>
              <w:jc w:val="center"/>
              <w:rPr>
                <w:b/>
                <w:color w:val="auto"/>
                <w:szCs w:val="21"/>
              </w:rPr>
            </w:pPr>
            <w:r>
              <w:rPr>
                <w:rFonts w:hint="eastAsia"/>
                <w:b/>
                <w:color w:val="auto"/>
                <w:szCs w:val="21"/>
              </w:rPr>
              <w:t>建设地点分散、点多面广、建设工期长以及使用</w:t>
            </w:r>
          </w:p>
          <w:p>
            <w:pPr>
              <w:pStyle w:val="40"/>
              <w:jc w:val="center"/>
              <w:rPr>
                <w:b/>
                <w:color w:val="auto"/>
                <w:szCs w:val="21"/>
              </w:rPr>
            </w:pPr>
            <w:r>
              <w:rPr>
                <w:rFonts w:hint="eastAsia"/>
                <w:b/>
                <w:color w:val="auto"/>
                <w:szCs w:val="21"/>
              </w:rPr>
              <w:t>新技术、新工艺类等项目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1972" w:type="dxa"/>
            <w:vMerge w:val="continue"/>
            <w:tcBorders>
              <w:top w:val="nil"/>
            </w:tcBorders>
            <w:vAlign w:val="center"/>
          </w:tcPr>
          <w:p>
            <w:pPr>
              <w:jc w:val="center"/>
              <w:rPr>
                <w:rFonts w:ascii="仿宋_GB2312" w:hAnsi="仿宋_GB2312" w:eastAsia="仿宋_GB2312" w:cs="仿宋_GB2312"/>
                <w:color w:val="auto"/>
                <w:szCs w:val="21"/>
              </w:rPr>
            </w:pPr>
          </w:p>
        </w:tc>
        <w:tc>
          <w:tcPr>
            <w:tcW w:w="815" w:type="dxa"/>
            <w:vMerge w:val="restart"/>
            <w:vAlign w:val="center"/>
          </w:tcPr>
          <w:p>
            <w:pPr>
              <w:pStyle w:val="40"/>
              <w:jc w:val="center"/>
              <w:rPr>
                <w:b/>
                <w:color w:val="auto"/>
                <w:szCs w:val="21"/>
              </w:rPr>
            </w:pPr>
            <w:r>
              <w:rPr>
                <w:rFonts w:hint="eastAsia"/>
                <w:b/>
                <w:color w:val="auto"/>
                <w:szCs w:val="21"/>
              </w:rPr>
              <w:t>费率</w:t>
            </w:r>
          </w:p>
          <w:p>
            <w:pPr>
              <w:pStyle w:val="40"/>
              <w:jc w:val="center"/>
              <w:rPr>
                <w:b/>
                <w:color w:val="auto"/>
                <w:szCs w:val="21"/>
              </w:rPr>
            </w:pPr>
            <w:r>
              <w:rPr>
                <w:rFonts w:hint="eastAsia"/>
                <w:b/>
                <w:color w:val="auto"/>
                <w:szCs w:val="21"/>
              </w:rPr>
              <w:t>（</w:t>
            </w:r>
            <w:r>
              <w:rPr>
                <w:b/>
                <w:color w:val="auto"/>
                <w:szCs w:val="21"/>
                <w:lang w:val="en-US"/>
              </w:rPr>
              <w:t>%</w:t>
            </w:r>
            <w:r>
              <w:rPr>
                <w:rFonts w:hint="eastAsia"/>
                <w:b/>
                <w:color w:val="auto"/>
                <w:szCs w:val="21"/>
              </w:rPr>
              <w:t>）</w:t>
            </w:r>
          </w:p>
        </w:tc>
        <w:tc>
          <w:tcPr>
            <w:tcW w:w="5317" w:type="dxa"/>
            <w:gridSpan w:val="2"/>
            <w:vAlign w:val="center"/>
          </w:tcPr>
          <w:p>
            <w:pPr>
              <w:pStyle w:val="40"/>
              <w:jc w:val="center"/>
              <w:rPr>
                <w:b/>
                <w:color w:val="auto"/>
                <w:szCs w:val="21"/>
              </w:rPr>
            </w:pPr>
            <w:r>
              <w:rPr>
                <w:rFonts w:hint="eastAsia"/>
                <w:b/>
                <w:color w:val="auto"/>
                <w:szCs w:val="21"/>
              </w:rPr>
              <w:t>算例</w:t>
            </w:r>
          </w:p>
        </w:tc>
        <w:tc>
          <w:tcPr>
            <w:tcW w:w="754" w:type="dxa"/>
            <w:vMerge w:val="restart"/>
            <w:vAlign w:val="center"/>
          </w:tcPr>
          <w:p>
            <w:pPr>
              <w:pStyle w:val="40"/>
              <w:jc w:val="center"/>
              <w:rPr>
                <w:b/>
                <w:color w:val="auto"/>
                <w:szCs w:val="21"/>
              </w:rPr>
            </w:pPr>
            <w:r>
              <w:rPr>
                <w:rFonts w:hint="eastAsia"/>
                <w:b/>
                <w:color w:val="auto"/>
                <w:szCs w:val="21"/>
              </w:rPr>
              <w:t>费率</w:t>
            </w:r>
          </w:p>
          <w:p>
            <w:pPr>
              <w:pStyle w:val="40"/>
              <w:jc w:val="center"/>
              <w:rPr>
                <w:b/>
                <w:color w:val="auto"/>
                <w:szCs w:val="21"/>
              </w:rPr>
            </w:pPr>
            <w:r>
              <w:rPr>
                <w:rFonts w:hint="eastAsia"/>
                <w:b/>
                <w:color w:val="auto"/>
                <w:szCs w:val="21"/>
              </w:rPr>
              <w:t>（</w:t>
            </w:r>
            <w:r>
              <w:rPr>
                <w:b/>
                <w:color w:val="auto"/>
                <w:szCs w:val="21"/>
                <w:lang w:val="en-US"/>
              </w:rPr>
              <w:t>%</w:t>
            </w:r>
            <w:r>
              <w:rPr>
                <w:rFonts w:hint="eastAsia"/>
                <w:b/>
                <w:color w:val="auto"/>
                <w:szCs w:val="21"/>
              </w:rPr>
              <w:t>）</w:t>
            </w:r>
          </w:p>
        </w:tc>
        <w:tc>
          <w:tcPr>
            <w:tcW w:w="5110" w:type="dxa"/>
            <w:gridSpan w:val="2"/>
            <w:vAlign w:val="center"/>
          </w:tcPr>
          <w:p>
            <w:pPr>
              <w:pStyle w:val="40"/>
              <w:jc w:val="center"/>
              <w:rPr>
                <w:b/>
                <w:color w:val="auto"/>
                <w:szCs w:val="21"/>
              </w:rPr>
            </w:pPr>
            <w:r>
              <w:rPr>
                <w:rFonts w:hint="eastAsia"/>
                <w:b/>
                <w:color w:val="auto"/>
                <w:szCs w:val="21"/>
              </w:rPr>
              <w:t>算例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1972" w:type="dxa"/>
            <w:vMerge w:val="continue"/>
            <w:tcBorders>
              <w:top w:val="nil"/>
            </w:tcBorders>
            <w:vAlign w:val="center"/>
          </w:tcPr>
          <w:p>
            <w:pPr>
              <w:jc w:val="center"/>
              <w:rPr>
                <w:rFonts w:ascii="仿宋_GB2312" w:hAnsi="仿宋_GB2312" w:eastAsia="仿宋_GB2312" w:cs="仿宋_GB2312"/>
                <w:color w:val="auto"/>
                <w:szCs w:val="21"/>
              </w:rPr>
            </w:pPr>
          </w:p>
        </w:tc>
        <w:tc>
          <w:tcPr>
            <w:tcW w:w="815" w:type="dxa"/>
            <w:vMerge w:val="continue"/>
            <w:tcBorders>
              <w:top w:val="nil"/>
            </w:tcBorders>
            <w:vAlign w:val="center"/>
          </w:tcPr>
          <w:p>
            <w:pPr>
              <w:jc w:val="center"/>
              <w:rPr>
                <w:rFonts w:ascii="仿宋_GB2312" w:hAnsi="仿宋_GB2312" w:eastAsia="仿宋_GB2312" w:cs="仿宋_GB2312"/>
                <w:b/>
                <w:color w:val="auto"/>
                <w:szCs w:val="21"/>
                <w:lang w:val="zh-CN" w:bidi="zh-CN"/>
              </w:rPr>
            </w:pPr>
          </w:p>
        </w:tc>
        <w:tc>
          <w:tcPr>
            <w:tcW w:w="1243" w:type="dxa"/>
            <w:vAlign w:val="center"/>
          </w:tcPr>
          <w:p>
            <w:pPr>
              <w:pStyle w:val="40"/>
              <w:jc w:val="center"/>
              <w:rPr>
                <w:b/>
                <w:color w:val="auto"/>
                <w:szCs w:val="21"/>
              </w:rPr>
            </w:pPr>
            <w:r>
              <w:rPr>
                <w:rFonts w:hint="eastAsia"/>
                <w:b/>
                <w:color w:val="auto"/>
                <w:szCs w:val="21"/>
              </w:rPr>
              <w:t>工程总概算</w:t>
            </w:r>
          </w:p>
        </w:tc>
        <w:tc>
          <w:tcPr>
            <w:tcW w:w="4074" w:type="dxa"/>
            <w:vAlign w:val="center"/>
          </w:tcPr>
          <w:p>
            <w:pPr>
              <w:pStyle w:val="40"/>
              <w:jc w:val="center"/>
              <w:rPr>
                <w:b/>
                <w:color w:val="auto"/>
                <w:szCs w:val="21"/>
              </w:rPr>
            </w:pPr>
            <w:r>
              <w:rPr>
                <w:rFonts w:hint="eastAsia"/>
                <w:b/>
                <w:color w:val="auto"/>
                <w:szCs w:val="21"/>
              </w:rPr>
              <w:t>项目代建管理费</w:t>
            </w:r>
          </w:p>
        </w:tc>
        <w:tc>
          <w:tcPr>
            <w:tcW w:w="754" w:type="dxa"/>
            <w:vMerge w:val="continue"/>
            <w:tcBorders>
              <w:top w:val="nil"/>
            </w:tcBorders>
            <w:vAlign w:val="center"/>
          </w:tcPr>
          <w:p>
            <w:pPr>
              <w:jc w:val="center"/>
              <w:rPr>
                <w:rFonts w:ascii="仿宋_GB2312" w:hAnsi="仿宋_GB2312" w:eastAsia="仿宋_GB2312" w:cs="仿宋_GB2312"/>
                <w:b/>
                <w:color w:val="auto"/>
                <w:szCs w:val="21"/>
                <w:lang w:val="zh-CN" w:bidi="zh-CN"/>
              </w:rPr>
            </w:pPr>
          </w:p>
        </w:tc>
        <w:tc>
          <w:tcPr>
            <w:tcW w:w="1103" w:type="dxa"/>
            <w:vAlign w:val="center"/>
          </w:tcPr>
          <w:p>
            <w:pPr>
              <w:pStyle w:val="40"/>
              <w:jc w:val="center"/>
              <w:rPr>
                <w:b/>
                <w:color w:val="auto"/>
                <w:szCs w:val="21"/>
              </w:rPr>
            </w:pPr>
            <w:r>
              <w:rPr>
                <w:rFonts w:hint="eastAsia"/>
                <w:b/>
                <w:color w:val="auto"/>
                <w:szCs w:val="21"/>
              </w:rPr>
              <w:t>工程总概算</w:t>
            </w:r>
          </w:p>
        </w:tc>
        <w:tc>
          <w:tcPr>
            <w:tcW w:w="4007" w:type="dxa"/>
            <w:vAlign w:val="center"/>
          </w:tcPr>
          <w:p>
            <w:pPr>
              <w:pStyle w:val="40"/>
              <w:jc w:val="center"/>
              <w:rPr>
                <w:b/>
                <w:color w:val="auto"/>
                <w:szCs w:val="21"/>
              </w:rPr>
            </w:pPr>
            <w:r>
              <w:rPr>
                <w:rFonts w:hint="eastAsia"/>
                <w:b/>
                <w:color w:val="auto"/>
                <w:szCs w:val="21"/>
              </w:rPr>
              <w:t>项目代建管理费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972" w:type="dxa"/>
            <w:vAlign w:val="center"/>
          </w:tcPr>
          <w:p>
            <w:pPr>
              <w:pStyle w:val="40"/>
              <w:jc w:val="center"/>
              <w:rPr>
                <w:color w:val="auto"/>
                <w:szCs w:val="21"/>
              </w:rPr>
            </w:pPr>
            <w:r>
              <w:rPr>
                <w:color w:val="auto"/>
                <w:szCs w:val="21"/>
              </w:rPr>
              <w:t>1000以下</w:t>
            </w:r>
          </w:p>
        </w:tc>
        <w:tc>
          <w:tcPr>
            <w:tcW w:w="815" w:type="dxa"/>
            <w:vAlign w:val="center"/>
          </w:tcPr>
          <w:p>
            <w:pPr>
              <w:pStyle w:val="40"/>
              <w:jc w:val="center"/>
              <w:rPr>
                <w:color w:val="auto"/>
                <w:szCs w:val="21"/>
              </w:rPr>
            </w:pPr>
            <w:r>
              <w:rPr>
                <w:color w:val="auto"/>
                <w:szCs w:val="21"/>
              </w:rPr>
              <w:t>2</w:t>
            </w:r>
          </w:p>
        </w:tc>
        <w:tc>
          <w:tcPr>
            <w:tcW w:w="1243" w:type="dxa"/>
            <w:vAlign w:val="center"/>
          </w:tcPr>
          <w:p>
            <w:pPr>
              <w:pStyle w:val="40"/>
              <w:jc w:val="center"/>
              <w:rPr>
                <w:color w:val="auto"/>
                <w:szCs w:val="21"/>
              </w:rPr>
            </w:pPr>
            <w:r>
              <w:rPr>
                <w:color w:val="auto"/>
                <w:szCs w:val="21"/>
              </w:rPr>
              <w:t>1000</w:t>
            </w:r>
          </w:p>
        </w:tc>
        <w:tc>
          <w:tcPr>
            <w:tcW w:w="4074" w:type="dxa"/>
            <w:vAlign w:val="center"/>
          </w:tcPr>
          <w:p>
            <w:pPr>
              <w:pStyle w:val="40"/>
              <w:jc w:val="center"/>
              <w:rPr>
                <w:color w:val="auto"/>
                <w:szCs w:val="21"/>
              </w:rPr>
            </w:pPr>
            <w:r>
              <w:rPr>
                <w:color w:val="auto"/>
                <w:szCs w:val="21"/>
              </w:rPr>
              <w:t>1000×2</w:t>
            </w:r>
            <w:r>
              <w:rPr>
                <w:color w:val="auto"/>
                <w:szCs w:val="21"/>
                <w:lang w:val="en-US" w:bidi="ar-SA"/>
              </w:rPr>
              <w:drawing>
                <wp:inline distT="0" distB="0" distL="114300" distR="114300">
                  <wp:extent cx="72390" cy="130810"/>
                  <wp:effectExtent l="0" t="0" r="381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zCs w:val="21"/>
              </w:rPr>
              <w:t>=20</w:t>
            </w:r>
          </w:p>
        </w:tc>
        <w:tc>
          <w:tcPr>
            <w:tcW w:w="754" w:type="dxa"/>
            <w:vMerge w:val="restart"/>
            <w:vAlign w:val="center"/>
          </w:tcPr>
          <w:p>
            <w:pPr>
              <w:pStyle w:val="40"/>
              <w:jc w:val="center"/>
              <w:rPr>
                <w:color w:val="auto"/>
                <w:szCs w:val="21"/>
              </w:rPr>
            </w:pPr>
            <w:r>
              <w:rPr>
                <w:color w:val="auto"/>
                <w:szCs w:val="21"/>
              </w:rPr>
              <w:t>3</w:t>
            </w:r>
          </w:p>
        </w:tc>
        <w:tc>
          <w:tcPr>
            <w:tcW w:w="1103" w:type="dxa"/>
            <w:vAlign w:val="center"/>
          </w:tcPr>
          <w:p>
            <w:pPr>
              <w:pStyle w:val="40"/>
              <w:jc w:val="center"/>
              <w:rPr>
                <w:color w:val="auto"/>
                <w:szCs w:val="21"/>
              </w:rPr>
            </w:pPr>
            <w:r>
              <w:rPr>
                <w:color w:val="auto"/>
                <w:szCs w:val="21"/>
              </w:rPr>
              <w:t>1000</w:t>
            </w:r>
          </w:p>
        </w:tc>
        <w:tc>
          <w:tcPr>
            <w:tcW w:w="4007" w:type="dxa"/>
            <w:vAlign w:val="center"/>
          </w:tcPr>
          <w:p>
            <w:pPr>
              <w:pStyle w:val="40"/>
              <w:jc w:val="center"/>
              <w:rPr>
                <w:color w:val="auto"/>
                <w:szCs w:val="21"/>
              </w:rPr>
            </w:pPr>
            <w:r>
              <w:rPr>
                <w:color w:val="auto"/>
                <w:szCs w:val="21"/>
              </w:rPr>
              <w:t>1000×3</w:t>
            </w:r>
            <w:r>
              <w:rPr>
                <w:color w:val="auto"/>
                <w:szCs w:val="21"/>
                <w:lang w:val="en-US" w:bidi="ar-SA"/>
              </w:rPr>
              <w:drawing>
                <wp:inline distT="0" distB="0" distL="114300" distR="114300">
                  <wp:extent cx="72390" cy="130810"/>
                  <wp:effectExtent l="0" t="0" r="381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972" w:type="dxa"/>
            <w:vAlign w:val="center"/>
          </w:tcPr>
          <w:p>
            <w:pPr>
              <w:pStyle w:val="40"/>
              <w:jc w:val="center"/>
              <w:rPr>
                <w:color w:val="auto"/>
                <w:szCs w:val="21"/>
              </w:rPr>
            </w:pPr>
            <w:r>
              <w:rPr>
                <w:color w:val="auto"/>
                <w:szCs w:val="21"/>
              </w:rPr>
              <w:t>1001-5000</w:t>
            </w:r>
          </w:p>
        </w:tc>
        <w:tc>
          <w:tcPr>
            <w:tcW w:w="815" w:type="dxa"/>
            <w:vAlign w:val="center"/>
          </w:tcPr>
          <w:p>
            <w:pPr>
              <w:pStyle w:val="40"/>
              <w:jc w:val="center"/>
              <w:rPr>
                <w:color w:val="auto"/>
                <w:szCs w:val="21"/>
              </w:rPr>
            </w:pPr>
            <w:r>
              <w:rPr>
                <w:color w:val="auto"/>
                <w:szCs w:val="21"/>
              </w:rPr>
              <w:t>1.5</w:t>
            </w:r>
          </w:p>
        </w:tc>
        <w:tc>
          <w:tcPr>
            <w:tcW w:w="1243" w:type="dxa"/>
            <w:vAlign w:val="center"/>
          </w:tcPr>
          <w:p>
            <w:pPr>
              <w:pStyle w:val="40"/>
              <w:jc w:val="center"/>
              <w:rPr>
                <w:color w:val="auto"/>
                <w:szCs w:val="21"/>
              </w:rPr>
            </w:pPr>
            <w:r>
              <w:rPr>
                <w:color w:val="auto"/>
                <w:szCs w:val="21"/>
              </w:rPr>
              <w:t>5000</w:t>
            </w:r>
          </w:p>
        </w:tc>
        <w:tc>
          <w:tcPr>
            <w:tcW w:w="4074" w:type="dxa"/>
            <w:vAlign w:val="center"/>
          </w:tcPr>
          <w:p>
            <w:pPr>
              <w:pStyle w:val="40"/>
              <w:jc w:val="center"/>
              <w:rPr>
                <w:color w:val="auto"/>
                <w:szCs w:val="21"/>
              </w:rPr>
            </w:pPr>
            <w:r>
              <w:rPr>
                <w:color w:val="auto"/>
                <w:szCs w:val="21"/>
              </w:rPr>
              <w:t>20+（5000-1000）×1.5</w:t>
            </w:r>
            <w:r>
              <w:rPr>
                <w:color w:val="auto"/>
                <w:szCs w:val="21"/>
                <w:lang w:val="en-US" w:bidi="ar-SA"/>
              </w:rPr>
              <w:drawing>
                <wp:inline distT="0" distB="0" distL="114300" distR="114300">
                  <wp:extent cx="72390" cy="1308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zCs w:val="21"/>
              </w:rPr>
              <w:t>=80</w:t>
            </w:r>
          </w:p>
        </w:tc>
        <w:tc>
          <w:tcPr>
            <w:tcW w:w="754" w:type="dxa"/>
            <w:vMerge w:val="continue"/>
            <w:vAlign w:val="center"/>
          </w:tcPr>
          <w:p>
            <w:pPr>
              <w:jc w:val="center"/>
              <w:rPr>
                <w:rFonts w:ascii="仿宋_GB2312" w:hAnsi="仿宋_GB2312" w:eastAsia="仿宋_GB2312" w:cs="仿宋_GB2312"/>
                <w:color w:val="auto"/>
                <w:szCs w:val="21"/>
                <w:lang w:val="zh-CN" w:bidi="zh-CN"/>
              </w:rPr>
            </w:pPr>
          </w:p>
        </w:tc>
        <w:tc>
          <w:tcPr>
            <w:tcW w:w="1103" w:type="dxa"/>
            <w:vAlign w:val="center"/>
          </w:tcPr>
          <w:p>
            <w:pPr>
              <w:pStyle w:val="40"/>
              <w:jc w:val="center"/>
              <w:rPr>
                <w:color w:val="auto"/>
                <w:szCs w:val="21"/>
              </w:rPr>
            </w:pPr>
            <w:r>
              <w:rPr>
                <w:color w:val="auto"/>
                <w:szCs w:val="21"/>
              </w:rPr>
              <w:t>5000</w:t>
            </w:r>
          </w:p>
        </w:tc>
        <w:tc>
          <w:tcPr>
            <w:tcW w:w="4007" w:type="dxa"/>
            <w:vAlign w:val="center"/>
          </w:tcPr>
          <w:p>
            <w:pPr>
              <w:pStyle w:val="40"/>
              <w:ind w:left="106"/>
              <w:jc w:val="center"/>
              <w:rPr>
                <w:color w:val="auto"/>
                <w:szCs w:val="21"/>
              </w:rPr>
            </w:pPr>
            <w:r>
              <w:rPr>
                <w:color w:val="auto"/>
                <w:szCs w:val="21"/>
              </w:rPr>
              <w:t>30+（5000-1000）×3</w:t>
            </w:r>
            <w:r>
              <w:rPr>
                <w:color w:val="auto"/>
                <w:szCs w:val="21"/>
                <w:lang w:val="en-US" w:bidi="ar-SA"/>
              </w:rPr>
              <w:drawing>
                <wp:inline distT="0" distB="0" distL="114300" distR="114300">
                  <wp:extent cx="72390" cy="130810"/>
                  <wp:effectExtent l="0" t="0" r="3810"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zCs w:val="21"/>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972" w:type="dxa"/>
            <w:vAlign w:val="center"/>
          </w:tcPr>
          <w:p>
            <w:pPr>
              <w:pStyle w:val="40"/>
              <w:jc w:val="center"/>
              <w:rPr>
                <w:color w:val="auto"/>
                <w:szCs w:val="21"/>
              </w:rPr>
            </w:pPr>
            <w:r>
              <w:rPr>
                <w:color w:val="auto"/>
                <w:szCs w:val="21"/>
              </w:rPr>
              <w:t>5001-10000</w:t>
            </w:r>
          </w:p>
        </w:tc>
        <w:tc>
          <w:tcPr>
            <w:tcW w:w="815" w:type="dxa"/>
            <w:vAlign w:val="center"/>
          </w:tcPr>
          <w:p>
            <w:pPr>
              <w:pStyle w:val="40"/>
              <w:jc w:val="center"/>
              <w:rPr>
                <w:color w:val="auto"/>
                <w:szCs w:val="21"/>
              </w:rPr>
            </w:pPr>
            <w:r>
              <w:rPr>
                <w:color w:val="auto"/>
                <w:szCs w:val="21"/>
              </w:rPr>
              <w:t>1.2</w:t>
            </w:r>
          </w:p>
        </w:tc>
        <w:tc>
          <w:tcPr>
            <w:tcW w:w="1243" w:type="dxa"/>
            <w:vAlign w:val="center"/>
          </w:tcPr>
          <w:p>
            <w:pPr>
              <w:pStyle w:val="40"/>
              <w:jc w:val="center"/>
              <w:rPr>
                <w:color w:val="auto"/>
                <w:szCs w:val="21"/>
              </w:rPr>
            </w:pPr>
            <w:r>
              <w:rPr>
                <w:color w:val="auto"/>
                <w:szCs w:val="21"/>
              </w:rPr>
              <w:t>10000</w:t>
            </w:r>
          </w:p>
        </w:tc>
        <w:tc>
          <w:tcPr>
            <w:tcW w:w="4074" w:type="dxa"/>
            <w:vAlign w:val="center"/>
          </w:tcPr>
          <w:p>
            <w:pPr>
              <w:pStyle w:val="40"/>
              <w:jc w:val="center"/>
              <w:rPr>
                <w:color w:val="auto"/>
                <w:szCs w:val="21"/>
              </w:rPr>
            </w:pPr>
            <w:r>
              <w:rPr>
                <w:color w:val="auto"/>
                <w:szCs w:val="21"/>
              </w:rPr>
              <w:t>80+（10000-5000）×1.2</w:t>
            </w:r>
            <w:r>
              <w:rPr>
                <w:color w:val="auto"/>
                <w:szCs w:val="21"/>
                <w:lang w:val="en-US" w:bidi="ar-SA"/>
              </w:rPr>
              <w:drawing>
                <wp:inline distT="0" distB="0" distL="114300" distR="114300">
                  <wp:extent cx="72390" cy="130810"/>
                  <wp:effectExtent l="0" t="0" r="381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zCs w:val="21"/>
              </w:rPr>
              <w:t>=140</w:t>
            </w:r>
          </w:p>
        </w:tc>
        <w:tc>
          <w:tcPr>
            <w:tcW w:w="754" w:type="dxa"/>
            <w:vMerge w:val="continue"/>
            <w:vAlign w:val="center"/>
          </w:tcPr>
          <w:p>
            <w:pPr>
              <w:jc w:val="center"/>
              <w:rPr>
                <w:rFonts w:ascii="仿宋_GB2312" w:hAnsi="仿宋_GB2312" w:eastAsia="仿宋_GB2312" w:cs="仿宋_GB2312"/>
                <w:color w:val="auto"/>
                <w:szCs w:val="21"/>
                <w:lang w:val="zh-CN" w:bidi="zh-CN"/>
              </w:rPr>
            </w:pPr>
          </w:p>
        </w:tc>
        <w:tc>
          <w:tcPr>
            <w:tcW w:w="1103" w:type="dxa"/>
            <w:vAlign w:val="center"/>
          </w:tcPr>
          <w:p>
            <w:pPr>
              <w:pStyle w:val="40"/>
              <w:jc w:val="center"/>
              <w:rPr>
                <w:color w:val="auto"/>
                <w:szCs w:val="21"/>
              </w:rPr>
            </w:pPr>
            <w:r>
              <w:rPr>
                <w:color w:val="auto"/>
                <w:szCs w:val="21"/>
              </w:rPr>
              <w:t>10000</w:t>
            </w:r>
          </w:p>
        </w:tc>
        <w:tc>
          <w:tcPr>
            <w:tcW w:w="4007" w:type="dxa"/>
            <w:vAlign w:val="center"/>
          </w:tcPr>
          <w:p>
            <w:pPr>
              <w:pStyle w:val="40"/>
              <w:ind w:left="106"/>
              <w:jc w:val="center"/>
              <w:rPr>
                <w:color w:val="auto"/>
                <w:szCs w:val="21"/>
              </w:rPr>
            </w:pPr>
            <w:r>
              <w:rPr>
                <w:color w:val="auto"/>
                <w:szCs w:val="21"/>
              </w:rPr>
              <w:t>150+（10000-5000）×3</w:t>
            </w:r>
            <w:r>
              <w:rPr>
                <w:color w:val="auto"/>
                <w:szCs w:val="21"/>
                <w:lang w:val="en-US" w:bidi="ar-SA"/>
              </w:rPr>
              <w:drawing>
                <wp:inline distT="0" distB="0" distL="114300" distR="114300">
                  <wp:extent cx="72390" cy="130810"/>
                  <wp:effectExtent l="0" t="0" r="381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zCs w:val="21"/>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972" w:type="dxa"/>
            <w:vAlign w:val="center"/>
          </w:tcPr>
          <w:p>
            <w:pPr>
              <w:pStyle w:val="40"/>
              <w:jc w:val="center"/>
              <w:rPr>
                <w:color w:val="auto"/>
                <w:szCs w:val="21"/>
              </w:rPr>
            </w:pPr>
            <w:r>
              <w:rPr>
                <w:color w:val="auto"/>
                <w:szCs w:val="21"/>
              </w:rPr>
              <w:t>10001-50000</w:t>
            </w:r>
          </w:p>
        </w:tc>
        <w:tc>
          <w:tcPr>
            <w:tcW w:w="815" w:type="dxa"/>
            <w:vAlign w:val="center"/>
          </w:tcPr>
          <w:p>
            <w:pPr>
              <w:pStyle w:val="40"/>
              <w:jc w:val="center"/>
              <w:rPr>
                <w:color w:val="auto"/>
                <w:szCs w:val="21"/>
              </w:rPr>
            </w:pPr>
            <w:r>
              <w:rPr>
                <w:color w:val="auto"/>
                <w:szCs w:val="21"/>
              </w:rPr>
              <w:t>1</w:t>
            </w:r>
          </w:p>
        </w:tc>
        <w:tc>
          <w:tcPr>
            <w:tcW w:w="1243" w:type="dxa"/>
            <w:vAlign w:val="center"/>
          </w:tcPr>
          <w:p>
            <w:pPr>
              <w:pStyle w:val="40"/>
              <w:jc w:val="center"/>
              <w:rPr>
                <w:color w:val="auto"/>
                <w:szCs w:val="21"/>
              </w:rPr>
            </w:pPr>
            <w:r>
              <w:rPr>
                <w:color w:val="auto"/>
                <w:szCs w:val="21"/>
              </w:rPr>
              <w:t>50000</w:t>
            </w:r>
          </w:p>
        </w:tc>
        <w:tc>
          <w:tcPr>
            <w:tcW w:w="4074" w:type="dxa"/>
            <w:vAlign w:val="center"/>
          </w:tcPr>
          <w:p>
            <w:pPr>
              <w:pStyle w:val="40"/>
              <w:ind w:left="105"/>
              <w:jc w:val="center"/>
              <w:rPr>
                <w:color w:val="auto"/>
                <w:szCs w:val="21"/>
              </w:rPr>
            </w:pPr>
            <w:r>
              <w:rPr>
                <w:color w:val="auto"/>
                <w:spacing w:val="-1"/>
                <w:szCs w:val="21"/>
              </w:rPr>
              <w:t>140+（50000-10000）×1</w:t>
            </w:r>
            <w:r>
              <w:rPr>
                <w:color w:val="auto"/>
                <w:spacing w:val="4"/>
                <w:szCs w:val="21"/>
                <w:lang w:val="en-US" w:bidi="ar-SA"/>
              </w:rPr>
              <w:drawing>
                <wp:inline distT="0" distB="0" distL="114300" distR="114300">
                  <wp:extent cx="72390" cy="130810"/>
                  <wp:effectExtent l="0" t="0" r="3810"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zCs w:val="21"/>
              </w:rPr>
              <w:t>=540</w:t>
            </w:r>
          </w:p>
        </w:tc>
        <w:tc>
          <w:tcPr>
            <w:tcW w:w="754" w:type="dxa"/>
            <w:vMerge w:val="continue"/>
            <w:vAlign w:val="center"/>
          </w:tcPr>
          <w:p>
            <w:pPr>
              <w:pStyle w:val="40"/>
              <w:jc w:val="center"/>
              <w:rPr>
                <w:color w:val="auto"/>
                <w:szCs w:val="21"/>
              </w:rPr>
            </w:pPr>
          </w:p>
        </w:tc>
        <w:tc>
          <w:tcPr>
            <w:tcW w:w="1103" w:type="dxa"/>
            <w:vAlign w:val="center"/>
          </w:tcPr>
          <w:p>
            <w:pPr>
              <w:pStyle w:val="40"/>
              <w:jc w:val="center"/>
              <w:rPr>
                <w:color w:val="auto"/>
                <w:szCs w:val="21"/>
              </w:rPr>
            </w:pPr>
            <w:r>
              <w:rPr>
                <w:color w:val="auto"/>
                <w:szCs w:val="21"/>
              </w:rPr>
              <w:t>50000</w:t>
            </w:r>
          </w:p>
        </w:tc>
        <w:tc>
          <w:tcPr>
            <w:tcW w:w="4007" w:type="dxa"/>
            <w:vAlign w:val="center"/>
          </w:tcPr>
          <w:p>
            <w:pPr>
              <w:pStyle w:val="40"/>
              <w:ind w:left="106"/>
              <w:jc w:val="center"/>
              <w:rPr>
                <w:color w:val="auto"/>
                <w:szCs w:val="21"/>
              </w:rPr>
            </w:pPr>
            <w:r>
              <w:rPr>
                <w:color w:val="auto"/>
                <w:spacing w:val="-1"/>
                <w:szCs w:val="21"/>
              </w:rPr>
              <w:t>300+（50000</w:t>
            </w:r>
            <w:r>
              <w:rPr>
                <w:color w:val="auto"/>
                <w:szCs w:val="21"/>
              </w:rPr>
              <w:t>-</w:t>
            </w:r>
            <w:r>
              <w:rPr>
                <w:color w:val="auto"/>
                <w:spacing w:val="-1"/>
                <w:szCs w:val="21"/>
              </w:rPr>
              <w:t>10000）×</w:t>
            </w:r>
            <w:r>
              <w:rPr>
                <w:color w:val="auto"/>
                <w:spacing w:val="-1"/>
                <w:szCs w:val="21"/>
                <w:lang w:val="en-US"/>
              </w:rPr>
              <w:t>3</w:t>
            </w:r>
            <w:r>
              <w:rPr>
                <w:color w:val="auto"/>
                <w:spacing w:val="4"/>
                <w:szCs w:val="21"/>
                <w:lang w:val="en-US" w:bidi="ar-SA"/>
              </w:rPr>
              <w:drawing>
                <wp:inline distT="0" distB="0" distL="114300" distR="114300">
                  <wp:extent cx="72390" cy="130810"/>
                  <wp:effectExtent l="0" t="0" r="3810" b="25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zCs w:val="21"/>
              </w:rPr>
              <w:t>=1</w:t>
            </w:r>
            <w:r>
              <w:rPr>
                <w:color w:val="auto"/>
                <w:szCs w:val="21"/>
                <w:lang w:val="en-US"/>
              </w:rPr>
              <w:t>5</w:t>
            </w:r>
            <w:r>
              <w:rPr>
                <w:color w:val="auto"/>
                <w:szCs w:val="21"/>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972" w:type="dxa"/>
            <w:vAlign w:val="center"/>
          </w:tcPr>
          <w:p>
            <w:pPr>
              <w:pStyle w:val="40"/>
              <w:jc w:val="center"/>
              <w:rPr>
                <w:color w:val="auto"/>
                <w:szCs w:val="21"/>
              </w:rPr>
            </w:pPr>
            <w:r>
              <w:rPr>
                <w:color w:val="auto"/>
                <w:szCs w:val="21"/>
              </w:rPr>
              <w:t>50001-100000</w:t>
            </w:r>
          </w:p>
        </w:tc>
        <w:tc>
          <w:tcPr>
            <w:tcW w:w="815" w:type="dxa"/>
            <w:vAlign w:val="center"/>
          </w:tcPr>
          <w:p>
            <w:pPr>
              <w:pStyle w:val="40"/>
              <w:jc w:val="center"/>
              <w:rPr>
                <w:color w:val="auto"/>
                <w:szCs w:val="21"/>
              </w:rPr>
            </w:pPr>
            <w:r>
              <w:rPr>
                <w:color w:val="auto"/>
                <w:szCs w:val="21"/>
              </w:rPr>
              <w:t>0.8</w:t>
            </w:r>
          </w:p>
        </w:tc>
        <w:tc>
          <w:tcPr>
            <w:tcW w:w="1243" w:type="dxa"/>
            <w:vAlign w:val="center"/>
          </w:tcPr>
          <w:p>
            <w:pPr>
              <w:pStyle w:val="40"/>
              <w:jc w:val="center"/>
              <w:rPr>
                <w:color w:val="auto"/>
                <w:szCs w:val="21"/>
              </w:rPr>
            </w:pPr>
            <w:r>
              <w:rPr>
                <w:color w:val="auto"/>
                <w:szCs w:val="21"/>
              </w:rPr>
              <w:t>100000</w:t>
            </w:r>
          </w:p>
        </w:tc>
        <w:tc>
          <w:tcPr>
            <w:tcW w:w="4074" w:type="dxa"/>
            <w:vAlign w:val="center"/>
          </w:tcPr>
          <w:p>
            <w:pPr>
              <w:pStyle w:val="40"/>
              <w:ind w:left="105"/>
              <w:jc w:val="center"/>
              <w:rPr>
                <w:color w:val="auto"/>
                <w:szCs w:val="21"/>
              </w:rPr>
            </w:pPr>
            <w:r>
              <w:rPr>
                <w:color w:val="auto"/>
                <w:spacing w:val="-1"/>
                <w:position w:val="1"/>
                <w:szCs w:val="21"/>
              </w:rPr>
              <w:t>540+（100000-50000）×0.8</w:t>
            </w:r>
            <w:r>
              <w:rPr>
                <w:color w:val="auto"/>
                <w:spacing w:val="4"/>
                <w:szCs w:val="21"/>
                <w:lang w:val="en-US" w:bidi="ar-SA"/>
              </w:rPr>
              <w:drawing>
                <wp:inline distT="0" distB="0" distL="114300" distR="114300">
                  <wp:extent cx="72390" cy="130810"/>
                  <wp:effectExtent l="0" t="0" r="3810" b="25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position w:val="1"/>
                <w:szCs w:val="21"/>
              </w:rPr>
              <w:t>=940</w:t>
            </w:r>
          </w:p>
        </w:tc>
        <w:tc>
          <w:tcPr>
            <w:tcW w:w="754" w:type="dxa"/>
            <w:vAlign w:val="center"/>
          </w:tcPr>
          <w:p>
            <w:pPr>
              <w:pStyle w:val="40"/>
              <w:jc w:val="center"/>
              <w:rPr>
                <w:color w:val="auto"/>
                <w:szCs w:val="21"/>
                <w:lang w:val="en-US"/>
              </w:rPr>
            </w:pPr>
            <w:r>
              <w:rPr>
                <w:color w:val="auto"/>
                <w:szCs w:val="21"/>
                <w:lang w:val="en-US"/>
              </w:rPr>
              <w:t>2.5</w:t>
            </w:r>
          </w:p>
        </w:tc>
        <w:tc>
          <w:tcPr>
            <w:tcW w:w="1103" w:type="dxa"/>
            <w:vAlign w:val="center"/>
          </w:tcPr>
          <w:p>
            <w:pPr>
              <w:pStyle w:val="40"/>
              <w:jc w:val="center"/>
              <w:rPr>
                <w:color w:val="auto"/>
                <w:szCs w:val="21"/>
              </w:rPr>
            </w:pPr>
            <w:r>
              <w:rPr>
                <w:color w:val="auto"/>
                <w:szCs w:val="21"/>
              </w:rPr>
              <w:t>100000</w:t>
            </w:r>
          </w:p>
        </w:tc>
        <w:tc>
          <w:tcPr>
            <w:tcW w:w="4007" w:type="dxa"/>
            <w:vAlign w:val="center"/>
          </w:tcPr>
          <w:p>
            <w:pPr>
              <w:pStyle w:val="40"/>
              <w:ind w:left="106"/>
              <w:jc w:val="center"/>
              <w:rPr>
                <w:color w:val="auto"/>
                <w:szCs w:val="21"/>
                <w:lang w:val="en-US"/>
              </w:rPr>
            </w:pPr>
            <w:r>
              <w:rPr>
                <w:color w:val="auto"/>
                <w:spacing w:val="-1"/>
                <w:position w:val="1"/>
                <w:szCs w:val="21"/>
              </w:rPr>
              <w:t>1</w:t>
            </w:r>
            <w:r>
              <w:rPr>
                <w:color w:val="auto"/>
                <w:spacing w:val="-1"/>
                <w:position w:val="1"/>
                <w:szCs w:val="21"/>
                <w:lang w:val="en-US"/>
              </w:rPr>
              <w:t>5</w:t>
            </w:r>
            <w:r>
              <w:rPr>
                <w:color w:val="auto"/>
                <w:spacing w:val="-1"/>
                <w:position w:val="1"/>
                <w:szCs w:val="21"/>
              </w:rPr>
              <w:t>00</w:t>
            </w:r>
            <w:r>
              <w:rPr>
                <w:color w:val="auto"/>
                <w:spacing w:val="-118"/>
                <w:position w:val="1"/>
                <w:szCs w:val="21"/>
              </w:rPr>
              <w:t>+</w:t>
            </w:r>
            <w:r>
              <w:rPr>
                <w:rFonts w:hint="eastAsia"/>
                <w:color w:val="auto"/>
                <w:spacing w:val="-1"/>
                <w:position w:val="1"/>
                <w:szCs w:val="21"/>
              </w:rPr>
              <w:t>（</w:t>
            </w:r>
            <w:r>
              <w:rPr>
                <w:color w:val="auto"/>
                <w:spacing w:val="-1"/>
                <w:position w:val="1"/>
                <w:szCs w:val="21"/>
              </w:rPr>
              <w:t>100000-50000</w:t>
            </w:r>
            <w:r>
              <w:rPr>
                <w:rFonts w:hint="eastAsia"/>
                <w:color w:val="auto"/>
                <w:spacing w:val="-118"/>
                <w:position w:val="1"/>
                <w:szCs w:val="21"/>
              </w:rPr>
              <w:t>）</w:t>
            </w:r>
            <w:r>
              <w:rPr>
                <w:rFonts w:hint="eastAsia"/>
                <w:color w:val="auto"/>
                <w:spacing w:val="-1"/>
                <w:position w:val="1"/>
                <w:szCs w:val="21"/>
              </w:rPr>
              <w:t>×</w:t>
            </w:r>
            <w:r>
              <w:rPr>
                <w:color w:val="auto"/>
                <w:spacing w:val="-1"/>
                <w:position w:val="1"/>
                <w:szCs w:val="21"/>
                <w:lang w:val="en-US"/>
              </w:rPr>
              <w:t>2.5</w:t>
            </w:r>
            <w:r>
              <w:rPr>
                <w:color w:val="auto"/>
                <w:spacing w:val="4"/>
                <w:szCs w:val="21"/>
                <w:lang w:val="en-US" w:bidi="ar-SA"/>
              </w:rPr>
              <w:drawing>
                <wp:inline distT="0" distB="0" distL="114300" distR="114300">
                  <wp:extent cx="72390" cy="130810"/>
                  <wp:effectExtent l="0" t="0" r="3810" b="25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pacing w:val="-1"/>
                <w:position w:val="1"/>
                <w:szCs w:val="21"/>
              </w:rPr>
              <w:t>=</w:t>
            </w:r>
            <w:r>
              <w:rPr>
                <w:color w:val="auto"/>
                <w:spacing w:val="-1"/>
                <w:position w:val="1"/>
                <w:szCs w:val="21"/>
                <w:lang w:val="en-US"/>
              </w:rPr>
              <w:t>2750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972" w:type="dxa"/>
            <w:vAlign w:val="center"/>
          </w:tcPr>
          <w:p>
            <w:pPr>
              <w:pStyle w:val="40"/>
              <w:jc w:val="center"/>
              <w:rPr>
                <w:color w:val="auto"/>
                <w:szCs w:val="21"/>
                <w:lang w:val="en-US"/>
              </w:rPr>
            </w:pPr>
            <w:r>
              <w:rPr>
                <w:color w:val="auto"/>
                <w:szCs w:val="21"/>
              </w:rPr>
              <w:t>10000</w:t>
            </w:r>
            <w:r>
              <w:rPr>
                <w:color w:val="auto"/>
                <w:szCs w:val="21"/>
                <w:lang w:val="en-US"/>
              </w:rPr>
              <w:t>1-200000</w:t>
            </w:r>
          </w:p>
        </w:tc>
        <w:tc>
          <w:tcPr>
            <w:tcW w:w="815" w:type="dxa"/>
            <w:vMerge w:val="restart"/>
            <w:vAlign w:val="center"/>
          </w:tcPr>
          <w:p>
            <w:pPr>
              <w:pStyle w:val="40"/>
              <w:jc w:val="center"/>
              <w:rPr>
                <w:color w:val="auto"/>
                <w:szCs w:val="21"/>
              </w:rPr>
            </w:pPr>
            <w:r>
              <w:rPr>
                <w:color w:val="auto"/>
                <w:szCs w:val="21"/>
              </w:rPr>
              <w:t>0.4</w:t>
            </w:r>
          </w:p>
        </w:tc>
        <w:tc>
          <w:tcPr>
            <w:tcW w:w="1243" w:type="dxa"/>
            <w:vAlign w:val="center"/>
          </w:tcPr>
          <w:p>
            <w:pPr>
              <w:pStyle w:val="40"/>
              <w:jc w:val="center"/>
              <w:rPr>
                <w:color w:val="auto"/>
                <w:szCs w:val="21"/>
              </w:rPr>
            </w:pPr>
            <w:r>
              <w:rPr>
                <w:color w:val="auto"/>
                <w:szCs w:val="21"/>
              </w:rPr>
              <w:t>200000</w:t>
            </w:r>
          </w:p>
        </w:tc>
        <w:tc>
          <w:tcPr>
            <w:tcW w:w="4074" w:type="dxa"/>
            <w:vAlign w:val="center"/>
          </w:tcPr>
          <w:p>
            <w:pPr>
              <w:pStyle w:val="40"/>
              <w:jc w:val="center"/>
              <w:rPr>
                <w:color w:val="auto"/>
                <w:szCs w:val="21"/>
              </w:rPr>
            </w:pPr>
            <w:r>
              <w:rPr>
                <w:color w:val="auto"/>
                <w:szCs w:val="21"/>
              </w:rPr>
              <w:t>940+（200000-100000）×0.4</w:t>
            </w:r>
            <w:r>
              <w:rPr>
                <w:color w:val="auto"/>
                <w:szCs w:val="21"/>
                <w:lang w:val="en-US" w:bidi="ar-SA"/>
              </w:rPr>
              <w:drawing>
                <wp:inline distT="0" distB="0" distL="114300" distR="114300">
                  <wp:extent cx="72390" cy="130810"/>
                  <wp:effectExtent l="0" t="0" r="3810"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zCs w:val="21"/>
              </w:rPr>
              <w:t>=1340</w:t>
            </w:r>
          </w:p>
        </w:tc>
        <w:tc>
          <w:tcPr>
            <w:tcW w:w="754" w:type="dxa"/>
            <w:vAlign w:val="center"/>
          </w:tcPr>
          <w:p>
            <w:pPr>
              <w:pStyle w:val="40"/>
              <w:jc w:val="center"/>
              <w:rPr>
                <w:color w:val="auto"/>
                <w:szCs w:val="21"/>
              </w:rPr>
            </w:pPr>
            <w:r>
              <w:rPr>
                <w:color w:val="auto"/>
                <w:szCs w:val="21"/>
                <w:lang w:val="en-US"/>
              </w:rPr>
              <w:t>2</w:t>
            </w:r>
          </w:p>
        </w:tc>
        <w:tc>
          <w:tcPr>
            <w:tcW w:w="1103" w:type="dxa"/>
            <w:vAlign w:val="center"/>
          </w:tcPr>
          <w:p>
            <w:pPr>
              <w:pStyle w:val="40"/>
              <w:jc w:val="center"/>
              <w:rPr>
                <w:color w:val="auto"/>
                <w:szCs w:val="21"/>
              </w:rPr>
            </w:pPr>
            <w:r>
              <w:rPr>
                <w:color w:val="auto"/>
                <w:szCs w:val="21"/>
              </w:rPr>
              <w:t>200000</w:t>
            </w:r>
          </w:p>
        </w:tc>
        <w:tc>
          <w:tcPr>
            <w:tcW w:w="4007" w:type="dxa"/>
            <w:vAlign w:val="center"/>
          </w:tcPr>
          <w:p>
            <w:pPr>
              <w:pStyle w:val="40"/>
              <w:jc w:val="center"/>
              <w:rPr>
                <w:color w:val="auto"/>
                <w:szCs w:val="21"/>
                <w:lang w:val="en-US"/>
              </w:rPr>
            </w:pPr>
            <w:r>
              <w:rPr>
                <w:color w:val="auto"/>
                <w:szCs w:val="21"/>
                <w:lang w:val="en-US"/>
              </w:rPr>
              <w:t>275</w:t>
            </w:r>
            <w:r>
              <w:rPr>
                <w:color w:val="auto"/>
                <w:szCs w:val="21"/>
              </w:rPr>
              <w:t>0+（200000-100000）×</w:t>
            </w:r>
            <w:r>
              <w:rPr>
                <w:color w:val="auto"/>
                <w:szCs w:val="21"/>
                <w:lang w:val="en-US"/>
              </w:rPr>
              <w:t>2</w:t>
            </w:r>
            <w:r>
              <w:rPr>
                <w:color w:val="auto"/>
                <w:szCs w:val="21"/>
                <w:lang w:val="en-US" w:bidi="ar-SA"/>
              </w:rPr>
              <w:drawing>
                <wp:inline distT="0" distB="0" distL="114300" distR="114300">
                  <wp:extent cx="72390" cy="130810"/>
                  <wp:effectExtent l="0" t="0" r="3810"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zCs w:val="21"/>
              </w:rPr>
              <w:t>=</w:t>
            </w:r>
            <w:r>
              <w:rPr>
                <w:color w:val="auto"/>
                <w:szCs w:val="21"/>
                <w:lang w:val="en-US"/>
              </w:rPr>
              <w:t>4750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972" w:type="dxa"/>
            <w:vAlign w:val="center"/>
          </w:tcPr>
          <w:p>
            <w:pPr>
              <w:pStyle w:val="40"/>
              <w:jc w:val="center"/>
              <w:rPr>
                <w:color w:val="auto"/>
                <w:szCs w:val="21"/>
                <w:lang w:val="en-US"/>
              </w:rPr>
            </w:pPr>
            <w:r>
              <w:rPr>
                <w:color w:val="auto"/>
                <w:szCs w:val="21"/>
                <w:lang w:val="en-US"/>
              </w:rPr>
              <w:t>200000</w:t>
            </w:r>
            <w:r>
              <w:rPr>
                <w:rFonts w:hint="eastAsia"/>
                <w:color w:val="auto"/>
                <w:szCs w:val="21"/>
                <w:lang w:val="en-US"/>
              </w:rPr>
              <w:t>以上</w:t>
            </w:r>
          </w:p>
        </w:tc>
        <w:tc>
          <w:tcPr>
            <w:tcW w:w="815" w:type="dxa"/>
            <w:vMerge w:val="continue"/>
            <w:vAlign w:val="center"/>
          </w:tcPr>
          <w:p>
            <w:pPr>
              <w:pStyle w:val="40"/>
              <w:jc w:val="center"/>
              <w:rPr>
                <w:color w:val="auto"/>
                <w:szCs w:val="21"/>
                <w:lang w:val="en-US"/>
              </w:rPr>
            </w:pPr>
          </w:p>
        </w:tc>
        <w:tc>
          <w:tcPr>
            <w:tcW w:w="1243" w:type="dxa"/>
            <w:vAlign w:val="center"/>
          </w:tcPr>
          <w:p>
            <w:pPr>
              <w:pStyle w:val="40"/>
              <w:jc w:val="center"/>
              <w:rPr>
                <w:color w:val="auto"/>
                <w:szCs w:val="21"/>
                <w:lang w:val="en-US"/>
              </w:rPr>
            </w:pPr>
            <w:r>
              <w:rPr>
                <w:color w:val="auto"/>
                <w:szCs w:val="21"/>
                <w:lang w:val="en-US"/>
              </w:rPr>
              <w:t>300000</w:t>
            </w:r>
          </w:p>
        </w:tc>
        <w:tc>
          <w:tcPr>
            <w:tcW w:w="4074" w:type="dxa"/>
            <w:vAlign w:val="center"/>
          </w:tcPr>
          <w:p>
            <w:pPr>
              <w:pStyle w:val="40"/>
              <w:jc w:val="center"/>
              <w:rPr>
                <w:color w:val="auto"/>
                <w:szCs w:val="21"/>
              </w:rPr>
            </w:pPr>
            <w:r>
              <w:rPr>
                <w:color w:val="auto"/>
                <w:szCs w:val="21"/>
                <w:lang w:val="en-US"/>
              </w:rPr>
              <w:t>1340</w:t>
            </w:r>
            <w:r>
              <w:rPr>
                <w:color w:val="auto"/>
                <w:szCs w:val="21"/>
              </w:rPr>
              <w:t>+（</w:t>
            </w:r>
            <w:r>
              <w:rPr>
                <w:color w:val="auto"/>
                <w:szCs w:val="21"/>
                <w:lang w:val="en-US"/>
              </w:rPr>
              <w:t>3</w:t>
            </w:r>
            <w:r>
              <w:rPr>
                <w:color w:val="auto"/>
                <w:szCs w:val="21"/>
              </w:rPr>
              <w:t>00000-</w:t>
            </w:r>
            <w:r>
              <w:rPr>
                <w:color w:val="auto"/>
                <w:szCs w:val="21"/>
                <w:lang w:val="en-US"/>
              </w:rPr>
              <w:t>2</w:t>
            </w:r>
            <w:r>
              <w:rPr>
                <w:color w:val="auto"/>
                <w:szCs w:val="21"/>
              </w:rPr>
              <w:t>00000）×0.4</w:t>
            </w:r>
            <w:r>
              <w:rPr>
                <w:color w:val="auto"/>
                <w:szCs w:val="21"/>
                <w:lang w:val="en-US" w:bidi="ar-SA"/>
              </w:rPr>
              <w:drawing>
                <wp:inline distT="0" distB="0" distL="114300" distR="114300">
                  <wp:extent cx="72390" cy="130810"/>
                  <wp:effectExtent l="0" t="0" r="3810" b="254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zCs w:val="21"/>
              </w:rPr>
              <w:t>=1</w:t>
            </w:r>
            <w:r>
              <w:rPr>
                <w:color w:val="auto"/>
                <w:szCs w:val="21"/>
                <w:lang w:val="en-US"/>
              </w:rPr>
              <w:t>7</w:t>
            </w:r>
            <w:r>
              <w:rPr>
                <w:color w:val="auto"/>
                <w:szCs w:val="21"/>
              </w:rPr>
              <w:t>40</w:t>
            </w:r>
          </w:p>
        </w:tc>
        <w:tc>
          <w:tcPr>
            <w:tcW w:w="754" w:type="dxa"/>
            <w:vAlign w:val="center"/>
          </w:tcPr>
          <w:p>
            <w:pPr>
              <w:pStyle w:val="40"/>
              <w:jc w:val="center"/>
              <w:rPr>
                <w:color w:val="auto"/>
                <w:szCs w:val="21"/>
                <w:lang w:val="en-US"/>
              </w:rPr>
            </w:pPr>
            <w:r>
              <w:rPr>
                <w:color w:val="auto"/>
                <w:szCs w:val="21"/>
                <w:lang w:val="en-US"/>
              </w:rPr>
              <w:t>1.5</w:t>
            </w:r>
          </w:p>
        </w:tc>
        <w:tc>
          <w:tcPr>
            <w:tcW w:w="1103" w:type="dxa"/>
            <w:vAlign w:val="center"/>
          </w:tcPr>
          <w:p>
            <w:pPr>
              <w:pStyle w:val="40"/>
              <w:jc w:val="center"/>
              <w:rPr>
                <w:color w:val="auto"/>
                <w:szCs w:val="21"/>
                <w:lang w:val="en-US"/>
              </w:rPr>
            </w:pPr>
            <w:r>
              <w:rPr>
                <w:color w:val="auto"/>
                <w:szCs w:val="21"/>
                <w:lang w:val="en-US"/>
              </w:rPr>
              <w:t>300000</w:t>
            </w:r>
          </w:p>
        </w:tc>
        <w:tc>
          <w:tcPr>
            <w:tcW w:w="4007" w:type="dxa"/>
            <w:vAlign w:val="center"/>
          </w:tcPr>
          <w:p>
            <w:pPr>
              <w:pStyle w:val="40"/>
              <w:jc w:val="center"/>
              <w:rPr>
                <w:color w:val="auto"/>
                <w:szCs w:val="21"/>
                <w:lang w:val="en-US"/>
              </w:rPr>
            </w:pPr>
            <w:r>
              <w:rPr>
                <w:color w:val="auto"/>
                <w:szCs w:val="21"/>
                <w:lang w:val="en-US"/>
              </w:rPr>
              <w:t>4750</w:t>
            </w:r>
            <w:r>
              <w:rPr>
                <w:color w:val="auto"/>
                <w:szCs w:val="21"/>
              </w:rPr>
              <w:t>+（</w:t>
            </w:r>
            <w:r>
              <w:rPr>
                <w:color w:val="auto"/>
                <w:szCs w:val="21"/>
                <w:lang w:val="en-US"/>
              </w:rPr>
              <w:t>3</w:t>
            </w:r>
            <w:r>
              <w:rPr>
                <w:color w:val="auto"/>
                <w:szCs w:val="21"/>
              </w:rPr>
              <w:t>00000-</w:t>
            </w:r>
            <w:r>
              <w:rPr>
                <w:color w:val="auto"/>
                <w:szCs w:val="21"/>
                <w:lang w:val="en-US"/>
              </w:rPr>
              <w:t>2</w:t>
            </w:r>
            <w:r>
              <w:rPr>
                <w:color w:val="auto"/>
                <w:szCs w:val="21"/>
              </w:rPr>
              <w:t>00000）×</w:t>
            </w:r>
            <w:r>
              <w:rPr>
                <w:color w:val="auto"/>
                <w:szCs w:val="21"/>
                <w:lang w:val="en-US"/>
              </w:rPr>
              <w:t>1.5</w:t>
            </w:r>
            <w:r>
              <w:rPr>
                <w:color w:val="auto"/>
                <w:szCs w:val="21"/>
                <w:lang w:val="en-US" w:bidi="ar-SA"/>
              </w:rPr>
              <w:drawing>
                <wp:inline distT="0" distB="0" distL="114300" distR="114300">
                  <wp:extent cx="72390" cy="130810"/>
                  <wp:effectExtent l="0" t="0" r="3810" b="254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72390" cy="130810"/>
                          </a:xfrm>
                          <a:prstGeom prst="rect">
                            <a:avLst/>
                          </a:prstGeom>
                          <a:noFill/>
                          <a:ln>
                            <a:noFill/>
                          </a:ln>
                        </pic:spPr>
                      </pic:pic>
                    </a:graphicData>
                  </a:graphic>
                </wp:inline>
              </w:drawing>
            </w:r>
            <w:r>
              <w:rPr>
                <w:color w:val="auto"/>
                <w:szCs w:val="21"/>
              </w:rPr>
              <w:t>=</w:t>
            </w:r>
            <w:r>
              <w:rPr>
                <w:color w:val="auto"/>
                <w:szCs w:val="21"/>
                <w:lang w:val="en-US"/>
              </w:rPr>
              <w:t>6250</w:t>
            </w:r>
          </w:p>
        </w:tc>
      </w:tr>
    </w:tbl>
    <w:p>
      <w:pPr>
        <w:spacing w:line="360" w:lineRule="auto"/>
        <w:ind w:firstLine="420" w:firstLineChars="200"/>
        <w:jc w:val="left"/>
        <w:rPr>
          <w:rFonts w:ascii="仿宋_GB2312" w:hAnsi="仿宋_GB2312" w:eastAsia="仿宋_GB2312" w:cs="仿宋_GB2312"/>
          <w:color w:val="auto"/>
          <w:szCs w:val="21"/>
          <w:lang w:val="zh-CN" w:bidi="zh-CN"/>
        </w:rPr>
      </w:pPr>
      <w:r>
        <w:rPr>
          <w:rFonts w:hint="eastAsia" w:ascii="仿宋_GB2312" w:hAnsi="仿宋_GB2312" w:eastAsia="仿宋_GB2312" w:cs="仿宋_GB2312"/>
          <w:color w:val="auto"/>
          <w:szCs w:val="21"/>
          <w:lang w:val="zh-CN" w:bidi="zh-CN"/>
        </w:rPr>
        <w:t>备注：</w:t>
      </w:r>
      <w:r>
        <w:rPr>
          <w:rFonts w:ascii="仿宋_GB2312" w:hAnsi="仿宋_GB2312" w:eastAsia="仿宋_GB2312" w:cs="仿宋_GB2312"/>
          <w:color w:val="auto"/>
          <w:szCs w:val="21"/>
          <w:lang w:bidi="zh-CN"/>
        </w:rPr>
        <w:t>1</w:t>
      </w:r>
      <w:r>
        <w:rPr>
          <w:rFonts w:hint="eastAsia" w:ascii="仿宋_GB2312" w:hAnsi="仿宋_GB2312" w:eastAsia="仿宋_GB2312" w:cs="仿宋_GB2312"/>
          <w:color w:val="auto"/>
          <w:szCs w:val="21"/>
          <w:lang w:bidi="zh-CN"/>
        </w:rPr>
        <w:t>、</w:t>
      </w:r>
      <w:r>
        <w:rPr>
          <w:rFonts w:hint="eastAsia" w:ascii="仿宋_GB2312" w:hAnsi="仿宋_GB2312" w:eastAsia="仿宋_GB2312" w:cs="仿宋_GB2312"/>
          <w:color w:val="auto"/>
          <w:szCs w:val="21"/>
          <w:lang w:val="zh-CN" w:bidi="zh-CN"/>
        </w:rPr>
        <w:t>计算例中括号内第一个数为工程总概算分档的变动数，即设一项目工程总概算为</w:t>
      </w:r>
      <w:r>
        <w:rPr>
          <w:rFonts w:ascii="仿宋_GB2312" w:hAnsi="仿宋_GB2312" w:eastAsia="仿宋_GB2312" w:cs="仿宋_GB2312"/>
          <w:color w:val="auto"/>
          <w:szCs w:val="21"/>
          <w:lang w:val="zh-CN" w:bidi="zh-CN"/>
        </w:rPr>
        <w:t>X，若50001≤X≤100000，则项目代建管理费为540+（X-50000）×</w:t>
      </w:r>
      <w:r>
        <w:rPr>
          <w:rFonts w:ascii="仿宋_GB2312" w:hAnsi="仿宋_GB2312" w:eastAsia="仿宋_GB2312" w:cs="仿宋_GB2312"/>
          <w:color w:val="auto"/>
          <w:szCs w:val="21"/>
          <w:lang w:bidi="zh-CN"/>
        </w:rPr>
        <w:t>0.8</w:t>
      </w:r>
      <w:r>
        <w:rPr>
          <w:rFonts w:ascii="仿宋_GB2312" w:hAnsi="仿宋_GB2312" w:eastAsia="仿宋_GB2312" w:cs="仿宋_GB2312"/>
          <w:color w:val="auto"/>
          <w:szCs w:val="21"/>
          <w:lang w:val="zh-CN" w:bidi="zh-CN"/>
        </w:rPr>
        <w:t>%，以此类推。</w:t>
      </w:r>
    </w:p>
    <w:p>
      <w:pPr>
        <w:spacing w:line="360" w:lineRule="auto"/>
        <w:ind w:firstLine="420" w:firstLineChars="200"/>
        <w:jc w:val="left"/>
        <w:rPr>
          <w:rFonts w:ascii="仿宋_GB2312" w:hAnsi="仿宋_GB2312" w:eastAsia="仿宋_GB2312" w:cs="仿宋_GB2312"/>
          <w:color w:val="auto"/>
          <w:szCs w:val="21"/>
          <w:lang w:bidi="zh-CN"/>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ascii="仿宋_GB2312" w:hAnsi="仿宋_GB2312" w:eastAsia="仿宋_GB2312" w:cs="仿宋_GB2312"/>
          <w:color w:val="auto"/>
          <w:szCs w:val="21"/>
          <w:lang w:bidi="zh-CN"/>
        </w:rPr>
        <w:t>2、</w:t>
      </w:r>
      <w:r>
        <w:rPr>
          <w:rFonts w:hint="eastAsia" w:ascii="仿宋_GB2312" w:hAnsi="仿宋_GB2312" w:eastAsia="仿宋_GB2312" w:cs="仿宋_GB2312"/>
          <w:color w:val="auto"/>
          <w:szCs w:val="21"/>
          <w:lang w:bidi="zh-CN"/>
        </w:rPr>
        <w:t>其他特殊项目如费率超出本表范围，由委托单位提出并提请区政府审议。</w:t>
      </w:r>
    </w:p>
    <w:p>
      <w:pPr>
        <w:pStyle w:val="4"/>
        <w:spacing w:before="156" w:beforeLines="50" w:after="156" w:afterLines="50" w:line="360" w:lineRule="auto"/>
        <w:ind w:firstLine="482" w:firstLineChars="200"/>
        <w:rPr>
          <w:rFonts w:ascii="黑体" w:hAnsi="黑体" w:cs="黑体"/>
          <w:color w:val="auto"/>
        </w:rPr>
      </w:pPr>
      <w:bookmarkStart w:id="33" w:name="_Toc15540"/>
      <w:r>
        <w:rPr>
          <w:rFonts w:ascii="宋体" w:hAnsi="宋体" w:cs="宋体"/>
          <w:b/>
          <w:color w:val="auto"/>
          <w:sz w:val="24"/>
          <w:szCs w:val="24"/>
        </w:rPr>
        <w:br w:type="page"/>
      </w:r>
      <w:bookmarkStart w:id="34" w:name="_Toc12543"/>
      <w:bookmarkStart w:id="35" w:name="_Toc15764"/>
      <w:r>
        <w:rPr>
          <w:rFonts w:hint="eastAsia" w:ascii="黑体" w:hAnsi="黑体" w:cs="黑体"/>
          <w:color w:val="auto"/>
        </w:rPr>
        <w:t>附件</w:t>
      </w:r>
      <w:r>
        <w:rPr>
          <w:rFonts w:ascii="黑体" w:hAnsi="黑体" w:cs="黑体"/>
          <w:color w:val="auto"/>
        </w:rPr>
        <w:t>3：代建项目履约考核表</w:t>
      </w:r>
      <w:bookmarkEnd w:id="33"/>
      <w:bookmarkEnd w:id="34"/>
      <w:bookmarkEnd w:id="35"/>
    </w:p>
    <w:p>
      <w:pPr>
        <w:spacing w:line="560" w:lineRule="exact"/>
        <w:jc w:val="center"/>
        <w:rPr>
          <w:rFonts w:ascii="Times New Roman" w:hAnsi="Times New Roman" w:eastAsia="黑体"/>
          <w:color w:val="auto"/>
          <w:sz w:val="28"/>
          <w:szCs w:val="28"/>
        </w:rPr>
      </w:pPr>
      <w:r>
        <w:rPr>
          <w:rFonts w:hint="eastAsia" w:ascii="Times New Roman" w:hAnsi="Times New Roman" w:eastAsia="黑体"/>
          <w:color w:val="auto"/>
          <w:sz w:val="28"/>
          <w:szCs w:val="28"/>
        </w:rPr>
        <w:t>代建项目履约考核表</w:t>
      </w:r>
    </w:p>
    <w:tbl>
      <w:tblPr>
        <w:tblStyle w:val="15"/>
        <w:tblW w:w="14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895"/>
        <w:gridCol w:w="2013"/>
        <w:gridCol w:w="1583"/>
        <w:gridCol w:w="7252"/>
        <w:gridCol w:w="920"/>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blHeader/>
          <w:jc w:val="center"/>
        </w:trPr>
        <w:tc>
          <w:tcPr>
            <w:tcW w:w="564" w:type="dxa"/>
            <w:vAlign w:val="center"/>
          </w:tcPr>
          <w:p>
            <w:pPr>
              <w:jc w:val="center"/>
              <w:rPr>
                <w:rFonts w:ascii="仿宋_GB2312" w:hAnsi="仿宋_GB2312" w:eastAsia="仿宋_GB2312" w:cs="仿宋_GB2312"/>
                <w:b/>
                <w:bCs/>
                <w:color w:val="auto"/>
                <w:kern w:val="0"/>
                <w:szCs w:val="21"/>
                <w:lang w:bidi="ar"/>
              </w:rPr>
            </w:pPr>
            <w:r>
              <w:rPr>
                <w:rFonts w:hint="eastAsia" w:ascii="仿宋_GB2312" w:hAnsi="仿宋_GB2312" w:eastAsia="仿宋_GB2312" w:cs="仿宋_GB2312"/>
                <w:b/>
                <w:bCs/>
                <w:color w:val="auto"/>
                <w:kern w:val="0"/>
                <w:szCs w:val="21"/>
                <w:lang w:bidi="ar"/>
              </w:rPr>
              <w:t>阶段</w:t>
            </w:r>
          </w:p>
        </w:tc>
        <w:tc>
          <w:tcPr>
            <w:tcW w:w="895" w:type="dxa"/>
            <w:vAlign w:val="center"/>
          </w:tcPr>
          <w:p>
            <w:pPr>
              <w:jc w:val="center"/>
              <w:rPr>
                <w:rFonts w:ascii="仿宋_GB2312" w:hAnsi="仿宋_GB2312" w:eastAsia="仿宋_GB2312" w:cs="仿宋_GB2312"/>
                <w:b/>
                <w:bCs/>
                <w:color w:val="auto"/>
                <w:kern w:val="0"/>
                <w:szCs w:val="21"/>
                <w:lang w:bidi="ar"/>
              </w:rPr>
            </w:pPr>
            <w:r>
              <w:rPr>
                <w:rFonts w:hint="eastAsia" w:ascii="仿宋_GB2312" w:hAnsi="仿宋_GB2312" w:eastAsia="仿宋_GB2312" w:cs="仿宋_GB2312"/>
                <w:b/>
                <w:bCs/>
                <w:color w:val="auto"/>
                <w:kern w:val="0"/>
                <w:szCs w:val="21"/>
                <w:lang w:bidi="ar"/>
              </w:rPr>
              <w:t>考核</w:t>
            </w:r>
          </w:p>
          <w:p>
            <w:pPr>
              <w:jc w:val="center"/>
              <w:rPr>
                <w:rFonts w:ascii="仿宋_GB2312" w:hAnsi="仿宋_GB2312" w:eastAsia="仿宋_GB2312" w:cs="仿宋_GB2312"/>
                <w:b/>
                <w:bCs/>
                <w:color w:val="auto"/>
                <w:kern w:val="0"/>
                <w:szCs w:val="21"/>
                <w:lang w:bidi="ar"/>
              </w:rPr>
            </w:pPr>
            <w:r>
              <w:rPr>
                <w:rFonts w:hint="eastAsia" w:ascii="仿宋_GB2312" w:hAnsi="仿宋_GB2312" w:eastAsia="仿宋_GB2312" w:cs="仿宋_GB2312"/>
                <w:b/>
                <w:bCs/>
                <w:color w:val="auto"/>
                <w:kern w:val="0"/>
                <w:szCs w:val="21"/>
                <w:lang w:bidi="ar"/>
              </w:rPr>
              <w:t>项目</w:t>
            </w:r>
          </w:p>
        </w:tc>
        <w:tc>
          <w:tcPr>
            <w:tcW w:w="2013" w:type="dxa"/>
            <w:vAlign w:val="center"/>
          </w:tcPr>
          <w:p>
            <w:pPr>
              <w:jc w:val="center"/>
              <w:rPr>
                <w:rFonts w:ascii="仿宋_GB2312" w:hAnsi="仿宋_GB2312" w:eastAsia="仿宋_GB2312" w:cs="仿宋_GB2312"/>
                <w:b/>
                <w:bCs/>
                <w:color w:val="auto"/>
                <w:kern w:val="0"/>
                <w:szCs w:val="21"/>
                <w:lang w:bidi="ar"/>
              </w:rPr>
            </w:pPr>
            <w:r>
              <w:rPr>
                <w:rFonts w:hint="eastAsia" w:ascii="仿宋_GB2312" w:hAnsi="仿宋_GB2312" w:eastAsia="仿宋_GB2312" w:cs="仿宋_GB2312"/>
                <w:b/>
                <w:bCs/>
                <w:color w:val="auto"/>
                <w:kern w:val="0"/>
                <w:szCs w:val="21"/>
                <w:lang w:bidi="ar"/>
              </w:rPr>
              <w:t>考核内容</w:t>
            </w:r>
          </w:p>
        </w:tc>
        <w:tc>
          <w:tcPr>
            <w:tcW w:w="1583" w:type="dxa"/>
            <w:vAlign w:val="center"/>
          </w:tcPr>
          <w:p>
            <w:pPr>
              <w:jc w:val="center"/>
              <w:rPr>
                <w:rFonts w:ascii="仿宋_GB2312" w:hAnsi="仿宋_GB2312" w:eastAsia="仿宋_GB2312" w:cs="仿宋_GB2312"/>
                <w:b/>
                <w:bCs/>
                <w:color w:val="auto"/>
                <w:kern w:val="0"/>
                <w:szCs w:val="21"/>
                <w:lang w:bidi="ar"/>
              </w:rPr>
            </w:pPr>
            <w:r>
              <w:rPr>
                <w:rFonts w:hint="eastAsia" w:ascii="仿宋_GB2312" w:hAnsi="仿宋_GB2312" w:eastAsia="仿宋_GB2312" w:cs="仿宋_GB2312"/>
                <w:b/>
                <w:bCs/>
                <w:color w:val="auto"/>
                <w:kern w:val="0"/>
                <w:szCs w:val="21"/>
                <w:lang w:bidi="ar"/>
              </w:rPr>
              <w:t>考核目的</w:t>
            </w:r>
          </w:p>
        </w:tc>
        <w:tc>
          <w:tcPr>
            <w:tcW w:w="7252" w:type="dxa"/>
            <w:vAlign w:val="center"/>
          </w:tcPr>
          <w:p>
            <w:pPr>
              <w:jc w:val="center"/>
              <w:rPr>
                <w:rFonts w:ascii="仿宋_GB2312" w:hAnsi="仿宋_GB2312" w:eastAsia="仿宋_GB2312" w:cs="仿宋_GB2312"/>
                <w:b/>
                <w:bCs/>
                <w:color w:val="auto"/>
                <w:kern w:val="0"/>
                <w:szCs w:val="21"/>
                <w:lang w:bidi="ar"/>
              </w:rPr>
            </w:pPr>
            <w:r>
              <w:rPr>
                <w:rFonts w:hint="eastAsia" w:ascii="仿宋_GB2312" w:hAnsi="仿宋_GB2312" w:eastAsia="仿宋_GB2312" w:cs="仿宋_GB2312"/>
                <w:b/>
                <w:bCs/>
                <w:color w:val="auto"/>
                <w:kern w:val="0"/>
                <w:szCs w:val="21"/>
                <w:lang w:bidi="ar"/>
              </w:rPr>
              <w:t>评分标准</w:t>
            </w:r>
          </w:p>
        </w:tc>
        <w:tc>
          <w:tcPr>
            <w:tcW w:w="920" w:type="dxa"/>
            <w:vAlign w:val="center"/>
          </w:tcPr>
          <w:p>
            <w:pPr>
              <w:jc w:val="center"/>
              <w:rPr>
                <w:rFonts w:ascii="仿宋_GB2312" w:hAnsi="仿宋_GB2312" w:eastAsia="仿宋_GB2312" w:cs="仿宋_GB2312"/>
                <w:b/>
                <w:bCs/>
                <w:color w:val="auto"/>
                <w:kern w:val="0"/>
                <w:szCs w:val="21"/>
                <w:lang w:bidi="ar"/>
              </w:rPr>
            </w:pPr>
            <w:r>
              <w:rPr>
                <w:rFonts w:hint="eastAsia" w:ascii="仿宋_GB2312" w:hAnsi="仿宋_GB2312" w:eastAsia="仿宋_GB2312" w:cs="仿宋_GB2312"/>
                <w:b/>
                <w:bCs/>
                <w:color w:val="auto"/>
                <w:kern w:val="0"/>
                <w:szCs w:val="21"/>
                <w:lang w:bidi="ar"/>
              </w:rPr>
              <w:t>得分</w:t>
            </w:r>
          </w:p>
          <w:p>
            <w:pPr>
              <w:jc w:val="center"/>
              <w:rPr>
                <w:rFonts w:ascii="仿宋_GB2312" w:hAnsi="仿宋_GB2312" w:eastAsia="仿宋_GB2312" w:cs="仿宋_GB2312"/>
                <w:b/>
                <w:bCs/>
                <w:color w:val="auto"/>
                <w:kern w:val="0"/>
                <w:szCs w:val="21"/>
                <w:lang w:bidi="ar"/>
              </w:rPr>
            </w:pPr>
            <w:r>
              <w:rPr>
                <w:rFonts w:hint="eastAsia" w:ascii="仿宋_GB2312" w:hAnsi="仿宋_GB2312" w:eastAsia="仿宋_GB2312" w:cs="仿宋_GB2312"/>
                <w:b/>
                <w:bCs/>
                <w:color w:val="auto"/>
                <w:kern w:val="0"/>
                <w:szCs w:val="21"/>
                <w:lang w:bidi="ar"/>
              </w:rPr>
              <w:t>情况</w:t>
            </w:r>
          </w:p>
        </w:tc>
        <w:tc>
          <w:tcPr>
            <w:tcW w:w="947" w:type="dxa"/>
            <w:vAlign w:val="center"/>
          </w:tcPr>
          <w:p>
            <w:pPr>
              <w:jc w:val="center"/>
              <w:rPr>
                <w:rFonts w:ascii="仿宋_GB2312" w:hAnsi="仿宋_GB2312" w:eastAsia="仿宋_GB2312" w:cs="仿宋_GB2312"/>
                <w:b/>
                <w:bCs/>
                <w:color w:val="auto"/>
                <w:kern w:val="0"/>
                <w:szCs w:val="21"/>
                <w:lang w:bidi="ar"/>
              </w:rPr>
            </w:pPr>
            <w:r>
              <w:rPr>
                <w:rFonts w:hint="eastAsia" w:ascii="仿宋_GB2312" w:hAnsi="仿宋_GB2312" w:eastAsia="仿宋_GB2312" w:cs="仿宋_GB2312"/>
                <w:b/>
                <w:bCs/>
                <w:color w:val="auto"/>
                <w:kern w:val="0"/>
                <w:szCs w:val="21"/>
                <w:lang w:bidi="ar"/>
              </w:rPr>
              <w:t>处罚</w:t>
            </w:r>
          </w:p>
          <w:p>
            <w:pPr>
              <w:jc w:val="center"/>
              <w:rPr>
                <w:rFonts w:ascii="仿宋_GB2312" w:hAnsi="仿宋_GB2312" w:eastAsia="仿宋_GB2312" w:cs="仿宋_GB2312"/>
                <w:b/>
                <w:bCs/>
                <w:color w:val="auto"/>
                <w:kern w:val="0"/>
                <w:szCs w:val="21"/>
                <w:lang w:bidi="ar"/>
              </w:rPr>
            </w:pPr>
            <w:r>
              <w:rPr>
                <w:rFonts w:hint="eastAsia" w:ascii="仿宋_GB2312" w:hAnsi="仿宋_GB2312" w:eastAsia="仿宋_GB2312" w:cs="仿宋_GB2312"/>
                <w:b/>
                <w:bCs/>
                <w:color w:val="auto"/>
                <w:kern w:val="0"/>
                <w:szCs w:val="21"/>
                <w:lang w:bidi="ar"/>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564" w:type="dxa"/>
            <w:vMerge w:val="restart"/>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施工准备阶段</w:t>
            </w:r>
          </w:p>
        </w:tc>
        <w:tc>
          <w:tcPr>
            <w:tcW w:w="895" w:type="dxa"/>
            <w:vMerge w:val="restart"/>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合同签订</w:t>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中标后，代建单位应及时提交履约保函。</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履约保函到位情况。</w:t>
            </w:r>
          </w:p>
        </w:tc>
        <w:tc>
          <w:tcPr>
            <w:tcW w:w="7252" w:type="dxa"/>
            <w:vAlign w:val="center"/>
          </w:tcPr>
          <w:p>
            <w:pPr>
              <w:ind w:firstLine="420" w:firstLineChars="200"/>
              <w:jc w:val="left"/>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取得中标通知书</w:t>
            </w:r>
            <w:r>
              <w:rPr>
                <w:rFonts w:ascii="仿宋_GB2312" w:hAnsi="仿宋_GB2312" w:eastAsia="仿宋_GB2312" w:cs="仿宋_GB2312"/>
                <w:color w:val="auto"/>
                <w:kern w:val="0"/>
                <w:szCs w:val="21"/>
                <w:lang w:bidi="ar"/>
              </w:rPr>
              <w:t>7日内未缴纳履约保函，或未提交投标承诺足额的履约保函，扣3分，给予5日整改期。</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564" w:type="dxa"/>
            <w:vMerge w:val="continue"/>
            <w:vAlign w:val="center"/>
          </w:tcPr>
          <w:p>
            <w:pPr>
              <w:ind w:firstLine="420" w:firstLineChars="200"/>
              <w:jc w:val="center"/>
              <w:rPr>
                <w:rFonts w:ascii="仿宋_GB2312" w:hAnsi="仿宋_GB2312" w:eastAsia="仿宋_GB2312" w:cs="仿宋_GB2312"/>
                <w:color w:val="auto"/>
                <w:kern w:val="0"/>
                <w:szCs w:val="21"/>
                <w:lang w:bidi="ar"/>
              </w:rPr>
            </w:pPr>
          </w:p>
        </w:tc>
        <w:tc>
          <w:tcPr>
            <w:tcW w:w="895" w:type="dxa"/>
            <w:vMerge w:val="continue"/>
            <w:vAlign w:val="center"/>
          </w:tcPr>
          <w:p>
            <w:pPr>
              <w:ind w:firstLine="420" w:firstLineChars="200"/>
              <w:jc w:val="center"/>
              <w:rPr>
                <w:rFonts w:ascii="仿宋_GB2312" w:hAnsi="仿宋_GB2312" w:eastAsia="仿宋_GB2312" w:cs="仿宋_GB2312"/>
                <w:color w:val="auto"/>
                <w:kern w:val="0"/>
                <w:szCs w:val="21"/>
                <w:lang w:bidi="ar"/>
              </w:rPr>
            </w:pP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代建单位应及时完成合同签订与备案。</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代建合同签订与备案情况。</w:t>
            </w:r>
          </w:p>
        </w:tc>
        <w:tc>
          <w:tcPr>
            <w:tcW w:w="7252" w:type="dxa"/>
            <w:vAlign w:val="center"/>
          </w:tcPr>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1.未经委托人同意不在规定时间进行代建合同备案的，扣2分，给予5日整改期。</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2.代建合同未备案，代建单位擅自启动代建工作的，代建单位应立即停止相关工作，扣3分。</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564" w:type="dxa"/>
            <w:vMerge w:val="continue"/>
            <w:vAlign w:val="center"/>
          </w:tcPr>
          <w:p>
            <w:pPr>
              <w:ind w:firstLine="422" w:firstLineChars="200"/>
              <w:jc w:val="center"/>
              <w:rPr>
                <w:rFonts w:ascii="仿宋_GB2312" w:hAnsi="仿宋_GB2312" w:eastAsia="仿宋_GB2312" w:cs="仿宋_GB2312"/>
                <w:b/>
                <w:bCs/>
                <w:color w:val="auto"/>
                <w:kern w:val="0"/>
                <w:szCs w:val="21"/>
                <w:lang w:bidi="ar"/>
              </w:rPr>
            </w:pPr>
          </w:p>
        </w:tc>
        <w:tc>
          <w:tcPr>
            <w:tcW w:w="895"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管理人员配置</w:t>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项目管理团队资质及人员职责。</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代建单位人员配置和履职情况。</w:t>
            </w:r>
          </w:p>
        </w:tc>
        <w:tc>
          <w:tcPr>
            <w:tcW w:w="7252" w:type="dxa"/>
            <w:vAlign w:val="center"/>
          </w:tcPr>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1.未按投标承诺配备团队人员的，扣6分，给予7日整改期。</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2.技术负责人或专业技术人员资格发生变动，未主动在规定时间内以书面形式向委托人报送相关材料的，每次扣3分。</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4" w:type="dxa"/>
            <w:vMerge w:val="continue"/>
            <w:vAlign w:val="center"/>
          </w:tcPr>
          <w:p>
            <w:pPr>
              <w:ind w:firstLine="420" w:firstLineChars="200"/>
              <w:jc w:val="center"/>
              <w:rPr>
                <w:rFonts w:ascii="仿宋_GB2312" w:hAnsi="仿宋_GB2312" w:eastAsia="仿宋_GB2312" w:cs="仿宋_GB2312"/>
                <w:color w:val="auto"/>
                <w:kern w:val="0"/>
                <w:szCs w:val="21"/>
                <w:lang w:bidi="ar"/>
              </w:rPr>
            </w:pPr>
          </w:p>
        </w:tc>
        <w:tc>
          <w:tcPr>
            <w:tcW w:w="895"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招投标管理</w:t>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招投标应严格按照相关制度执行。</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施工、设备、材料等招标情况。</w:t>
            </w:r>
          </w:p>
        </w:tc>
        <w:tc>
          <w:tcPr>
            <w:tcW w:w="7252" w:type="dxa"/>
            <w:vAlign w:val="center"/>
          </w:tcPr>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代建单位在招投标活动中弄虚作假的，代建单位记为严重违法、违约不良行为，考核直接记为不合格，并报送相关行政监管部门追究法律责任。</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jc w:val="center"/>
        </w:trPr>
        <w:tc>
          <w:tcPr>
            <w:tcW w:w="564" w:type="dxa"/>
            <w:vMerge w:val="continue"/>
            <w:vAlign w:val="center"/>
          </w:tcPr>
          <w:p>
            <w:pPr>
              <w:ind w:firstLine="420" w:firstLineChars="200"/>
              <w:jc w:val="center"/>
              <w:rPr>
                <w:rFonts w:ascii="仿宋_GB2312" w:hAnsi="仿宋_GB2312" w:eastAsia="仿宋_GB2312" w:cs="仿宋_GB2312"/>
                <w:color w:val="auto"/>
                <w:kern w:val="0"/>
                <w:szCs w:val="21"/>
                <w:lang w:bidi="ar"/>
              </w:rPr>
            </w:pPr>
          </w:p>
        </w:tc>
        <w:tc>
          <w:tcPr>
            <w:tcW w:w="895"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开工准备工作</w:t>
            </w:r>
            <w:r>
              <w:rPr>
                <w:rFonts w:ascii="仿宋_GB2312" w:hAnsi="仿宋_GB2312" w:eastAsia="仿宋_GB2312" w:cs="仿宋_GB2312"/>
                <w:color w:val="auto"/>
                <w:kern w:val="0"/>
                <w:szCs w:val="21"/>
                <w:lang w:bidi="ar"/>
              </w:rPr>
              <w:br w:type="textWrapping"/>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开工前，代建单位应做好各项制度建设，并落实农民工实名制，并购买工伤保险。</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日常管理机制建设及开工准备工作情况。</w:t>
            </w:r>
          </w:p>
        </w:tc>
        <w:tc>
          <w:tcPr>
            <w:tcW w:w="7252" w:type="dxa"/>
            <w:vAlign w:val="center"/>
          </w:tcPr>
          <w:p>
            <w:pPr>
              <w:widowControl/>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1.制度建设不完善的（项目廉政管理责任制、招投标管理制度、资金管理制度、合同管理制度、档案及资料管理制度等），每缺一项扣2分，给予5日整改期。</w:t>
            </w:r>
          </w:p>
          <w:p>
            <w:pPr>
              <w:widowControl/>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2.未严格执行农民工实名制管理，或未缴纳农民工工资保证金，或未设立农民工工资专用账户，扣5分，给予5日整改期。</w:t>
            </w:r>
          </w:p>
          <w:p>
            <w:pPr>
              <w:widowControl/>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3.合同签订备案后7日内未缴纳工伤保险，扣8分，罚款10000元，给予5日整改期。</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jc w:val="center"/>
        </w:trPr>
        <w:tc>
          <w:tcPr>
            <w:tcW w:w="564" w:type="dxa"/>
            <w:vMerge w:val="restart"/>
            <w:vAlign w:val="center"/>
          </w:tcPr>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施工阶段</w:t>
            </w: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施工阶段</w:t>
            </w: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p>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施工阶段</w:t>
            </w:r>
          </w:p>
        </w:tc>
        <w:tc>
          <w:tcPr>
            <w:tcW w:w="895"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人员到位及履职管理</w:t>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代建单位应按照招标文件及合同要求，对管理人员在岗情况及履职情况把控。</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代建单位人员配置和履职情况。</w:t>
            </w:r>
          </w:p>
        </w:tc>
        <w:tc>
          <w:tcPr>
            <w:tcW w:w="7252" w:type="dxa"/>
            <w:vAlign w:val="center"/>
          </w:tcPr>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1.代建单位项目经理或现场管理人员履职水平过低达不到要求的，给予7日整改期。</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2.团队人员擅自变更或替换的，每人扣3分，罚款5000元。</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3.检查现场时，团队人员未正常在岗履职的，每人扣2分，罚款2000元。</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4.主要专业工种操作人员及特种操作人员未持证上岗，每人扣1分，给予5日整改期。</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4" w:type="dxa"/>
            <w:vMerge w:val="continue"/>
            <w:vAlign w:val="center"/>
          </w:tcPr>
          <w:p>
            <w:pPr>
              <w:ind w:firstLine="420" w:firstLineChars="200"/>
              <w:jc w:val="center"/>
              <w:rPr>
                <w:rFonts w:ascii="仿宋_GB2312" w:hAnsi="仿宋_GB2312" w:eastAsia="仿宋_GB2312" w:cs="仿宋_GB2312"/>
                <w:color w:val="auto"/>
                <w:kern w:val="0"/>
                <w:szCs w:val="21"/>
                <w:lang w:bidi="ar"/>
              </w:rPr>
            </w:pPr>
          </w:p>
        </w:tc>
        <w:tc>
          <w:tcPr>
            <w:tcW w:w="895"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质量与安全管理</w:t>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应当履行建设单位质量安全职责，做好工程质量把控，对各专业单位的安全管理、环境保护、职业健康工作进行指导、检查和监督，责成各专业工作单位做好项目现场的社会治安、环境保护、职业健康工作。</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现场实际施工质量情况、监理报告、材料检验检测试验、合格证等、各方针对性措施，以及现场安全文明措施落实情况。</w:t>
            </w:r>
          </w:p>
        </w:tc>
        <w:tc>
          <w:tcPr>
            <w:tcW w:w="7252" w:type="dxa"/>
            <w:vAlign w:val="center"/>
          </w:tcPr>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1.代建单位未定期对质量、安全进行组织检查或未形成记录的，每缺一次扣5分。</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2.依据施工进度，各分项工程未及时进行施工、安全技术交底的，每次扣5分。</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3.现场道路硬化、车辆冲洗、扬尘治理、物料堆放等未严格按照文明施工措施执行的，每处扣5分，给予3日整改期；</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4.因文明施工措施落实不到位，存在施工安全隐患的，给予2日整改期。</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5.代建单位和施工方（或生产厂家）合谋，偷工减料、弄虚作假、以次代好的现象，委托单位有权立即停止施工，扣15分，并根据情节轻重每次处罚代建单位代建合同价的1～3%，如造成委托人损失的，赔偿损失。</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6.日常检查中，“检验批”不合格每次扣3分，“分项工程”不合格每次扣5分；“分部工程”不合格每次扣8分，视工程量大小给予一定整改期。</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7.出现质量、安全等问题，未严格执行监理合理指令，或未按时整改到位的，每次扣8分，罚款5000元。</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8.分部分项工程验收出现质量问题及违反国家强制性验收标准的、处理方案、整改记录、复查验收等环节未闭合的，每次扣6分。</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9.因代建单位违规等问题，代建单位收到停工整改通知书，或受到相关部门其他处罚的，每次扣10分，罚款10000元。</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10.项目建设出现一般安全责任事故（指一次造成3人以下死亡，或者10人以下重伤，或者1000万元以下直接经济损失的事故）的，代建单位考核直接记为不合格，从事故认定或处罚之日起，代建单位记为严重违法、违约不良行为，罚款20万元。</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11.项目建设出现一般安全责任事故（指一次造成3人以下死亡，或者10人以下重伤，或者1000万元以下直接经济损失的事故）及以上事故的，代建单位考核直接记为不合格，从事故认定或处罚之日起，代建单位记为严重违法、违约不良行为，罚款20万元。</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12.因代建单位原因造成工程发生较大安全责任事故（造成3人以上10人以下死亡，或者10人以上50人以下重伤，或者1000万元以上5000万元以下直接经济损失的事故）及以上事故的，代建单位考核直接记为不合格，从事故认定或处罚之日起，代建单位记为严重违法、违约不良行为，扣除全部履约保函，且未来三年内拒绝其参与罗湖区代建项目投标。</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564" w:type="dxa"/>
            <w:vMerge w:val="continue"/>
            <w:vAlign w:val="center"/>
          </w:tcPr>
          <w:p>
            <w:pPr>
              <w:ind w:firstLine="420" w:firstLineChars="200"/>
              <w:jc w:val="center"/>
              <w:rPr>
                <w:rFonts w:ascii="仿宋_GB2312" w:hAnsi="仿宋_GB2312" w:eastAsia="仿宋_GB2312" w:cs="仿宋_GB2312"/>
                <w:color w:val="auto"/>
                <w:kern w:val="0"/>
                <w:szCs w:val="21"/>
                <w:lang w:bidi="ar"/>
              </w:rPr>
            </w:pPr>
          </w:p>
        </w:tc>
        <w:tc>
          <w:tcPr>
            <w:tcW w:w="895"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进度管理</w:t>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代建单位应当按照代建项目</w:t>
            </w:r>
            <w:r>
              <w:rPr>
                <w:rFonts w:ascii="仿宋_GB2312" w:hAnsi="仿宋_GB2312" w:eastAsia="仿宋_GB2312" w:cs="仿宋_GB2312"/>
                <w:color w:val="auto"/>
                <w:kern w:val="0"/>
                <w:szCs w:val="21"/>
                <w:lang w:bidi="ar"/>
              </w:rPr>
              <w:t>工期要求</w:t>
            </w:r>
            <w:r>
              <w:rPr>
                <w:rFonts w:hint="eastAsia" w:ascii="仿宋_GB2312" w:hAnsi="仿宋_GB2312" w:eastAsia="仿宋_GB2312" w:cs="仿宋_GB2312"/>
                <w:color w:val="auto"/>
                <w:kern w:val="0"/>
                <w:szCs w:val="21"/>
                <w:lang w:bidi="ar"/>
              </w:rPr>
              <w:t>确保工程进度。</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工程进度控制情况。</w:t>
            </w:r>
          </w:p>
        </w:tc>
        <w:tc>
          <w:tcPr>
            <w:tcW w:w="7252" w:type="dxa"/>
            <w:vAlign w:val="center"/>
          </w:tcPr>
          <w:p>
            <w:pPr>
              <w:numPr>
                <w:ilvl w:val="255"/>
                <w:numId w:val="0"/>
              </w:numPr>
              <w:ind w:firstLine="420" w:firstLineChars="200"/>
              <w:rPr>
                <w:rFonts w:ascii="仿宋_GB2312" w:hAnsi="仿宋_GB2312" w:eastAsia="仿宋_GB2312" w:cs="仿宋_GB2312"/>
                <w:color w:val="auto"/>
                <w:szCs w:val="21"/>
              </w:rPr>
            </w:pPr>
            <w:r>
              <w:rPr>
                <w:rFonts w:ascii="仿宋_GB2312" w:hAnsi="仿宋_GB2312" w:eastAsia="仿宋_GB2312" w:cs="仿宋_GB2312"/>
                <w:color w:val="auto"/>
                <w:kern w:val="0"/>
                <w:szCs w:val="21"/>
                <w:lang w:bidi="ar"/>
              </w:rPr>
              <w:t>1.</w:t>
            </w:r>
            <w:r>
              <w:rPr>
                <w:rFonts w:hint="eastAsia" w:ascii="仿宋_GB2312" w:hAnsi="仿宋_GB2312" w:eastAsia="仿宋_GB2312" w:cs="仿宋_GB2312"/>
                <w:color w:val="auto"/>
                <w:szCs w:val="21"/>
              </w:rPr>
              <w:t>未办理工程质量、安全监督注册手续擅自开工，或未办理施工许可证擅自开工的，应立即停止施工，扣</w:t>
            </w:r>
            <w:r>
              <w:rPr>
                <w:rFonts w:ascii="仿宋_GB2312" w:hAnsi="仿宋_GB2312" w:eastAsia="仿宋_GB2312" w:cs="仿宋_GB2312"/>
                <w:color w:val="auto"/>
                <w:szCs w:val="21"/>
              </w:rPr>
              <w:t>5分。</w:t>
            </w:r>
          </w:p>
          <w:p>
            <w:pPr>
              <w:numPr>
                <w:ilvl w:val="255"/>
                <w:numId w:val="0"/>
              </w:numPr>
              <w:ind w:firstLine="420" w:firstLineChars="200"/>
              <w:rPr>
                <w:rFonts w:ascii="仿宋_GB2312" w:hAnsi="仿宋_GB2312" w:eastAsia="仿宋_GB2312" w:cs="仿宋_GB2312"/>
                <w:color w:val="auto"/>
                <w:szCs w:val="21"/>
              </w:rPr>
            </w:pPr>
            <w:r>
              <w:rPr>
                <w:rFonts w:ascii="仿宋_GB2312" w:hAnsi="仿宋_GB2312" w:eastAsia="仿宋_GB2312" w:cs="仿宋_GB2312"/>
                <w:color w:val="auto"/>
                <w:szCs w:val="21"/>
              </w:rPr>
              <w:t>2.施工图设计文件未经审查合格而擅自施工，以及施工过程中有重大设计变更，未将变更后的施工图报原施工图审查机构审查并获批准而擅自施工的，应立即停止施工，每次扣5分。</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3.代建单位原因，项目阶段进度落后计划进度的，超期≦7天的，暂不扣分；7&lt;</w:t>
            </w:r>
            <w:r>
              <w:rPr>
                <w:rFonts w:hint="eastAsia" w:ascii="仿宋_GB2312" w:hAnsi="仿宋_GB2312" w:eastAsia="仿宋_GB2312" w:cs="仿宋_GB2312"/>
                <w:color w:val="auto"/>
                <w:kern w:val="0"/>
                <w:szCs w:val="21"/>
                <w:lang w:bidi="ar"/>
              </w:rPr>
              <w:t>超期≦</w:t>
            </w:r>
            <w:r>
              <w:rPr>
                <w:rFonts w:ascii="仿宋_GB2312" w:hAnsi="仿宋_GB2312" w:eastAsia="仿宋_GB2312" w:cs="仿宋_GB2312"/>
                <w:color w:val="auto"/>
                <w:kern w:val="0"/>
                <w:szCs w:val="21"/>
                <w:lang w:bidi="ar"/>
              </w:rPr>
              <w:t>15天的，扣6分；超期15天以上的，扣10分，代建单位应找出工期延误的原因，形成纠偏具体方案报委托人审核。</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4.代建单位原因，项目实际进度超过合同约定的，按每延期一天扣2分并罚款2000元，直至扣完履约保函；项目实际进度超过合同约定60天以上的，代建项目最终考核直接定为不合格。</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1" w:hRule="atLeast"/>
          <w:jc w:val="center"/>
        </w:trPr>
        <w:tc>
          <w:tcPr>
            <w:tcW w:w="564" w:type="dxa"/>
            <w:vMerge w:val="continue"/>
            <w:vAlign w:val="center"/>
          </w:tcPr>
          <w:p>
            <w:pPr>
              <w:jc w:val="center"/>
              <w:rPr>
                <w:rFonts w:ascii="仿宋_GB2312" w:hAnsi="仿宋_GB2312" w:eastAsia="仿宋_GB2312" w:cs="仿宋_GB2312"/>
                <w:color w:val="auto"/>
                <w:kern w:val="0"/>
                <w:szCs w:val="21"/>
                <w:lang w:bidi="ar"/>
              </w:rPr>
            </w:pPr>
          </w:p>
        </w:tc>
        <w:tc>
          <w:tcPr>
            <w:tcW w:w="895"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成本与资金管理</w:t>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代建单位应当依据代建合同规定，加强代建项目成本控制，并严格遵循政府投资财务管理制度。</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投资控制及财务制度执行情况。</w:t>
            </w:r>
          </w:p>
        </w:tc>
        <w:tc>
          <w:tcPr>
            <w:tcW w:w="7252" w:type="dxa"/>
            <w:vAlign w:val="center"/>
          </w:tcPr>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1.工程阶段性成本与进度不相符，出现超支情况的，扣10分，代建单位应找出工期延误的原因，形成纠偏具体方案报委托人审核，超出部分代建单位承担。</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2.因代建单位原因，财务支付各项费用不及时的，每次扣5分。</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3.变更签证不符合规定要求、手续不齐全，每处扣3分。</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4.资金管理未严格按照财务管理制度执行，出现财务记录不全、混乱的，每处扣5分。</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5.违反项目建设资金使用和财务管理规定的，从发现之日起，代建单位记为严重违法、违约不良行为，考核直接记为不合格，并报送相关行政监管部门追究法律责任。</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4" w:hRule="atLeast"/>
          <w:jc w:val="center"/>
        </w:trPr>
        <w:tc>
          <w:tcPr>
            <w:tcW w:w="564" w:type="dxa"/>
            <w:vMerge w:val="continue"/>
            <w:vAlign w:val="center"/>
          </w:tcPr>
          <w:p>
            <w:pPr>
              <w:ind w:firstLine="420" w:firstLineChars="200"/>
              <w:jc w:val="center"/>
              <w:rPr>
                <w:rFonts w:ascii="仿宋_GB2312" w:hAnsi="仿宋_GB2312" w:eastAsia="仿宋_GB2312" w:cs="仿宋_GB2312"/>
                <w:color w:val="auto"/>
                <w:kern w:val="0"/>
                <w:szCs w:val="21"/>
                <w:lang w:bidi="ar"/>
              </w:rPr>
            </w:pPr>
          </w:p>
        </w:tc>
        <w:tc>
          <w:tcPr>
            <w:tcW w:w="895"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信息沟通管理</w:t>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代建单位应与相关主管部门建立制衡机制，落实主管部门布置的各项工作，及时报告重要事项。</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代建单位与相关部门的沟通情况。</w:t>
            </w:r>
          </w:p>
        </w:tc>
        <w:tc>
          <w:tcPr>
            <w:tcW w:w="7252" w:type="dxa"/>
            <w:vAlign w:val="center"/>
          </w:tcPr>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1.项目实施过程中，代建单位未及时将重要环节（重大设计变更、概算调整等）报告委托单位和相关主管部门的，每次扣5分。</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2.项目管理台账（材料、质量、安全、财务支付），未按规定定期向委托人报送相关数据的，每次扣5分。</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3.代建单位及从业人员受到相关部门处罚，未主动在规定时间内以书面形式向委托单位报送的，每次扣5分。</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564" w:type="dxa"/>
            <w:vMerge w:val="continue"/>
            <w:vAlign w:val="center"/>
          </w:tcPr>
          <w:p>
            <w:pPr>
              <w:ind w:firstLine="420" w:firstLineChars="200"/>
              <w:jc w:val="center"/>
              <w:rPr>
                <w:rFonts w:ascii="仿宋_GB2312" w:hAnsi="仿宋_GB2312" w:eastAsia="仿宋_GB2312" w:cs="仿宋_GB2312"/>
                <w:color w:val="auto"/>
                <w:kern w:val="0"/>
                <w:szCs w:val="21"/>
                <w:lang w:bidi="ar"/>
              </w:rPr>
            </w:pPr>
          </w:p>
        </w:tc>
        <w:tc>
          <w:tcPr>
            <w:tcW w:w="895"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合同与档案管理</w:t>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代建单位应当确保内部合同管理规范廉政，工程建设项目档案应当参照国家档案整理规范和相关行业管理要求的规定格式、标准、规范进行归档、整理。</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代建单位项目合同及档案管理情况。</w:t>
            </w:r>
          </w:p>
        </w:tc>
        <w:tc>
          <w:tcPr>
            <w:tcW w:w="7252" w:type="dxa"/>
            <w:vAlign w:val="center"/>
          </w:tcPr>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1.合同资料不全的，缺一份合同扣2分。</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2.需向有关部门备案的合同，未按要求备案的，每处扣2分。</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3.因代建单位原因，导致材料、设备供应等合同发生纠纷的，每份扣10分，给委托人造成损失的，代建单位承担赔偿责任。</w:t>
            </w:r>
          </w:p>
          <w:p>
            <w:pPr>
              <w:widowControl/>
              <w:numPr>
                <w:ilvl w:val="255"/>
                <w:numId w:val="0"/>
              </w:numPr>
              <w:ind w:firstLine="420" w:firstLineChars="200"/>
              <w:jc w:val="left"/>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4.档案及资料管理未明确专职人员负责档案资料的归集、整理、保管及移交，或资料整理未与施工进度同步，每处扣3分，并给予5日整改期。</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564" w:type="dxa"/>
            <w:vMerge w:val="restart"/>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竣工验收及移交阶段</w:t>
            </w:r>
          </w:p>
        </w:tc>
        <w:tc>
          <w:tcPr>
            <w:tcW w:w="895"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竣工验收</w:t>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代建单位应当按照国家相关规定进行竣工验收。</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验工验收情况。</w:t>
            </w:r>
          </w:p>
        </w:tc>
        <w:tc>
          <w:tcPr>
            <w:tcW w:w="7252" w:type="dxa"/>
            <w:vAlign w:val="center"/>
          </w:tcPr>
          <w:p>
            <w:pPr>
              <w:ind w:firstLine="420" w:firstLineChars="200"/>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代建单位原因致使竣工验收工程质量不合格或未达到使用要求的，扣除全部履约保函，并负责赔偿因此而给委托人造成的直接经济损失，且未来三年内拒绝其参与罗湖区代建项目投标。</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564" w:type="dxa"/>
            <w:vMerge w:val="continue"/>
            <w:vAlign w:val="center"/>
          </w:tcPr>
          <w:p>
            <w:pPr>
              <w:ind w:firstLine="420" w:firstLineChars="200"/>
              <w:jc w:val="center"/>
              <w:rPr>
                <w:rFonts w:ascii="仿宋_GB2312" w:hAnsi="仿宋_GB2312" w:eastAsia="仿宋_GB2312" w:cs="仿宋_GB2312"/>
                <w:color w:val="auto"/>
                <w:kern w:val="0"/>
                <w:szCs w:val="21"/>
                <w:lang w:bidi="ar"/>
              </w:rPr>
            </w:pPr>
          </w:p>
        </w:tc>
        <w:tc>
          <w:tcPr>
            <w:tcW w:w="895"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结算、决算管理</w:t>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竣工验收合格后，代建单位应在规定时间内完成结算、决算申报工作。</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结算、决算申报情况。</w:t>
            </w:r>
          </w:p>
        </w:tc>
        <w:tc>
          <w:tcPr>
            <w:tcW w:w="7252" w:type="dxa"/>
            <w:vAlign w:val="center"/>
          </w:tcPr>
          <w:p>
            <w:pPr>
              <w:numPr>
                <w:ilvl w:val="255"/>
                <w:numId w:val="0"/>
              </w:numPr>
              <w:ind w:firstLine="420" w:firstLineChars="200"/>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1.未按时完成结算相关文件的编制与申报的，扣3分。</w:t>
            </w:r>
          </w:p>
          <w:p>
            <w:pPr>
              <w:numPr>
                <w:ilvl w:val="255"/>
                <w:numId w:val="0"/>
              </w:numPr>
              <w:ind w:firstLine="420" w:firstLineChars="200"/>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2.未按时完成竣工财务决算相关文件的编制与申报的，扣3分。</w:t>
            </w:r>
          </w:p>
          <w:p>
            <w:pPr>
              <w:numPr>
                <w:ilvl w:val="255"/>
                <w:numId w:val="0"/>
              </w:numPr>
              <w:ind w:firstLine="420" w:firstLineChars="200"/>
              <w:rPr>
                <w:rFonts w:ascii="仿宋_GB2312" w:hAnsi="仿宋_GB2312" w:eastAsia="仿宋_GB2312" w:cs="仿宋_GB2312"/>
                <w:color w:val="auto"/>
                <w:kern w:val="0"/>
                <w:szCs w:val="21"/>
                <w:lang w:bidi="ar"/>
              </w:rPr>
            </w:pPr>
            <w:r>
              <w:rPr>
                <w:rFonts w:ascii="仿宋_GB2312" w:hAnsi="仿宋_GB2312" w:eastAsia="仿宋_GB2312" w:cs="仿宋_GB2312"/>
                <w:color w:val="auto"/>
                <w:kern w:val="0"/>
                <w:szCs w:val="21"/>
                <w:lang w:bidi="ar"/>
              </w:rPr>
              <w:t>3.工程核减率小于5%的，不扣分；5%&lt;</w:t>
            </w:r>
            <w:r>
              <w:rPr>
                <w:rFonts w:hint="eastAsia" w:ascii="仿宋_GB2312" w:hAnsi="仿宋_GB2312" w:eastAsia="仿宋_GB2312" w:cs="仿宋_GB2312"/>
                <w:color w:val="auto"/>
                <w:kern w:val="0"/>
                <w:szCs w:val="21"/>
                <w:lang w:bidi="ar"/>
              </w:rPr>
              <w:t>核减率≦</w:t>
            </w:r>
            <w:r>
              <w:rPr>
                <w:rFonts w:ascii="仿宋_GB2312" w:hAnsi="仿宋_GB2312" w:eastAsia="仿宋_GB2312" w:cs="仿宋_GB2312"/>
                <w:color w:val="auto"/>
                <w:kern w:val="0"/>
                <w:szCs w:val="21"/>
                <w:lang w:bidi="ar"/>
              </w:rPr>
              <w:t>10%的，扣6分；10%&lt;</w:t>
            </w:r>
            <w:r>
              <w:rPr>
                <w:rFonts w:hint="eastAsia" w:ascii="仿宋_GB2312" w:hAnsi="仿宋_GB2312" w:eastAsia="仿宋_GB2312" w:cs="仿宋_GB2312"/>
                <w:color w:val="auto"/>
                <w:kern w:val="0"/>
                <w:szCs w:val="21"/>
                <w:lang w:bidi="ar"/>
              </w:rPr>
              <w:t>核减率≦</w:t>
            </w:r>
            <w:r>
              <w:rPr>
                <w:rFonts w:ascii="仿宋_GB2312" w:hAnsi="仿宋_GB2312" w:eastAsia="仿宋_GB2312" w:cs="仿宋_GB2312"/>
                <w:color w:val="auto"/>
                <w:kern w:val="0"/>
                <w:szCs w:val="21"/>
                <w:lang w:bidi="ar"/>
              </w:rPr>
              <w:t>15%的，扣10分；15%&lt;</w:t>
            </w:r>
            <w:r>
              <w:rPr>
                <w:rFonts w:hint="eastAsia" w:ascii="仿宋_GB2312" w:hAnsi="仿宋_GB2312" w:eastAsia="仿宋_GB2312" w:cs="仿宋_GB2312"/>
                <w:color w:val="auto"/>
                <w:kern w:val="0"/>
                <w:szCs w:val="21"/>
                <w:lang w:bidi="ar"/>
              </w:rPr>
              <w:t>核减率≦</w:t>
            </w:r>
            <w:r>
              <w:rPr>
                <w:rFonts w:ascii="仿宋_GB2312" w:hAnsi="仿宋_GB2312" w:eastAsia="仿宋_GB2312" w:cs="仿宋_GB2312"/>
                <w:color w:val="auto"/>
                <w:kern w:val="0"/>
                <w:szCs w:val="21"/>
                <w:lang w:bidi="ar"/>
              </w:rPr>
              <w:t>20%的，扣15分；20%&lt;</w:t>
            </w:r>
            <w:r>
              <w:rPr>
                <w:rFonts w:hint="eastAsia" w:ascii="仿宋_GB2312" w:hAnsi="仿宋_GB2312" w:eastAsia="仿宋_GB2312" w:cs="仿宋_GB2312"/>
                <w:color w:val="auto"/>
                <w:kern w:val="0"/>
                <w:szCs w:val="21"/>
                <w:lang w:bidi="ar"/>
              </w:rPr>
              <w:t>核减率≦</w:t>
            </w:r>
            <w:r>
              <w:rPr>
                <w:rFonts w:ascii="仿宋_GB2312" w:hAnsi="仿宋_GB2312" w:eastAsia="仿宋_GB2312" w:cs="仿宋_GB2312"/>
                <w:color w:val="auto"/>
                <w:kern w:val="0"/>
                <w:szCs w:val="21"/>
                <w:lang w:bidi="ar"/>
              </w:rPr>
              <w:t>30%的，扣20分；核减率大于30%的，考核直接记为不合格。</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564" w:type="dxa"/>
            <w:vMerge w:val="continue"/>
            <w:vAlign w:val="center"/>
          </w:tcPr>
          <w:p>
            <w:pPr>
              <w:ind w:firstLine="420" w:firstLineChars="200"/>
              <w:jc w:val="center"/>
              <w:rPr>
                <w:rFonts w:ascii="仿宋_GB2312" w:hAnsi="仿宋_GB2312" w:eastAsia="仿宋_GB2312" w:cs="仿宋_GB2312"/>
                <w:color w:val="auto"/>
                <w:kern w:val="0"/>
                <w:szCs w:val="21"/>
                <w:lang w:bidi="ar"/>
              </w:rPr>
            </w:pPr>
          </w:p>
        </w:tc>
        <w:tc>
          <w:tcPr>
            <w:tcW w:w="895"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移交管理</w:t>
            </w:r>
          </w:p>
        </w:tc>
        <w:tc>
          <w:tcPr>
            <w:tcW w:w="201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代建单位应当按照相关规定完成工程移交。</w:t>
            </w:r>
          </w:p>
        </w:tc>
        <w:tc>
          <w:tcPr>
            <w:tcW w:w="1583" w:type="dxa"/>
            <w:vAlign w:val="center"/>
          </w:tcPr>
          <w:p>
            <w:pPr>
              <w:jc w:val="center"/>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工程移交情况。</w:t>
            </w:r>
          </w:p>
        </w:tc>
        <w:tc>
          <w:tcPr>
            <w:tcW w:w="7252" w:type="dxa"/>
            <w:vAlign w:val="center"/>
          </w:tcPr>
          <w:p>
            <w:pPr>
              <w:ind w:firstLine="420" w:firstLineChars="200"/>
              <w:jc w:val="left"/>
              <w:rPr>
                <w:rFonts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项目实体移交超过合同约定期限的，每延期一天扣</w:t>
            </w:r>
            <w:r>
              <w:rPr>
                <w:rFonts w:ascii="仿宋_GB2312" w:hAnsi="仿宋_GB2312" w:eastAsia="仿宋_GB2312" w:cs="仿宋_GB2312"/>
                <w:color w:val="auto"/>
                <w:kern w:val="0"/>
                <w:szCs w:val="21"/>
                <w:lang w:bidi="ar"/>
              </w:rPr>
              <w:t>1分并罚款2000元，直至扣完履约保函。</w:t>
            </w:r>
          </w:p>
        </w:tc>
        <w:tc>
          <w:tcPr>
            <w:tcW w:w="920"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c>
          <w:tcPr>
            <w:tcW w:w="947" w:type="dxa"/>
            <w:vAlign w:val="center"/>
          </w:tcPr>
          <w:p>
            <w:pPr>
              <w:widowControl/>
              <w:ind w:firstLine="422" w:firstLineChars="200"/>
              <w:jc w:val="center"/>
              <w:rPr>
                <w:rFonts w:ascii="仿宋_GB2312" w:hAnsi="仿宋_GB2312" w:eastAsia="仿宋_GB2312" w:cs="仿宋_GB2312"/>
                <w:b/>
                <w:bCs/>
                <w:color w:val="auto"/>
                <w:kern w:val="0"/>
                <w:szCs w:val="21"/>
                <w:lang w:bidi="ar"/>
              </w:rPr>
            </w:pPr>
          </w:p>
        </w:tc>
      </w:tr>
    </w:tbl>
    <w:p>
      <w:pPr>
        <w:spacing w:line="560" w:lineRule="exact"/>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注：本表格考核项目、评分标准及处罚等可根据项目具体情况进行调整。</w:t>
      </w:r>
    </w:p>
    <w:p>
      <w:pPr>
        <w:spacing w:line="560" w:lineRule="exact"/>
        <w:ind w:firstLine="480" w:firstLineChars="200"/>
        <w:rPr>
          <w:rFonts w:ascii="宋体" w:hAnsi="宋体"/>
          <w:color w:val="auto"/>
          <w:sz w:val="24"/>
          <w:szCs w:val="24"/>
        </w:rPr>
      </w:pPr>
    </w:p>
    <w:p>
      <w:pPr>
        <w:spacing w:line="560" w:lineRule="exact"/>
        <w:ind w:firstLine="480" w:firstLineChars="200"/>
        <w:rPr>
          <w:rFonts w:ascii="宋体" w:hAnsi="宋体"/>
          <w:color w:val="auto"/>
          <w:sz w:val="24"/>
          <w:szCs w:val="24"/>
        </w:rPr>
      </w:pPr>
    </w:p>
    <w:p>
      <w:pPr>
        <w:spacing w:line="560" w:lineRule="exact"/>
        <w:rPr>
          <w:color w:val="auto"/>
        </w:rPr>
        <w:sectPr>
          <w:type w:val="continuous"/>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pPr>
        <w:pStyle w:val="4"/>
        <w:spacing w:before="156" w:beforeLines="50" w:after="156" w:afterLines="50" w:line="560" w:lineRule="exact"/>
        <w:ind w:firstLine="560" w:firstLineChars="200"/>
        <w:rPr>
          <w:rFonts w:ascii="黑体" w:hAnsi="黑体" w:cs="黑体"/>
          <w:color w:val="auto"/>
        </w:rPr>
      </w:pPr>
      <w:bookmarkStart w:id="36" w:name="_Toc18436"/>
      <w:bookmarkStart w:id="37" w:name="_Toc7939"/>
      <w:r>
        <w:rPr>
          <w:rFonts w:hint="eastAsia" w:ascii="黑体" w:hAnsi="黑体" w:cs="黑体"/>
          <w:color w:val="auto"/>
        </w:rPr>
        <w:t>附件</w:t>
      </w:r>
      <w:r>
        <w:rPr>
          <w:rFonts w:ascii="黑体" w:hAnsi="黑体" w:cs="黑体"/>
          <w:color w:val="auto"/>
        </w:rPr>
        <w:t>4：各级建筑工程奖项名单</w:t>
      </w:r>
      <w:bookmarkEnd w:id="36"/>
      <w:bookmarkEnd w:id="37"/>
    </w:p>
    <w:p>
      <w:pPr>
        <w:spacing w:line="560" w:lineRule="exact"/>
        <w:jc w:val="center"/>
        <w:rPr>
          <w:rFonts w:ascii="Times New Roman" w:hAnsi="Times New Roman" w:eastAsia="黑体"/>
          <w:color w:val="auto"/>
          <w:sz w:val="28"/>
          <w:szCs w:val="28"/>
        </w:rPr>
      </w:pPr>
      <w:r>
        <w:rPr>
          <w:rFonts w:hint="eastAsia" w:ascii="Times New Roman" w:hAnsi="Times New Roman" w:eastAsia="黑体"/>
          <w:color w:val="auto"/>
          <w:sz w:val="28"/>
          <w:szCs w:val="28"/>
        </w:rPr>
        <w:t>各级建筑工程奖项名单</w:t>
      </w:r>
    </w:p>
    <w:tbl>
      <w:tblPr>
        <w:tblStyle w:val="15"/>
        <w:tblpPr w:leftFromText="180" w:rightFromText="180" w:vertAnchor="page" w:horzAnchor="page" w:tblpX="1738" w:tblpY="2993"/>
        <w:tblOverlap w:val="never"/>
        <w:tblW w:w="83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15"/>
        <w:gridCol w:w="3992"/>
        <w:gridCol w:w="30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jc w:val="center"/>
        </w:trPr>
        <w:tc>
          <w:tcPr>
            <w:tcW w:w="1315" w:type="dxa"/>
            <w:vAlign w:val="center"/>
          </w:tcPr>
          <w:p>
            <w:pPr>
              <w:pStyle w:val="40"/>
              <w:jc w:val="center"/>
              <w:rPr>
                <w:b/>
                <w:color w:val="auto"/>
                <w:szCs w:val="21"/>
              </w:rPr>
            </w:pPr>
            <w:r>
              <w:rPr>
                <w:rFonts w:hint="eastAsia"/>
                <w:b/>
                <w:color w:val="auto"/>
                <w:szCs w:val="21"/>
              </w:rPr>
              <w:t>类别</w:t>
            </w:r>
          </w:p>
        </w:tc>
        <w:tc>
          <w:tcPr>
            <w:tcW w:w="3992" w:type="dxa"/>
            <w:vAlign w:val="center"/>
          </w:tcPr>
          <w:p>
            <w:pPr>
              <w:pStyle w:val="40"/>
              <w:ind w:left="143" w:right="133"/>
              <w:jc w:val="center"/>
              <w:rPr>
                <w:b/>
                <w:color w:val="auto"/>
                <w:szCs w:val="21"/>
              </w:rPr>
            </w:pPr>
            <w:r>
              <w:rPr>
                <w:rFonts w:hint="eastAsia"/>
                <w:b/>
                <w:color w:val="auto"/>
                <w:szCs w:val="21"/>
              </w:rPr>
              <w:t>名称</w:t>
            </w:r>
          </w:p>
        </w:tc>
        <w:tc>
          <w:tcPr>
            <w:tcW w:w="3009" w:type="dxa"/>
            <w:vAlign w:val="center"/>
          </w:tcPr>
          <w:p>
            <w:pPr>
              <w:pStyle w:val="40"/>
              <w:ind w:left="196" w:right="186"/>
              <w:jc w:val="center"/>
              <w:rPr>
                <w:b/>
                <w:color w:val="auto"/>
                <w:szCs w:val="21"/>
              </w:rPr>
            </w:pPr>
            <w:r>
              <w:rPr>
                <w:rFonts w:hint="eastAsia"/>
                <w:b/>
                <w:color w:val="auto"/>
                <w:szCs w:val="21"/>
              </w:rPr>
              <w:t>评选单位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1315" w:type="dxa"/>
            <w:vMerge w:val="restart"/>
            <w:vAlign w:val="center"/>
          </w:tcPr>
          <w:p>
            <w:pPr>
              <w:pStyle w:val="40"/>
              <w:ind w:right="187"/>
              <w:jc w:val="center"/>
              <w:rPr>
                <w:color w:val="auto"/>
                <w:szCs w:val="21"/>
              </w:rPr>
            </w:pPr>
            <w:r>
              <w:rPr>
                <w:rFonts w:hint="eastAsia"/>
                <w:color w:val="auto"/>
                <w:szCs w:val="21"/>
              </w:rPr>
              <w:t>国家级建筑工程奖项</w:t>
            </w:r>
          </w:p>
        </w:tc>
        <w:tc>
          <w:tcPr>
            <w:tcW w:w="3992" w:type="dxa"/>
            <w:vAlign w:val="center"/>
          </w:tcPr>
          <w:p>
            <w:pPr>
              <w:pStyle w:val="40"/>
              <w:ind w:left="141" w:right="133"/>
              <w:jc w:val="center"/>
              <w:rPr>
                <w:color w:val="auto"/>
                <w:szCs w:val="21"/>
              </w:rPr>
            </w:pPr>
            <w:r>
              <w:rPr>
                <w:rFonts w:hint="eastAsia"/>
                <w:color w:val="auto"/>
                <w:szCs w:val="21"/>
              </w:rPr>
              <w:t>中国建设工程鲁班奖</w:t>
            </w:r>
          </w:p>
        </w:tc>
        <w:tc>
          <w:tcPr>
            <w:tcW w:w="3009" w:type="dxa"/>
            <w:vAlign w:val="center"/>
          </w:tcPr>
          <w:p>
            <w:pPr>
              <w:pStyle w:val="40"/>
              <w:ind w:left="196" w:right="184"/>
              <w:jc w:val="center"/>
              <w:rPr>
                <w:color w:val="auto"/>
                <w:szCs w:val="21"/>
              </w:rPr>
            </w:pPr>
            <w:r>
              <w:rPr>
                <w:rFonts w:hint="eastAsia"/>
                <w:color w:val="auto"/>
                <w:szCs w:val="21"/>
              </w:rPr>
              <w:t>中国建筑业协会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1315" w:type="dxa"/>
            <w:vMerge w:val="continue"/>
            <w:tcBorders>
              <w:top w:val="nil"/>
            </w:tcBorders>
            <w:vAlign w:val="center"/>
          </w:tcPr>
          <w:p>
            <w:pPr>
              <w:jc w:val="center"/>
              <w:rPr>
                <w:rFonts w:ascii="仿宋_GB2312" w:hAnsi="仿宋_GB2312" w:eastAsia="仿宋_GB2312" w:cs="仿宋_GB2312"/>
                <w:color w:val="auto"/>
                <w:szCs w:val="21"/>
                <w:lang w:val="zh-CN" w:bidi="zh-CN"/>
              </w:rPr>
            </w:pPr>
          </w:p>
        </w:tc>
        <w:tc>
          <w:tcPr>
            <w:tcW w:w="3992" w:type="dxa"/>
            <w:vAlign w:val="center"/>
          </w:tcPr>
          <w:p>
            <w:pPr>
              <w:pStyle w:val="40"/>
              <w:ind w:left="144" w:right="133"/>
              <w:jc w:val="center"/>
              <w:rPr>
                <w:color w:val="auto"/>
                <w:szCs w:val="21"/>
              </w:rPr>
            </w:pPr>
            <w:r>
              <w:rPr>
                <w:rFonts w:hint="eastAsia"/>
                <w:color w:val="auto"/>
                <w:szCs w:val="21"/>
              </w:rPr>
              <w:t>中国土木工程詹天佑奖</w:t>
            </w:r>
          </w:p>
        </w:tc>
        <w:tc>
          <w:tcPr>
            <w:tcW w:w="3009" w:type="dxa"/>
            <w:vAlign w:val="center"/>
          </w:tcPr>
          <w:p>
            <w:pPr>
              <w:pStyle w:val="40"/>
              <w:jc w:val="center"/>
              <w:rPr>
                <w:color w:val="auto"/>
                <w:szCs w:val="21"/>
              </w:rPr>
            </w:pPr>
            <w:r>
              <w:rPr>
                <w:rFonts w:hint="eastAsia"/>
                <w:color w:val="auto"/>
                <w:szCs w:val="21"/>
              </w:rPr>
              <w:t>中国土木工程学会、</w:t>
            </w:r>
          </w:p>
          <w:p>
            <w:pPr>
              <w:pStyle w:val="40"/>
              <w:jc w:val="center"/>
              <w:rPr>
                <w:color w:val="auto"/>
                <w:szCs w:val="21"/>
              </w:rPr>
            </w:pPr>
            <w:r>
              <w:rPr>
                <w:rFonts w:hint="eastAsia"/>
                <w:color w:val="auto"/>
                <w:szCs w:val="21"/>
              </w:rPr>
              <w:t>北京詹天佑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1315" w:type="dxa"/>
            <w:vMerge w:val="continue"/>
            <w:tcBorders>
              <w:top w:val="nil"/>
            </w:tcBorders>
            <w:vAlign w:val="center"/>
          </w:tcPr>
          <w:p>
            <w:pPr>
              <w:jc w:val="center"/>
              <w:rPr>
                <w:rFonts w:ascii="仿宋_GB2312" w:hAnsi="仿宋_GB2312" w:eastAsia="仿宋_GB2312" w:cs="仿宋_GB2312"/>
                <w:color w:val="auto"/>
                <w:szCs w:val="21"/>
                <w:lang w:val="zh-CN" w:bidi="zh-CN"/>
              </w:rPr>
            </w:pPr>
          </w:p>
        </w:tc>
        <w:tc>
          <w:tcPr>
            <w:tcW w:w="3992" w:type="dxa"/>
            <w:vAlign w:val="center"/>
          </w:tcPr>
          <w:p>
            <w:pPr>
              <w:pStyle w:val="40"/>
              <w:ind w:left="141" w:right="133"/>
              <w:jc w:val="center"/>
              <w:rPr>
                <w:color w:val="auto"/>
                <w:szCs w:val="21"/>
              </w:rPr>
            </w:pPr>
            <w:r>
              <w:rPr>
                <w:rFonts w:hint="eastAsia"/>
                <w:color w:val="auto"/>
                <w:szCs w:val="21"/>
              </w:rPr>
              <w:t>全国优秀园林工程奖</w:t>
            </w:r>
          </w:p>
        </w:tc>
        <w:tc>
          <w:tcPr>
            <w:tcW w:w="3009" w:type="dxa"/>
            <w:vAlign w:val="center"/>
          </w:tcPr>
          <w:p>
            <w:pPr>
              <w:pStyle w:val="40"/>
              <w:ind w:left="196" w:right="184"/>
              <w:jc w:val="center"/>
              <w:rPr>
                <w:color w:val="auto"/>
                <w:szCs w:val="21"/>
              </w:rPr>
            </w:pPr>
            <w:r>
              <w:rPr>
                <w:rFonts w:hint="eastAsia"/>
                <w:color w:val="auto"/>
                <w:szCs w:val="21"/>
              </w:rPr>
              <w:t>中国风景园林协会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1315" w:type="dxa"/>
            <w:vMerge w:val="continue"/>
            <w:tcBorders>
              <w:top w:val="nil"/>
            </w:tcBorders>
            <w:vAlign w:val="center"/>
          </w:tcPr>
          <w:p>
            <w:pPr>
              <w:jc w:val="center"/>
              <w:rPr>
                <w:rFonts w:ascii="仿宋_GB2312" w:hAnsi="仿宋_GB2312" w:eastAsia="仿宋_GB2312" w:cs="仿宋_GB2312"/>
                <w:color w:val="auto"/>
                <w:szCs w:val="21"/>
                <w:lang w:val="zh-CN" w:bidi="zh-CN"/>
              </w:rPr>
            </w:pPr>
          </w:p>
        </w:tc>
        <w:tc>
          <w:tcPr>
            <w:tcW w:w="3992" w:type="dxa"/>
            <w:vAlign w:val="center"/>
          </w:tcPr>
          <w:p>
            <w:pPr>
              <w:pStyle w:val="40"/>
              <w:ind w:left="141" w:right="133"/>
              <w:jc w:val="center"/>
              <w:rPr>
                <w:color w:val="auto"/>
                <w:szCs w:val="21"/>
              </w:rPr>
            </w:pPr>
            <w:r>
              <w:rPr>
                <w:rFonts w:hint="eastAsia"/>
                <w:color w:val="auto"/>
                <w:szCs w:val="21"/>
              </w:rPr>
              <w:t>中国建筑钢结构金奖</w:t>
            </w:r>
          </w:p>
        </w:tc>
        <w:tc>
          <w:tcPr>
            <w:tcW w:w="3009" w:type="dxa"/>
            <w:vAlign w:val="center"/>
          </w:tcPr>
          <w:p>
            <w:pPr>
              <w:pStyle w:val="40"/>
              <w:ind w:left="196" w:right="186"/>
              <w:jc w:val="center"/>
              <w:rPr>
                <w:color w:val="auto"/>
                <w:szCs w:val="21"/>
              </w:rPr>
            </w:pPr>
            <w:r>
              <w:rPr>
                <w:rFonts w:hint="eastAsia"/>
                <w:color w:val="auto"/>
                <w:szCs w:val="21"/>
              </w:rPr>
              <w:t>中国建筑金属结构协会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1315" w:type="dxa"/>
            <w:vMerge w:val="restart"/>
            <w:vAlign w:val="center"/>
          </w:tcPr>
          <w:p>
            <w:pPr>
              <w:pStyle w:val="40"/>
              <w:ind w:right="187"/>
              <w:jc w:val="center"/>
              <w:rPr>
                <w:color w:val="auto"/>
                <w:szCs w:val="21"/>
              </w:rPr>
            </w:pPr>
            <w:r>
              <w:rPr>
                <w:rFonts w:hint="eastAsia"/>
                <w:color w:val="auto"/>
                <w:szCs w:val="21"/>
              </w:rPr>
              <w:t>省级建筑工程奖项</w:t>
            </w:r>
          </w:p>
        </w:tc>
        <w:tc>
          <w:tcPr>
            <w:tcW w:w="3992" w:type="dxa"/>
            <w:vAlign w:val="center"/>
          </w:tcPr>
          <w:p>
            <w:pPr>
              <w:pStyle w:val="40"/>
              <w:ind w:left="144" w:right="133"/>
              <w:jc w:val="center"/>
              <w:rPr>
                <w:color w:val="auto"/>
                <w:szCs w:val="21"/>
              </w:rPr>
            </w:pPr>
            <w:r>
              <w:rPr>
                <w:rFonts w:hint="eastAsia"/>
                <w:color w:val="auto"/>
                <w:szCs w:val="21"/>
              </w:rPr>
              <w:t>广东省建设工程金匠奖</w:t>
            </w:r>
          </w:p>
        </w:tc>
        <w:tc>
          <w:tcPr>
            <w:tcW w:w="3009" w:type="dxa"/>
            <w:vAlign w:val="center"/>
          </w:tcPr>
          <w:p>
            <w:pPr>
              <w:pStyle w:val="40"/>
              <w:ind w:left="196" w:right="184"/>
              <w:jc w:val="center"/>
              <w:rPr>
                <w:color w:val="auto"/>
                <w:szCs w:val="21"/>
              </w:rPr>
            </w:pPr>
            <w:r>
              <w:rPr>
                <w:rFonts w:hint="eastAsia"/>
                <w:color w:val="auto"/>
                <w:szCs w:val="21"/>
              </w:rPr>
              <w:t>广东省建筑业协会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1315" w:type="dxa"/>
            <w:vMerge w:val="continue"/>
            <w:tcBorders>
              <w:top w:val="nil"/>
            </w:tcBorders>
            <w:vAlign w:val="center"/>
          </w:tcPr>
          <w:p>
            <w:pPr>
              <w:jc w:val="center"/>
              <w:rPr>
                <w:rFonts w:ascii="仿宋_GB2312" w:hAnsi="仿宋_GB2312" w:eastAsia="仿宋_GB2312" w:cs="仿宋_GB2312"/>
                <w:color w:val="auto"/>
                <w:szCs w:val="21"/>
                <w:lang w:val="zh-CN" w:bidi="zh-CN"/>
              </w:rPr>
            </w:pPr>
          </w:p>
        </w:tc>
        <w:tc>
          <w:tcPr>
            <w:tcW w:w="3992" w:type="dxa"/>
            <w:vAlign w:val="center"/>
          </w:tcPr>
          <w:p>
            <w:pPr>
              <w:pStyle w:val="40"/>
              <w:ind w:left="144" w:right="133"/>
              <w:jc w:val="center"/>
              <w:rPr>
                <w:color w:val="auto"/>
                <w:szCs w:val="21"/>
              </w:rPr>
            </w:pPr>
            <w:r>
              <w:rPr>
                <w:rFonts w:hint="eastAsia"/>
                <w:color w:val="auto"/>
                <w:szCs w:val="21"/>
              </w:rPr>
              <w:t>广东省建设工程优质奖</w:t>
            </w:r>
          </w:p>
        </w:tc>
        <w:tc>
          <w:tcPr>
            <w:tcW w:w="3009" w:type="dxa"/>
            <w:vAlign w:val="center"/>
          </w:tcPr>
          <w:p>
            <w:pPr>
              <w:pStyle w:val="40"/>
              <w:ind w:left="196" w:right="184"/>
              <w:jc w:val="center"/>
              <w:rPr>
                <w:color w:val="auto"/>
                <w:szCs w:val="21"/>
              </w:rPr>
            </w:pPr>
            <w:r>
              <w:rPr>
                <w:rFonts w:hint="eastAsia"/>
                <w:color w:val="auto"/>
                <w:szCs w:val="21"/>
              </w:rPr>
              <w:t>广东省建筑业协会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1315" w:type="dxa"/>
            <w:vMerge w:val="continue"/>
            <w:tcBorders>
              <w:top w:val="nil"/>
            </w:tcBorders>
            <w:vAlign w:val="center"/>
          </w:tcPr>
          <w:p>
            <w:pPr>
              <w:jc w:val="center"/>
              <w:rPr>
                <w:rFonts w:ascii="仿宋_GB2312" w:hAnsi="仿宋_GB2312" w:eastAsia="仿宋_GB2312" w:cs="仿宋_GB2312"/>
                <w:color w:val="auto"/>
                <w:szCs w:val="21"/>
                <w:lang w:val="zh-CN" w:bidi="zh-CN"/>
              </w:rPr>
            </w:pPr>
          </w:p>
        </w:tc>
        <w:tc>
          <w:tcPr>
            <w:tcW w:w="3992" w:type="dxa"/>
            <w:vAlign w:val="center"/>
          </w:tcPr>
          <w:p>
            <w:pPr>
              <w:pStyle w:val="40"/>
              <w:ind w:left="144" w:right="133"/>
              <w:jc w:val="center"/>
              <w:rPr>
                <w:color w:val="auto"/>
                <w:szCs w:val="21"/>
              </w:rPr>
            </w:pPr>
            <w:r>
              <w:rPr>
                <w:rFonts w:hint="eastAsia"/>
                <w:color w:val="auto"/>
                <w:szCs w:val="21"/>
              </w:rPr>
              <w:t>广东省风景园林优良样板工程</w:t>
            </w:r>
          </w:p>
        </w:tc>
        <w:tc>
          <w:tcPr>
            <w:tcW w:w="3009" w:type="dxa"/>
            <w:vAlign w:val="center"/>
          </w:tcPr>
          <w:p>
            <w:pPr>
              <w:pStyle w:val="40"/>
              <w:jc w:val="center"/>
              <w:rPr>
                <w:b/>
                <w:color w:val="auto"/>
                <w:szCs w:val="21"/>
              </w:rPr>
            </w:pPr>
          </w:p>
          <w:p>
            <w:pPr>
              <w:pStyle w:val="40"/>
              <w:ind w:left="194" w:right="187"/>
              <w:jc w:val="center"/>
              <w:rPr>
                <w:color w:val="auto"/>
                <w:szCs w:val="21"/>
              </w:rPr>
            </w:pPr>
            <w:r>
              <w:rPr>
                <w:rFonts w:hint="eastAsia"/>
                <w:color w:val="auto"/>
                <w:szCs w:val="21"/>
              </w:rPr>
              <w:t>广东省风景园林协会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1315" w:type="dxa"/>
            <w:vMerge w:val="restart"/>
            <w:vAlign w:val="center"/>
          </w:tcPr>
          <w:p>
            <w:pPr>
              <w:pStyle w:val="40"/>
              <w:ind w:right="187"/>
              <w:jc w:val="center"/>
              <w:rPr>
                <w:color w:val="auto"/>
                <w:szCs w:val="21"/>
              </w:rPr>
            </w:pPr>
            <w:r>
              <w:rPr>
                <w:rFonts w:hint="eastAsia"/>
                <w:color w:val="auto"/>
                <w:szCs w:val="21"/>
              </w:rPr>
              <w:t>市级建筑工程奖项</w:t>
            </w:r>
          </w:p>
        </w:tc>
        <w:tc>
          <w:tcPr>
            <w:tcW w:w="3992" w:type="dxa"/>
            <w:vAlign w:val="center"/>
          </w:tcPr>
          <w:p>
            <w:pPr>
              <w:pStyle w:val="40"/>
              <w:ind w:left="144" w:right="133"/>
              <w:jc w:val="center"/>
              <w:rPr>
                <w:color w:val="auto"/>
                <w:szCs w:val="21"/>
              </w:rPr>
            </w:pPr>
            <w:r>
              <w:rPr>
                <w:rFonts w:hint="eastAsia"/>
                <w:color w:val="auto"/>
                <w:szCs w:val="21"/>
              </w:rPr>
              <w:t>深圳市优质工程金牛奖</w:t>
            </w:r>
          </w:p>
        </w:tc>
        <w:tc>
          <w:tcPr>
            <w:tcW w:w="3009" w:type="dxa"/>
            <w:vAlign w:val="center"/>
          </w:tcPr>
          <w:p>
            <w:pPr>
              <w:pStyle w:val="40"/>
              <w:ind w:left="196" w:right="184"/>
              <w:jc w:val="center"/>
              <w:rPr>
                <w:color w:val="auto"/>
                <w:szCs w:val="21"/>
              </w:rPr>
            </w:pPr>
            <w:r>
              <w:rPr>
                <w:rFonts w:hint="eastAsia"/>
                <w:color w:val="auto"/>
                <w:szCs w:val="21"/>
              </w:rPr>
              <w:t>深圳建筑业协会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1315" w:type="dxa"/>
            <w:vMerge w:val="continue"/>
            <w:tcBorders>
              <w:top w:val="nil"/>
            </w:tcBorders>
            <w:vAlign w:val="center"/>
          </w:tcPr>
          <w:p>
            <w:pPr>
              <w:jc w:val="center"/>
              <w:rPr>
                <w:rFonts w:ascii="仿宋_GB2312" w:hAnsi="仿宋_GB2312" w:eastAsia="仿宋_GB2312" w:cs="仿宋_GB2312"/>
                <w:color w:val="auto"/>
                <w:szCs w:val="21"/>
              </w:rPr>
            </w:pPr>
          </w:p>
        </w:tc>
        <w:tc>
          <w:tcPr>
            <w:tcW w:w="3992" w:type="dxa"/>
            <w:vAlign w:val="center"/>
          </w:tcPr>
          <w:p>
            <w:pPr>
              <w:pStyle w:val="40"/>
              <w:ind w:left="141" w:right="133"/>
              <w:jc w:val="center"/>
              <w:rPr>
                <w:color w:val="auto"/>
                <w:szCs w:val="21"/>
              </w:rPr>
            </w:pPr>
            <w:r>
              <w:rPr>
                <w:rFonts w:hint="eastAsia"/>
                <w:color w:val="auto"/>
                <w:szCs w:val="21"/>
              </w:rPr>
              <w:t>深圳市优质工程奖</w:t>
            </w:r>
          </w:p>
        </w:tc>
        <w:tc>
          <w:tcPr>
            <w:tcW w:w="3009" w:type="dxa"/>
            <w:vAlign w:val="center"/>
          </w:tcPr>
          <w:p>
            <w:pPr>
              <w:pStyle w:val="40"/>
              <w:ind w:left="196" w:right="184"/>
              <w:jc w:val="center"/>
              <w:rPr>
                <w:color w:val="auto"/>
                <w:szCs w:val="21"/>
              </w:rPr>
            </w:pPr>
            <w:r>
              <w:rPr>
                <w:rFonts w:hint="eastAsia"/>
                <w:color w:val="auto"/>
                <w:szCs w:val="21"/>
              </w:rPr>
              <w:t>深圳建筑业协会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jc w:val="center"/>
        </w:trPr>
        <w:tc>
          <w:tcPr>
            <w:tcW w:w="1315" w:type="dxa"/>
            <w:vMerge w:val="continue"/>
            <w:tcBorders>
              <w:top w:val="nil"/>
            </w:tcBorders>
            <w:vAlign w:val="center"/>
          </w:tcPr>
          <w:p>
            <w:pPr>
              <w:jc w:val="center"/>
              <w:rPr>
                <w:rFonts w:ascii="仿宋_GB2312" w:hAnsi="仿宋_GB2312" w:eastAsia="仿宋_GB2312" w:cs="仿宋_GB2312"/>
                <w:color w:val="auto"/>
                <w:szCs w:val="21"/>
              </w:rPr>
            </w:pPr>
          </w:p>
        </w:tc>
        <w:tc>
          <w:tcPr>
            <w:tcW w:w="3992" w:type="dxa"/>
            <w:vAlign w:val="center"/>
          </w:tcPr>
          <w:p>
            <w:pPr>
              <w:pStyle w:val="40"/>
              <w:ind w:left="144" w:right="133"/>
              <w:jc w:val="center"/>
              <w:rPr>
                <w:color w:val="auto"/>
                <w:szCs w:val="21"/>
              </w:rPr>
            </w:pPr>
            <w:r>
              <w:rPr>
                <w:rFonts w:hint="eastAsia"/>
                <w:color w:val="auto"/>
                <w:szCs w:val="21"/>
              </w:rPr>
              <w:t>深圳市优秀园林工程奖</w:t>
            </w:r>
          </w:p>
        </w:tc>
        <w:tc>
          <w:tcPr>
            <w:tcW w:w="3009" w:type="dxa"/>
            <w:vAlign w:val="center"/>
          </w:tcPr>
          <w:p>
            <w:pPr>
              <w:pStyle w:val="40"/>
              <w:ind w:left="194" w:right="187"/>
              <w:jc w:val="center"/>
              <w:rPr>
                <w:color w:val="auto"/>
                <w:szCs w:val="21"/>
              </w:rPr>
            </w:pPr>
            <w:r>
              <w:rPr>
                <w:rFonts w:hint="eastAsia"/>
                <w:color w:val="auto"/>
                <w:szCs w:val="21"/>
              </w:rPr>
              <w:t>深圳市风景园林协会</w:t>
            </w:r>
          </w:p>
        </w:tc>
      </w:tr>
    </w:tbl>
    <w:p>
      <w:pPr>
        <w:tabs>
          <w:tab w:val="left" w:pos="7526"/>
        </w:tabs>
        <w:spacing w:line="560" w:lineRule="exact"/>
        <w:jc w:val="left"/>
        <w:rPr>
          <w:color w:val="auto"/>
        </w:rPr>
      </w:pPr>
    </w:p>
    <w:sectPr>
      <w:type w:val="continuous"/>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HanziPen SC">
    <w:altName w:val="hakuyoxingshu7000"/>
    <w:panose1 w:val="00000000000000000000"/>
    <w:charset w:val="88"/>
    <w:family w:val="auto"/>
    <w:pitch w:val="default"/>
    <w:sig w:usb0="00000000" w:usb1="00000000" w:usb2="00000016" w:usb3="00000000" w:csb0="001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Style w:val="26"/>
        <w:rFonts w:hint="default"/>
        <w:sz w:val="24"/>
        <w:szCs w:val="24"/>
      </w:rPr>
    </w:pPr>
    <w:r>
      <w:rPr>
        <w:rStyle w:val="26"/>
        <w:rFonts w:hint="default"/>
        <w:sz w:val="24"/>
        <w:szCs w:val="24"/>
      </w:rPr>
      <w:fldChar w:fldCharType="begin"/>
    </w:r>
    <w:r>
      <w:rPr>
        <w:rStyle w:val="26"/>
        <w:rFonts w:hint="default"/>
        <w:sz w:val="24"/>
        <w:szCs w:val="24"/>
      </w:rPr>
      <w:instrText xml:space="preserve">PAGE   \* MERGEFORMAT</w:instrText>
    </w:r>
    <w:r>
      <w:rPr>
        <w:rStyle w:val="26"/>
        <w:rFonts w:hint="default"/>
        <w:sz w:val="24"/>
        <w:szCs w:val="24"/>
      </w:rPr>
      <w:fldChar w:fldCharType="separate"/>
    </w:r>
    <w:r>
      <w:rPr>
        <w:rStyle w:val="26"/>
        <w:rFonts w:hint="default"/>
        <w:sz w:val="24"/>
        <w:szCs w:val="24"/>
        <w:lang w:val="zh-CN"/>
      </w:rPr>
      <w:t>28</w:t>
    </w:r>
    <w:r>
      <w:rPr>
        <w:rStyle w:val="26"/>
        <w:rFonts w:hint="default"/>
        <w:sz w:val="24"/>
        <w:szCs w:val="24"/>
      </w:rP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Style w:val="26"/>
        <w:rFonts w:hint="default"/>
        <w:sz w:val="24"/>
        <w:szCs w:val="24"/>
      </w:rPr>
    </w:pPr>
    <w:r>
      <w:rPr>
        <w:rStyle w:val="26"/>
        <w:rFonts w:hint="default"/>
        <w:sz w:val="24"/>
        <w:szCs w:val="24"/>
      </w:rPr>
      <w:fldChar w:fldCharType="begin"/>
    </w:r>
    <w:r>
      <w:rPr>
        <w:rStyle w:val="26"/>
        <w:rFonts w:hint="default"/>
        <w:sz w:val="24"/>
        <w:szCs w:val="24"/>
      </w:rPr>
      <w:instrText xml:space="preserve">PAGE   \* MERGEFORMAT</w:instrText>
    </w:r>
    <w:r>
      <w:rPr>
        <w:rStyle w:val="26"/>
        <w:rFonts w:hint="default"/>
        <w:sz w:val="24"/>
        <w:szCs w:val="24"/>
      </w:rPr>
      <w:fldChar w:fldCharType="separate"/>
    </w:r>
    <w:r>
      <w:rPr>
        <w:rStyle w:val="26"/>
        <w:rFonts w:hint="default"/>
        <w:sz w:val="24"/>
        <w:szCs w:val="24"/>
        <w:lang w:val="zh-CN"/>
      </w:rPr>
      <w:t>29</w:t>
    </w:r>
    <w:r>
      <w:rPr>
        <w:rStyle w:val="26"/>
        <w:rFonts w:hint="default"/>
        <w:sz w:val="24"/>
        <w:szCs w:val="24"/>
      </w:rPr>
      <w:fldChar w:fldCharType="end"/>
    </w:r>
  </w:p>
  <w:p>
    <w:pPr>
      <w:pStyle w:val="10"/>
      <w:jc w:val="both"/>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Style w:val="26"/>
        <w:rFonts w:hint="default"/>
        <w:sz w:val="24"/>
        <w:szCs w:val="24"/>
      </w:rPr>
    </w:pPr>
  </w:p>
  <w:p>
    <w:pPr>
      <w:pStyle w:val="10"/>
      <w:jc w:val="both"/>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Style w:val="26"/>
        <w:rFonts w:hint="default"/>
        <w:sz w:val="24"/>
        <w:szCs w:val="24"/>
      </w:rPr>
    </w:pPr>
  </w:p>
  <w:p>
    <w:pPr>
      <w:pStyle w:val="1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Style w:val="26"/>
        <w:rFonts w:hint="default"/>
        <w:sz w:val="24"/>
        <w:szCs w:val="24"/>
      </w:rPr>
    </w:pPr>
    <w:r>
      <w:rPr>
        <w:rStyle w:val="26"/>
        <w:rFonts w:hint="default"/>
        <w:sz w:val="24"/>
        <w:szCs w:val="24"/>
      </w:rPr>
      <w:fldChar w:fldCharType="begin"/>
    </w:r>
    <w:r>
      <w:rPr>
        <w:rStyle w:val="26"/>
        <w:rFonts w:hint="default"/>
        <w:sz w:val="24"/>
        <w:szCs w:val="24"/>
      </w:rPr>
      <w:instrText xml:space="preserve">PAGE   \* MERGEFORMAT</w:instrText>
    </w:r>
    <w:r>
      <w:rPr>
        <w:rStyle w:val="26"/>
        <w:rFonts w:hint="default"/>
        <w:sz w:val="24"/>
        <w:szCs w:val="24"/>
      </w:rPr>
      <w:fldChar w:fldCharType="separate"/>
    </w:r>
    <w:r>
      <w:rPr>
        <w:rStyle w:val="26"/>
        <w:rFonts w:hint="default"/>
        <w:sz w:val="24"/>
        <w:szCs w:val="24"/>
        <w:lang w:val="zh-CN"/>
      </w:rPr>
      <w:t>-</w:t>
    </w:r>
    <w:r>
      <w:rPr>
        <w:rStyle w:val="26"/>
        <w:rFonts w:hint="default"/>
        <w:sz w:val="24"/>
        <w:szCs w:val="24"/>
      </w:rPr>
      <w:t xml:space="preserve"> 11 -</w:t>
    </w:r>
    <w:r>
      <w:rPr>
        <w:rStyle w:val="26"/>
        <w:rFonts w:hint="default"/>
        <w:sz w:val="24"/>
        <w:szCs w:val="24"/>
      </w:rPr>
      <w:fldChar w:fldCharType="end"/>
    </w:r>
  </w:p>
  <w:p>
    <w:pPr>
      <w:pStyle w:val="10"/>
      <w:jc w:val="both"/>
      <w:rPr>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Style w:val="26"/>
        <w:rFonts w:hint="default"/>
        <w:sz w:val="24"/>
        <w:szCs w:val="24"/>
      </w:rPr>
    </w:pPr>
    <w:r>
      <w:rPr>
        <w:rStyle w:val="26"/>
        <w:rFonts w:hint="default"/>
        <w:sz w:val="24"/>
        <w:szCs w:val="24"/>
      </w:rPr>
      <w:fldChar w:fldCharType="begin"/>
    </w:r>
    <w:r>
      <w:rPr>
        <w:rStyle w:val="26"/>
        <w:rFonts w:hint="default"/>
        <w:sz w:val="24"/>
        <w:szCs w:val="24"/>
      </w:rPr>
      <w:instrText xml:space="preserve">PAGE   \* MERGEFORMAT</w:instrText>
    </w:r>
    <w:r>
      <w:rPr>
        <w:rStyle w:val="26"/>
        <w:rFonts w:hint="default"/>
        <w:sz w:val="24"/>
        <w:szCs w:val="24"/>
      </w:rPr>
      <w:fldChar w:fldCharType="separate"/>
    </w:r>
    <w:r>
      <w:rPr>
        <w:rStyle w:val="26"/>
        <w:rFonts w:hint="default"/>
        <w:sz w:val="24"/>
        <w:szCs w:val="24"/>
        <w:lang w:val="zh-CN"/>
      </w:rPr>
      <w:t>-</w:t>
    </w:r>
    <w:r>
      <w:rPr>
        <w:rStyle w:val="26"/>
        <w:rFonts w:hint="default"/>
        <w:sz w:val="24"/>
        <w:szCs w:val="24"/>
      </w:rPr>
      <w:t xml:space="preserve"> 12 -</w:t>
    </w:r>
    <w:r>
      <w:rPr>
        <w:rStyle w:val="26"/>
        <w:rFonts w:hint="default"/>
        <w:sz w:val="24"/>
        <w:szCs w:val="24"/>
      </w:rPr>
      <w:fldChar w:fldCharType="end"/>
    </w: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4E410C"/>
    <w:multiLevelType w:val="singleLevel"/>
    <w:tmpl w:val="964E410C"/>
    <w:lvl w:ilvl="0" w:tentative="0">
      <w:start w:val="1"/>
      <w:numFmt w:val="chineseCounting"/>
      <w:suff w:val="space"/>
      <w:lvlText w:val="第%1章"/>
      <w:lvlJc w:val="left"/>
      <w:rPr>
        <w:rFonts w:hint="eastAsia"/>
      </w:rPr>
    </w:lvl>
  </w:abstractNum>
  <w:abstractNum w:abstractNumId="1">
    <w:nsid w:val="AEFFE7B0"/>
    <w:multiLevelType w:val="singleLevel"/>
    <w:tmpl w:val="AEFFE7B0"/>
    <w:lvl w:ilvl="0" w:tentative="0">
      <w:start w:val="1"/>
      <w:numFmt w:val="decimal"/>
      <w:suff w:val="nothing"/>
      <w:lvlText w:val="（%1）"/>
      <w:lvlJc w:val="left"/>
    </w:lvl>
  </w:abstractNum>
  <w:abstractNum w:abstractNumId="2">
    <w:nsid w:val="BA9023C1"/>
    <w:multiLevelType w:val="singleLevel"/>
    <w:tmpl w:val="BA9023C1"/>
    <w:lvl w:ilvl="0" w:tentative="0">
      <w:start w:val="1"/>
      <w:numFmt w:val="decimal"/>
      <w:suff w:val="nothing"/>
      <w:lvlText w:val="（%1）"/>
      <w:lvlJc w:val="left"/>
    </w:lvl>
  </w:abstractNum>
  <w:abstractNum w:abstractNumId="3">
    <w:nsid w:val="C4BDF4E6"/>
    <w:multiLevelType w:val="singleLevel"/>
    <w:tmpl w:val="C4BDF4E6"/>
    <w:lvl w:ilvl="0" w:tentative="0">
      <w:start w:val="1"/>
      <w:numFmt w:val="decimal"/>
      <w:suff w:val="nothing"/>
      <w:lvlText w:val="（%1）"/>
      <w:lvlJc w:val="left"/>
      <w:rPr>
        <w:rFonts w:hint="eastAsia" w:ascii="仿宋_GB2312" w:hAnsi="HanziPen SC" w:eastAsia="仿宋_GB2312"/>
      </w:rPr>
    </w:lvl>
  </w:abstractNum>
  <w:abstractNum w:abstractNumId="4">
    <w:nsid w:val="F2D890A3"/>
    <w:multiLevelType w:val="singleLevel"/>
    <w:tmpl w:val="F2D890A3"/>
    <w:lvl w:ilvl="0" w:tentative="0">
      <w:start w:val="1"/>
      <w:numFmt w:val="chineseCounting"/>
      <w:suff w:val="nothing"/>
      <w:lvlText w:val="（%1）"/>
      <w:lvlJc w:val="left"/>
      <w:rPr>
        <w:rFonts w:hint="eastAsia"/>
      </w:rPr>
    </w:lvl>
  </w:abstractNum>
  <w:abstractNum w:abstractNumId="5">
    <w:nsid w:val="F4824DF8"/>
    <w:multiLevelType w:val="singleLevel"/>
    <w:tmpl w:val="F4824DF8"/>
    <w:lvl w:ilvl="0" w:tentative="0">
      <w:start w:val="1"/>
      <w:numFmt w:val="decimal"/>
      <w:suff w:val="nothing"/>
      <w:lvlText w:val="（%1）"/>
      <w:lvlJc w:val="left"/>
    </w:lvl>
  </w:abstractNum>
  <w:abstractNum w:abstractNumId="6">
    <w:nsid w:val="F9F0E6D0"/>
    <w:multiLevelType w:val="singleLevel"/>
    <w:tmpl w:val="F9F0E6D0"/>
    <w:lvl w:ilvl="0" w:tentative="0">
      <w:start w:val="1"/>
      <w:numFmt w:val="chineseCounting"/>
      <w:suff w:val="space"/>
      <w:lvlText w:val="第%1条"/>
      <w:lvlJc w:val="left"/>
      <w:pPr>
        <w:tabs>
          <w:tab w:val="left" w:pos="0"/>
        </w:tabs>
      </w:pPr>
      <w:rPr>
        <w:rFonts w:hint="eastAsia" w:eastAsia="黑体"/>
        <w:color w:val="000000"/>
        <w:sz w:val="32"/>
      </w:rPr>
    </w:lvl>
  </w:abstractNum>
  <w:abstractNum w:abstractNumId="7">
    <w:nsid w:val="00000009"/>
    <w:multiLevelType w:val="multilevel"/>
    <w:tmpl w:val="00000009"/>
    <w:lvl w:ilvl="0" w:tentative="0">
      <w:start w:val="1"/>
      <w:numFmt w:val="decimal"/>
      <w:lvlText w:val="%1 "/>
      <w:lvlJc w:val="left"/>
      <w:pPr>
        <w:ind w:left="3969" w:hanging="425"/>
      </w:pPr>
    </w:lvl>
    <w:lvl w:ilvl="1" w:tentative="0">
      <w:start w:val="1"/>
      <w:numFmt w:val="decimal"/>
      <w:lvlText w:val="%1.%2 "/>
      <w:lvlJc w:val="left"/>
      <w:pPr>
        <w:ind w:left="567" w:hanging="567"/>
      </w:pPr>
      <w:rPr>
        <w:rFonts w:hint="eastAsia" w:ascii="宋体" w:hAnsi="宋体" w:eastAsia="宋体" w:cs="宋体"/>
      </w:rPr>
    </w:lvl>
    <w:lvl w:ilvl="2" w:tentative="0">
      <w:start w:val="1"/>
      <w:numFmt w:val="decimal"/>
      <w:pStyle w:val="35"/>
      <w:lvlText w:val="%1.%2.%3 "/>
      <w:lvlJc w:val="left"/>
      <w:pPr>
        <w:ind w:left="1560" w:hanging="709"/>
      </w:pPr>
      <w:rPr>
        <w:rFonts w:hint="eastAsia" w:ascii="宋体" w:hAnsi="宋体" w:eastAsia="宋体" w:cs="宋体"/>
        <w:color w:val="000000"/>
        <w:sz w:val="21"/>
        <w:szCs w:val="21"/>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8">
    <w:nsid w:val="2712CBEA"/>
    <w:multiLevelType w:val="singleLevel"/>
    <w:tmpl w:val="2712CBEA"/>
    <w:lvl w:ilvl="0" w:tentative="0">
      <w:start w:val="1"/>
      <w:numFmt w:val="decimal"/>
      <w:suff w:val="nothing"/>
      <w:lvlText w:val="（%1）"/>
      <w:lvlJc w:val="left"/>
    </w:lvl>
  </w:abstractNum>
  <w:abstractNum w:abstractNumId="9">
    <w:nsid w:val="426B5580"/>
    <w:multiLevelType w:val="singleLevel"/>
    <w:tmpl w:val="426B5580"/>
    <w:lvl w:ilvl="0" w:tentative="0">
      <w:start w:val="1"/>
      <w:numFmt w:val="decimal"/>
      <w:suff w:val="nothing"/>
      <w:lvlText w:val="（%1）"/>
      <w:lvlJc w:val="left"/>
    </w:lvl>
  </w:abstractNum>
  <w:abstractNum w:abstractNumId="10">
    <w:nsid w:val="4F8617EE"/>
    <w:multiLevelType w:val="singleLevel"/>
    <w:tmpl w:val="4F8617EE"/>
    <w:lvl w:ilvl="0" w:tentative="0">
      <w:start w:val="1"/>
      <w:numFmt w:val="decimal"/>
      <w:suff w:val="nothing"/>
      <w:lvlText w:val="（%1）"/>
      <w:lvlJc w:val="left"/>
    </w:lvl>
  </w:abstractNum>
  <w:num w:numId="1">
    <w:abstractNumId w:val="7"/>
  </w:num>
  <w:num w:numId="2">
    <w:abstractNumId w:val="0"/>
  </w:num>
  <w:num w:numId="3">
    <w:abstractNumId w:val="6"/>
  </w:num>
  <w:num w:numId="4">
    <w:abstractNumId w:val="3"/>
  </w:num>
  <w:num w:numId="5">
    <w:abstractNumId w:val="9"/>
  </w:num>
  <w:num w:numId="6">
    <w:abstractNumId w:val="4"/>
  </w:num>
  <w:num w:numId="7">
    <w:abstractNumId w:val="5"/>
  </w:num>
  <w:num w:numId="8">
    <w:abstractNumId w:val="8"/>
  </w:num>
  <w:num w:numId="9">
    <w:abstractNumId w:val="1"/>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revisionView w:markup="0"/>
  <w:documentProtection w:enforcement="0"/>
  <w:defaultTabStop w:val="420"/>
  <w:evenAndOddHeaders w:val="1"/>
  <w:drawingGridHorizontalSpacing w:val="105"/>
  <w:drawingGridVerticalSpacing w:val="156"/>
  <w:doNotShadeFormData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hMjJhOWZmM2FlNDQ1NDgxZGEyODM1YjcxYzA5YzMifQ=="/>
  </w:docVars>
  <w:rsids>
    <w:rsidRoot w:val="00172A27"/>
    <w:rsid w:val="00003645"/>
    <w:rsid w:val="00003C9B"/>
    <w:rsid w:val="000130BF"/>
    <w:rsid w:val="000167C0"/>
    <w:rsid w:val="00022792"/>
    <w:rsid w:val="0002556E"/>
    <w:rsid w:val="00026DD4"/>
    <w:rsid w:val="000355C2"/>
    <w:rsid w:val="00042B4A"/>
    <w:rsid w:val="00047333"/>
    <w:rsid w:val="00047FDF"/>
    <w:rsid w:val="00056CAA"/>
    <w:rsid w:val="00060814"/>
    <w:rsid w:val="00066420"/>
    <w:rsid w:val="00066FC1"/>
    <w:rsid w:val="00070AFF"/>
    <w:rsid w:val="00071910"/>
    <w:rsid w:val="000723A3"/>
    <w:rsid w:val="00072742"/>
    <w:rsid w:val="0007404F"/>
    <w:rsid w:val="00076C29"/>
    <w:rsid w:val="00081FE7"/>
    <w:rsid w:val="00095274"/>
    <w:rsid w:val="000A37FC"/>
    <w:rsid w:val="000B7701"/>
    <w:rsid w:val="000C1669"/>
    <w:rsid w:val="000C1DA8"/>
    <w:rsid w:val="000C31E2"/>
    <w:rsid w:val="000D6976"/>
    <w:rsid w:val="000D7403"/>
    <w:rsid w:val="000D740E"/>
    <w:rsid w:val="000D7D89"/>
    <w:rsid w:val="000E0AB2"/>
    <w:rsid w:val="000E1806"/>
    <w:rsid w:val="000E333A"/>
    <w:rsid w:val="000E65FF"/>
    <w:rsid w:val="000E7733"/>
    <w:rsid w:val="000F2FFE"/>
    <w:rsid w:val="000F5002"/>
    <w:rsid w:val="001005F5"/>
    <w:rsid w:val="00102704"/>
    <w:rsid w:val="00105AB9"/>
    <w:rsid w:val="00105EDB"/>
    <w:rsid w:val="001072A8"/>
    <w:rsid w:val="001111FC"/>
    <w:rsid w:val="00111670"/>
    <w:rsid w:val="00115A2F"/>
    <w:rsid w:val="00120427"/>
    <w:rsid w:val="00121FA9"/>
    <w:rsid w:val="001233CE"/>
    <w:rsid w:val="001344E4"/>
    <w:rsid w:val="00134ADB"/>
    <w:rsid w:val="001350FF"/>
    <w:rsid w:val="001363C6"/>
    <w:rsid w:val="00141323"/>
    <w:rsid w:val="0014157F"/>
    <w:rsid w:val="0014241A"/>
    <w:rsid w:val="001517D2"/>
    <w:rsid w:val="00163F42"/>
    <w:rsid w:val="00167424"/>
    <w:rsid w:val="00167606"/>
    <w:rsid w:val="00171984"/>
    <w:rsid w:val="00171F01"/>
    <w:rsid w:val="00172A27"/>
    <w:rsid w:val="00172B55"/>
    <w:rsid w:val="001748FC"/>
    <w:rsid w:val="00176563"/>
    <w:rsid w:val="00176711"/>
    <w:rsid w:val="00177C0D"/>
    <w:rsid w:val="001813AB"/>
    <w:rsid w:val="001854BE"/>
    <w:rsid w:val="00186D04"/>
    <w:rsid w:val="00191CAE"/>
    <w:rsid w:val="001A4743"/>
    <w:rsid w:val="001A535F"/>
    <w:rsid w:val="001B26B5"/>
    <w:rsid w:val="001B69E9"/>
    <w:rsid w:val="001C2D2F"/>
    <w:rsid w:val="001C3A0D"/>
    <w:rsid w:val="001C3F77"/>
    <w:rsid w:val="001C5116"/>
    <w:rsid w:val="001C7CC5"/>
    <w:rsid w:val="001D114E"/>
    <w:rsid w:val="001E0CFB"/>
    <w:rsid w:val="001F6FEF"/>
    <w:rsid w:val="001F7EDA"/>
    <w:rsid w:val="0020351C"/>
    <w:rsid w:val="00205356"/>
    <w:rsid w:val="002065D7"/>
    <w:rsid w:val="002066E6"/>
    <w:rsid w:val="00212BD6"/>
    <w:rsid w:val="00215B2D"/>
    <w:rsid w:val="00217EF2"/>
    <w:rsid w:val="002218FF"/>
    <w:rsid w:val="0022383A"/>
    <w:rsid w:val="00224423"/>
    <w:rsid w:val="00226E51"/>
    <w:rsid w:val="00231890"/>
    <w:rsid w:val="002333C3"/>
    <w:rsid w:val="002368F4"/>
    <w:rsid w:val="00237809"/>
    <w:rsid w:val="00241092"/>
    <w:rsid w:val="00245AA6"/>
    <w:rsid w:val="00246743"/>
    <w:rsid w:val="0024741A"/>
    <w:rsid w:val="0025436A"/>
    <w:rsid w:val="0025457C"/>
    <w:rsid w:val="002616FC"/>
    <w:rsid w:val="00263C7A"/>
    <w:rsid w:val="0026476E"/>
    <w:rsid w:val="00267110"/>
    <w:rsid w:val="0027007C"/>
    <w:rsid w:val="00270BF5"/>
    <w:rsid w:val="00274AC3"/>
    <w:rsid w:val="00280E97"/>
    <w:rsid w:val="002814E2"/>
    <w:rsid w:val="00281EDC"/>
    <w:rsid w:val="002845C5"/>
    <w:rsid w:val="00284FD5"/>
    <w:rsid w:val="0029230C"/>
    <w:rsid w:val="002A0B15"/>
    <w:rsid w:val="002A1686"/>
    <w:rsid w:val="002A2F22"/>
    <w:rsid w:val="002A3635"/>
    <w:rsid w:val="002A6721"/>
    <w:rsid w:val="002B3585"/>
    <w:rsid w:val="002B5F22"/>
    <w:rsid w:val="002D1374"/>
    <w:rsid w:val="002D33AF"/>
    <w:rsid w:val="002D78A6"/>
    <w:rsid w:val="002E39E0"/>
    <w:rsid w:val="002E3C47"/>
    <w:rsid w:val="002E4D9C"/>
    <w:rsid w:val="002E50EC"/>
    <w:rsid w:val="002F37A1"/>
    <w:rsid w:val="002F3B3C"/>
    <w:rsid w:val="002F6E7C"/>
    <w:rsid w:val="00300377"/>
    <w:rsid w:val="003005C9"/>
    <w:rsid w:val="00305BDB"/>
    <w:rsid w:val="00307133"/>
    <w:rsid w:val="00310A38"/>
    <w:rsid w:val="00311F17"/>
    <w:rsid w:val="0031233F"/>
    <w:rsid w:val="003141BE"/>
    <w:rsid w:val="00320849"/>
    <w:rsid w:val="00322DA4"/>
    <w:rsid w:val="00324B23"/>
    <w:rsid w:val="0033087D"/>
    <w:rsid w:val="003328C0"/>
    <w:rsid w:val="00342643"/>
    <w:rsid w:val="0034569E"/>
    <w:rsid w:val="003511BD"/>
    <w:rsid w:val="00355022"/>
    <w:rsid w:val="003574CE"/>
    <w:rsid w:val="00361250"/>
    <w:rsid w:val="00365C93"/>
    <w:rsid w:val="00367A6D"/>
    <w:rsid w:val="003715E9"/>
    <w:rsid w:val="003760C2"/>
    <w:rsid w:val="00380166"/>
    <w:rsid w:val="0038404B"/>
    <w:rsid w:val="003842CD"/>
    <w:rsid w:val="00384ACD"/>
    <w:rsid w:val="0038504E"/>
    <w:rsid w:val="00385293"/>
    <w:rsid w:val="00392BB8"/>
    <w:rsid w:val="003931AC"/>
    <w:rsid w:val="003A0653"/>
    <w:rsid w:val="003A0DA8"/>
    <w:rsid w:val="003B1914"/>
    <w:rsid w:val="003B2635"/>
    <w:rsid w:val="003B7DC4"/>
    <w:rsid w:val="003C0349"/>
    <w:rsid w:val="003C0781"/>
    <w:rsid w:val="003C1F06"/>
    <w:rsid w:val="003D2FAC"/>
    <w:rsid w:val="003D5FA2"/>
    <w:rsid w:val="003E0CBE"/>
    <w:rsid w:val="003E409C"/>
    <w:rsid w:val="003E6993"/>
    <w:rsid w:val="003F6014"/>
    <w:rsid w:val="003F747F"/>
    <w:rsid w:val="00402D32"/>
    <w:rsid w:val="00403BB4"/>
    <w:rsid w:val="00405400"/>
    <w:rsid w:val="00412B89"/>
    <w:rsid w:val="004141F1"/>
    <w:rsid w:val="00416A07"/>
    <w:rsid w:val="004178A1"/>
    <w:rsid w:val="00422FE5"/>
    <w:rsid w:val="00423AB8"/>
    <w:rsid w:val="00423D9E"/>
    <w:rsid w:val="00426CE4"/>
    <w:rsid w:val="004334F1"/>
    <w:rsid w:val="00440C2A"/>
    <w:rsid w:val="00442638"/>
    <w:rsid w:val="00442876"/>
    <w:rsid w:val="00442C5B"/>
    <w:rsid w:val="0044397B"/>
    <w:rsid w:val="00443CF6"/>
    <w:rsid w:val="004508F3"/>
    <w:rsid w:val="0046009B"/>
    <w:rsid w:val="00464DAC"/>
    <w:rsid w:val="0046546A"/>
    <w:rsid w:val="004660D4"/>
    <w:rsid w:val="00470BA4"/>
    <w:rsid w:val="004717BE"/>
    <w:rsid w:val="00474F8B"/>
    <w:rsid w:val="00483570"/>
    <w:rsid w:val="00483A8C"/>
    <w:rsid w:val="00485A17"/>
    <w:rsid w:val="00491D10"/>
    <w:rsid w:val="0049482C"/>
    <w:rsid w:val="004A6CA0"/>
    <w:rsid w:val="004A6E30"/>
    <w:rsid w:val="004B20D3"/>
    <w:rsid w:val="004B31ED"/>
    <w:rsid w:val="004B3A4D"/>
    <w:rsid w:val="004D118A"/>
    <w:rsid w:val="004D33E2"/>
    <w:rsid w:val="004E012A"/>
    <w:rsid w:val="004E0C8B"/>
    <w:rsid w:val="004E30E2"/>
    <w:rsid w:val="004E3681"/>
    <w:rsid w:val="004E4632"/>
    <w:rsid w:val="004E59C2"/>
    <w:rsid w:val="004E7518"/>
    <w:rsid w:val="004E7B6B"/>
    <w:rsid w:val="004F1994"/>
    <w:rsid w:val="004F319F"/>
    <w:rsid w:val="004F419B"/>
    <w:rsid w:val="004F4FF1"/>
    <w:rsid w:val="004F57F8"/>
    <w:rsid w:val="004F645C"/>
    <w:rsid w:val="004F7C7E"/>
    <w:rsid w:val="00501798"/>
    <w:rsid w:val="0050443E"/>
    <w:rsid w:val="00504740"/>
    <w:rsid w:val="0050538F"/>
    <w:rsid w:val="005110D5"/>
    <w:rsid w:val="005139F9"/>
    <w:rsid w:val="005163AC"/>
    <w:rsid w:val="005172EB"/>
    <w:rsid w:val="00523004"/>
    <w:rsid w:val="005300E7"/>
    <w:rsid w:val="0053416D"/>
    <w:rsid w:val="00534610"/>
    <w:rsid w:val="00537E18"/>
    <w:rsid w:val="00537F3D"/>
    <w:rsid w:val="005440BF"/>
    <w:rsid w:val="00544DB4"/>
    <w:rsid w:val="00545DDF"/>
    <w:rsid w:val="005472D6"/>
    <w:rsid w:val="00550705"/>
    <w:rsid w:val="0055171C"/>
    <w:rsid w:val="00552B57"/>
    <w:rsid w:val="005532C3"/>
    <w:rsid w:val="005546FA"/>
    <w:rsid w:val="00555A36"/>
    <w:rsid w:val="00557EF8"/>
    <w:rsid w:val="00560B6E"/>
    <w:rsid w:val="00560FCE"/>
    <w:rsid w:val="00571D19"/>
    <w:rsid w:val="0057583E"/>
    <w:rsid w:val="00576F27"/>
    <w:rsid w:val="00580F34"/>
    <w:rsid w:val="0058172F"/>
    <w:rsid w:val="00582E33"/>
    <w:rsid w:val="0058476A"/>
    <w:rsid w:val="005867DE"/>
    <w:rsid w:val="00586978"/>
    <w:rsid w:val="00592AE0"/>
    <w:rsid w:val="00595ADB"/>
    <w:rsid w:val="00597980"/>
    <w:rsid w:val="005A20EE"/>
    <w:rsid w:val="005A29FD"/>
    <w:rsid w:val="005A4A9B"/>
    <w:rsid w:val="005B137C"/>
    <w:rsid w:val="005B3642"/>
    <w:rsid w:val="005B7503"/>
    <w:rsid w:val="005C0298"/>
    <w:rsid w:val="005C27D7"/>
    <w:rsid w:val="005C5F51"/>
    <w:rsid w:val="005D664D"/>
    <w:rsid w:val="005D6F3B"/>
    <w:rsid w:val="005E184E"/>
    <w:rsid w:val="005E2735"/>
    <w:rsid w:val="005E4024"/>
    <w:rsid w:val="005E63CC"/>
    <w:rsid w:val="005F299C"/>
    <w:rsid w:val="005F450D"/>
    <w:rsid w:val="006002DE"/>
    <w:rsid w:val="0060301E"/>
    <w:rsid w:val="00603D85"/>
    <w:rsid w:val="00604829"/>
    <w:rsid w:val="00610B35"/>
    <w:rsid w:val="006127EC"/>
    <w:rsid w:val="00620266"/>
    <w:rsid w:val="006205D9"/>
    <w:rsid w:val="006237CB"/>
    <w:rsid w:val="006315FC"/>
    <w:rsid w:val="00633482"/>
    <w:rsid w:val="00633D33"/>
    <w:rsid w:val="00637732"/>
    <w:rsid w:val="00641028"/>
    <w:rsid w:val="0064336E"/>
    <w:rsid w:val="00643E2A"/>
    <w:rsid w:val="006550D2"/>
    <w:rsid w:val="00655969"/>
    <w:rsid w:val="00660384"/>
    <w:rsid w:val="00660BEE"/>
    <w:rsid w:val="006647D9"/>
    <w:rsid w:val="00664E48"/>
    <w:rsid w:val="00673644"/>
    <w:rsid w:val="00674890"/>
    <w:rsid w:val="006868B0"/>
    <w:rsid w:val="006918E5"/>
    <w:rsid w:val="00696D08"/>
    <w:rsid w:val="006A4D59"/>
    <w:rsid w:val="006B1039"/>
    <w:rsid w:val="006B1722"/>
    <w:rsid w:val="006B2BF1"/>
    <w:rsid w:val="006C1A20"/>
    <w:rsid w:val="006C2CB4"/>
    <w:rsid w:val="006C4884"/>
    <w:rsid w:val="006D0523"/>
    <w:rsid w:val="006D529B"/>
    <w:rsid w:val="006D6ADF"/>
    <w:rsid w:val="006F1997"/>
    <w:rsid w:val="006F3117"/>
    <w:rsid w:val="006F4991"/>
    <w:rsid w:val="007044BC"/>
    <w:rsid w:val="00704FE6"/>
    <w:rsid w:val="007125F1"/>
    <w:rsid w:val="00715AD9"/>
    <w:rsid w:val="00723330"/>
    <w:rsid w:val="00724E87"/>
    <w:rsid w:val="00725906"/>
    <w:rsid w:val="00727539"/>
    <w:rsid w:val="00727C49"/>
    <w:rsid w:val="007314CA"/>
    <w:rsid w:val="0074153E"/>
    <w:rsid w:val="00745071"/>
    <w:rsid w:val="007513F1"/>
    <w:rsid w:val="007543BE"/>
    <w:rsid w:val="00754E67"/>
    <w:rsid w:val="00754FEA"/>
    <w:rsid w:val="0075511D"/>
    <w:rsid w:val="00755698"/>
    <w:rsid w:val="007562E0"/>
    <w:rsid w:val="00756B06"/>
    <w:rsid w:val="00766D37"/>
    <w:rsid w:val="00767ACA"/>
    <w:rsid w:val="00771818"/>
    <w:rsid w:val="0077574C"/>
    <w:rsid w:val="0077776D"/>
    <w:rsid w:val="00777C1A"/>
    <w:rsid w:val="00782383"/>
    <w:rsid w:val="00787CC9"/>
    <w:rsid w:val="007907D4"/>
    <w:rsid w:val="00790B5F"/>
    <w:rsid w:val="007929F1"/>
    <w:rsid w:val="007931DA"/>
    <w:rsid w:val="00795C1E"/>
    <w:rsid w:val="007978B8"/>
    <w:rsid w:val="007B18C5"/>
    <w:rsid w:val="007B2CB6"/>
    <w:rsid w:val="007B4356"/>
    <w:rsid w:val="007B69D2"/>
    <w:rsid w:val="007B6EED"/>
    <w:rsid w:val="007C3E3C"/>
    <w:rsid w:val="007D1B11"/>
    <w:rsid w:val="007D2A58"/>
    <w:rsid w:val="007D583A"/>
    <w:rsid w:val="007E4ABD"/>
    <w:rsid w:val="007E623E"/>
    <w:rsid w:val="007E67C0"/>
    <w:rsid w:val="007E6E4A"/>
    <w:rsid w:val="007F0288"/>
    <w:rsid w:val="007F321A"/>
    <w:rsid w:val="007F3D1C"/>
    <w:rsid w:val="007F529F"/>
    <w:rsid w:val="0080000D"/>
    <w:rsid w:val="00801C9D"/>
    <w:rsid w:val="00804FDE"/>
    <w:rsid w:val="00805C87"/>
    <w:rsid w:val="00806DEA"/>
    <w:rsid w:val="0081444D"/>
    <w:rsid w:val="00820819"/>
    <w:rsid w:val="00824AE2"/>
    <w:rsid w:val="00831447"/>
    <w:rsid w:val="00840E0A"/>
    <w:rsid w:val="00847641"/>
    <w:rsid w:val="00861AD3"/>
    <w:rsid w:val="00862D18"/>
    <w:rsid w:val="008633DD"/>
    <w:rsid w:val="00864072"/>
    <w:rsid w:val="008651AA"/>
    <w:rsid w:val="00865B45"/>
    <w:rsid w:val="008714F5"/>
    <w:rsid w:val="00872722"/>
    <w:rsid w:val="00873188"/>
    <w:rsid w:val="00876E9F"/>
    <w:rsid w:val="0087726E"/>
    <w:rsid w:val="00880472"/>
    <w:rsid w:val="00880A83"/>
    <w:rsid w:val="00885B34"/>
    <w:rsid w:val="00886352"/>
    <w:rsid w:val="008A4128"/>
    <w:rsid w:val="008A7F73"/>
    <w:rsid w:val="008B293B"/>
    <w:rsid w:val="008B3641"/>
    <w:rsid w:val="008B3970"/>
    <w:rsid w:val="008B517B"/>
    <w:rsid w:val="008B78C2"/>
    <w:rsid w:val="008D509E"/>
    <w:rsid w:val="008D7B5F"/>
    <w:rsid w:val="008E0114"/>
    <w:rsid w:val="008E562B"/>
    <w:rsid w:val="008F0573"/>
    <w:rsid w:val="008F5E37"/>
    <w:rsid w:val="009018E9"/>
    <w:rsid w:val="009043C4"/>
    <w:rsid w:val="00905056"/>
    <w:rsid w:val="009060DE"/>
    <w:rsid w:val="00911B06"/>
    <w:rsid w:val="009130FA"/>
    <w:rsid w:val="009141B9"/>
    <w:rsid w:val="009215AF"/>
    <w:rsid w:val="00921611"/>
    <w:rsid w:val="009228A3"/>
    <w:rsid w:val="00922B4B"/>
    <w:rsid w:val="00926C00"/>
    <w:rsid w:val="00931021"/>
    <w:rsid w:val="00932F20"/>
    <w:rsid w:val="009336E3"/>
    <w:rsid w:val="00936966"/>
    <w:rsid w:val="009444C6"/>
    <w:rsid w:val="00944DF1"/>
    <w:rsid w:val="009450C5"/>
    <w:rsid w:val="00950409"/>
    <w:rsid w:val="0095763E"/>
    <w:rsid w:val="00960E2B"/>
    <w:rsid w:val="0096537A"/>
    <w:rsid w:val="00971E6B"/>
    <w:rsid w:val="009722BE"/>
    <w:rsid w:val="00972D20"/>
    <w:rsid w:val="00977BEF"/>
    <w:rsid w:val="00985242"/>
    <w:rsid w:val="00991061"/>
    <w:rsid w:val="009951D3"/>
    <w:rsid w:val="009A078B"/>
    <w:rsid w:val="009B1B32"/>
    <w:rsid w:val="009B7AB8"/>
    <w:rsid w:val="009C38FD"/>
    <w:rsid w:val="009C492D"/>
    <w:rsid w:val="009D11F8"/>
    <w:rsid w:val="009D1E51"/>
    <w:rsid w:val="009D2EB4"/>
    <w:rsid w:val="009D6158"/>
    <w:rsid w:val="009D7B47"/>
    <w:rsid w:val="009E0727"/>
    <w:rsid w:val="009E4045"/>
    <w:rsid w:val="009F7584"/>
    <w:rsid w:val="00A00C64"/>
    <w:rsid w:val="00A0637C"/>
    <w:rsid w:val="00A0650D"/>
    <w:rsid w:val="00A0797A"/>
    <w:rsid w:val="00A101BD"/>
    <w:rsid w:val="00A120DD"/>
    <w:rsid w:val="00A140E2"/>
    <w:rsid w:val="00A15405"/>
    <w:rsid w:val="00A21E1D"/>
    <w:rsid w:val="00A25E93"/>
    <w:rsid w:val="00A26F6A"/>
    <w:rsid w:val="00A33B8D"/>
    <w:rsid w:val="00A35711"/>
    <w:rsid w:val="00A35EF0"/>
    <w:rsid w:val="00A42035"/>
    <w:rsid w:val="00A43ED3"/>
    <w:rsid w:val="00A454F8"/>
    <w:rsid w:val="00A45C7A"/>
    <w:rsid w:val="00A51E17"/>
    <w:rsid w:val="00A520DB"/>
    <w:rsid w:val="00A600B1"/>
    <w:rsid w:val="00A60E1C"/>
    <w:rsid w:val="00A6190E"/>
    <w:rsid w:val="00A62CF1"/>
    <w:rsid w:val="00A64C47"/>
    <w:rsid w:val="00A658F0"/>
    <w:rsid w:val="00A65AEF"/>
    <w:rsid w:val="00A70078"/>
    <w:rsid w:val="00A7133C"/>
    <w:rsid w:val="00A76E12"/>
    <w:rsid w:val="00A82045"/>
    <w:rsid w:val="00A86363"/>
    <w:rsid w:val="00A87C3B"/>
    <w:rsid w:val="00A91BDD"/>
    <w:rsid w:val="00A9326D"/>
    <w:rsid w:val="00AA19BE"/>
    <w:rsid w:val="00AA7AA4"/>
    <w:rsid w:val="00AB06E9"/>
    <w:rsid w:val="00AB0BB2"/>
    <w:rsid w:val="00AB4C52"/>
    <w:rsid w:val="00AB568A"/>
    <w:rsid w:val="00AC0229"/>
    <w:rsid w:val="00AC383B"/>
    <w:rsid w:val="00AC5183"/>
    <w:rsid w:val="00AC741A"/>
    <w:rsid w:val="00AD0AFB"/>
    <w:rsid w:val="00AD2529"/>
    <w:rsid w:val="00AD5016"/>
    <w:rsid w:val="00AD78A0"/>
    <w:rsid w:val="00AD7B04"/>
    <w:rsid w:val="00AE4FD9"/>
    <w:rsid w:val="00AE5191"/>
    <w:rsid w:val="00AF2D93"/>
    <w:rsid w:val="00B02137"/>
    <w:rsid w:val="00B053DB"/>
    <w:rsid w:val="00B07FB6"/>
    <w:rsid w:val="00B10B77"/>
    <w:rsid w:val="00B15CE9"/>
    <w:rsid w:val="00B165B4"/>
    <w:rsid w:val="00B17B62"/>
    <w:rsid w:val="00B227E9"/>
    <w:rsid w:val="00B2343D"/>
    <w:rsid w:val="00B2583C"/>
    <w:rsid w:val="00B339E4"/>
    <w:rsid w:val="00B34061"/>
    <w:rsid w:val="00B364E6"/>
    <w:rsid w:val="00B4086E"/>
    <w:rsid w:val="00B5171E"/>
    <w:rsid w:val="00B52447"/>
    <w:rsid w:val="00B52CFF"/>
    <w:rsid w:val="00B53262"/>
    <w:rsid w:val="00B579D3"/>
    <w:rsid w:val="00B612D9"/>
    <w:rsid w:val="00B61757"/>
    <w:rsid w:val="00B61F0A"/>
    <w:rsid w:val="00B62109"/>
    <w:rsid w:val="00B85503"/>
    <w:rsid w:val="00B919FE"/>
    <w:rsid w:val="00B961E7"/>
    <w:rsid w:val="00BA1780"/>
    <w:rsid w:val="00BA2849"/>
    <w:rsid w:val="00BA2BB0"/>
    <w:rsid w:val="00BA385E"/>
    <w:rsid w:val="00BA52F7"/>
    <w:rsid w:val="00BA5FEB"/>
    <w:rsid w:val="00BB4185"/>
    <w:rsid w:val="00BB5134"/>
    <w:rsid w:val="00BC50C2"/>
    <w:rsid w:val="00BC767B"/>
    <w:rsid w:val="00BC778B"/>
    <w:rsid w:val="00BD11ED"/>
    <w:rsid w:val="00BD18C7"/>
    <w:rsid w:val="00BE0CEC"/>
    <w:rsid w:val="00BE0E7A"/>
    <w:rsid w:val="00BE46E0"/>
    <w:rsid w:val="00BE4731"/>
    <w:rsid w:val="00BE4E42"/>
    <w:rsid w:val="00BF7191"/>
    <w:rsid w:val="00BF7A5B"/>
    <w:rsid w:val="00C00D1F"/>
    <w:rsid w:val="00C07049"/>
    <w:rsid w:val="00C10ADC"/>
    <w:rsid w:val="00C17C8D"/>
    <w:rsid w:val="00C21D22"/>
    <w:rsid w:val="00C23E19"/>
    <w:rsid w:val="00C31F66"/>
    <w:rsid w:val="00C32BBE"/>
    <w:rsid w:val="00C361EA"/>
    <w:rsid w:val="00C3627A"/>
    <w:rsid w:val="00C421C7"/>
    <w:rsid w:val="00C44029"/>
    <w:rsid w:val="00C4685F"/>
    <w:rsid w:val="00C4686F"/>
    <w:rsid w:val="00C515A8"/>
    <w:rsid w:val="00C5232F"/>
    <w:rsid w:val="00C6285D"/>
    <w:rsid w:val="00C64CEA"/>
    <w:rsid w:val="00C67806"/>
    <w:rsid w:val="00C67D1F"/>
    <w:rsid w:val="00C71227"/>
    <w:rsid w:val="00C73ED9"/>
    <w:rsid w:val="00C76E23"/>
    <w:rsid w:val="00C7772A"/>
    <w:rsid w:val="00C77EAA"/>
    <w:rsid w:val="00C80466"/>
    <w:rsid w:val="00C84F61"/>
    <w:rsid w:val="00C85AB5"/>
    <w:rsid w:val="00C92DA4"/>
    <w:rsid w:val="00C93887"/>
    <w:rsid w:val="00C939A4"/>
    <w:rsid w:val="00C948A2"/>
    <w:rsid w:val="00C97887"/>
    <w:rsid w:val="00CA23F8"/>
    <w:rsid w:val="00CA29C9"/>
    <w:rsid w:val="00CA2A1D"/>
    <w:rsid w:val="00CA5D75"/>
    <w:rsid w:val="00CA6F1B"/>
    <w:rsid w:val="00CA79EC"/>
    <w:rsid w:val="00CB1A9B"/>
    <w:rsid w:val="00CB1EDE"/>
    <w:rsid w:val="00CC07E7"/>
    <w:rsid w:val="00CC3AA9"/>
    <w:rsid w:val="00CC7681"/>
    <w:rsid w:val="00CD14AA"/>
    <w:rsid w:val="00CD15BE"/>
    <w:rsid w:val="00CD1A57"/>
    <w:rsid w:val="00CD2B31"/>
    <w:rsid w:val="00CD577D"/>
    <w:rsid w:val="00CE1AF1"/>
    <w:rsid w:val="00CF17AF"/>
    <w:rsid w:val="00CF2FDE"/>
    <w:rsid w:val="00CF650B"/>
    <w:rsid w:val="00CF6A20"/>
    <w:rsid w:val="00CF7891"/>
    <w:rsid w:val="00D0089E"/>
    <w:rsid w:val="00D00B79"/>
    <w:rsid w:val="00D013AF"/>
    <w:rsid w:val="00D013E6"/>
    <w:rsid w:val="00D01434"/>
    <w:rsid w:val="00D0302E"/>
    <w:rsid w:val="00D06164"/>
    <w:rsid w:val="00D06A34"/>
    <w:rsid w:val="00D1375C"/>
    <w:rsid w:val="00D22FDD"/>
    <w:rsid w:val="00D2698B"/>
    <w:rsid w:val="00D26BB6"/>
    <w:rsid w:val="00D26E6D"/>
    <w:rsid w:val="00D361CF"/>
    <w:rsid w:val="00D37153"/>
    <w:rsid w:val="00D3754E"/>
    <w:rsid w:val="00D467C3"/>
    <w:rsid w:val="00D47318"/>
    <w:rsid w:val="00D47F49"/>
    <w:rsid w:val="00D50633"/>
    <w:rsid w:val="00D51DB0"/>
    <w:rsid w:val="00D521C9"/>
    <w:rsid w:val="00D521DF"/>
    <w:rsid w:val="00D55B9E"/>
    <w:rsid w:val="00D6689C"/>
    <w:rsid w:val="00D76EB5"/>
    <w:rsid w:val="00D879D4"/>
    <w:rsid w:val="00D92B61"/>
    <w:rsid w:val="00D948A6"/>
    <w:rsid w:val="00D96E86"/>
    <w:rsid w:val="00DA1B3C"/>
    <w:rsid w:val="00DA2E39"/>
    <w:rsid w:val="00DA3B2B"/>
    <w:rsid w:val="00DB3DC5"/>
    <w:rsid w:val="00DB437A"/>
    <w:rsid w:val="00DB4CAA"/>
    <w:rsid w:val="00DB56D7"/>
    <w:rsid w:val="00DC03C5"/>
    <w:rsid w:val="00DC0BA7"/>
    <w:rsid w:val="00DC1464"/>
    <w:rsid w:val="00DD1FCB"/>
    <w:rsid w:val="00DD5B64"/>
    <w:rsid w:val="00DD74DF"/>
    <w:rsid w:val="00DE1903"/>
    <w:rsid w:val="00DE48FA"/>
    <w:rsid w:val="00DE6DD9"/>
    <w:rsid w:val="00DF1493"/>
    <w:rsid w:val="00DF1C56"/>
    <w:rsid w:val="00DF2AC9"/>
    <w:rsid w:val="00DF3FB4"/>
    <w:rsid w:val="00DF6558"/>
    <w:rsid w:val="00DF6ED0"/>
    <w:rsid w:val="00E027A1"/>
    <w:rsid w:val="00E03D9D"/>
    <w:rsid w:val="00E04EA0"/>
    <w:rsid w:val="00E12021"/>
    <w:rsid w:val="00E140BC"/>
    <w:rsid w:val="00E26824"/>
    <w:rsid w:val="00E3258D"/>
    <w:rsid w:val="00E34B9D"/>
    <w:rsid w:val="00E41680"/>
    <w:rsid w:val="00E466B5"/>
    <w:rsid w:val="00E54CF7"/>
    <w:rsid w:val="00E60E16"/>
    <w:rsid w:val="00E61B40"/>
    <w:rsid w:val="00E6241F"/>
    <w:rsid w:val="00E62935"/>
    <w:rsid w:val="00E639DA"/>
    <w:rsid w:val="00E66346"/>
    <w:rsid w:val="00E67F8E"/>
    <w:rsid w:val="00E735F0"/>
    <w:rsid w:val="00E75435"/>
    <w:rsid w:val="00E80C9B"/>
    <w:rsid w:val="00E81B45"/>
    <w:rsid w:val="00E82D34"/>
    <w:rsid w:val="00E91927"/>
    <w:rsid w:val="00E920B4"/>
    <w:rsid w:val="00E94266"/>
    <w:rsid w:val="00E95B60"/>
    <w:rsid w:val="00EA3860"/>
    <w:rsid w:val="00EA69A3"/>
    <w:rsid w:val="00EB09C5"/>
    <w:rsid w:val="00EB2399"/>
    <w:rsid w:val="00EC2FB1"/>
    <w:rsid w:val="00EC7041"/>
    <w:rsid w:val="00EC76E5"/>
    <w:rsid w:val="00ED025B"/>
    <w:rsid w:val="00ED3E6C"/>
    <w:rsid w:val="00ED4CA0"/>
    <w:rsid w:val="00ED726B"/>
    <w:rsid w:val="00ED730B"/>
    <w:rsid w:val="00EE2445"/>
    <w:rsid w:val="00EE7701"/>
    <w:rsid w:val="00EF2520"/>
    <w:rsid w:val="00EF4F07"/>
    <w:rsid w:val="00EF5DE6"/>
    <w:rsid w:val="00EF7259"/>
    <w:rsid w:val="00F0070E"/>
    <w:rsid w:val="00F07398"/>
    <w:rsid w:val="00F11EB2"/>
    <w:rsid w:val="00F128BC"/>
    <w:rsid w:val="00F2447F"/>
    <w:rsid w:val="00F2637D"/>
    <w:rsid w:val="00F27255"/>
    <w:rsid w:val="00F2788C"/>
    <w:rsid w:val="00F27CDE"/>
    <w:rsid w:val="00F310F1"/>
    <w:rsid w:val="00F319C1"/>
    <w:rsid w:val="00F3427D"/>
    <w:rsid w:val="00F34CE5"/>
    <w:rsid w:val="00F36BEB"/>
    <w:rsid w:val="00F53FF2"/>
    <w:rsid w:val="00F57D8D"/>
    <w:rsid w:val="00F72289"/>
    <w:rsid w:val="00F75DCB"/>
    <w:rsid w:val="00F75E7E"/>
    <w:rsid w:val="00F8026C"/>
    <w:rsid w:val="00F81481"/>
    <w:rsid w:val="00F81C09"/>
    <w:rsid w:val="00F82BD5"/>
    <w:rsid w:val="00F8415A"/>
    <w:rsid w:val="00F8600C"/>
    <w:rsid w:val="00F86A23"/>
    <w:rsid w:val="00F942D9"/>
    <w:rsid w:val="00F945C9"/>
    <w:rsid w:val="00F94E2C"/>
    <w:rsid w:val="00FA4A58"/>
    <w:rsid w:val="00FA4ED1"/>
    <w:rsid w:val="00FA6129"/>
    <w:rsid w:val="00FA7BBE"/>
    <w:rsid w:val="00FB127B"/>
    <w:rsid w:val="00FB2BF8"/>
    <w:rsid w:val="00FB40A5"/>
    <w:rsid w:val="00FB6EF1"/>
    <w:rsid w:val="00FB74C9"/>
    <w:rsid w:val="00FB7A50"/>
    <w:rsid w:val="00FB7E49"/>
    <w:rsid w:val="00FC029C"/>
    <w:rsid w:val="00FC6114"/>
    <w:rsid w:val="00FC6DDC"/>
    <w:rsid w:val="00FD061A"/>
    <w:rsid w:val="00FD08BB"/>
    <w:rsid w:val="00FD1AA8"/>
    <w:rsid w:val="00FD3E65"/>
    <w:rsid w:val="00FD78FF"/>
    <w:rsid w:val="00FE303F"/>
    <w:rsid w:val="00FE49E1"/>
    <w:rsid w:val="00FE5EC3"/>
    <w:rsid w:val="00FF56D8"/>
    <w:rsid w:val="00FF66B1"/>
    <w:rsid w:val="0167597C"/>
    <w:rsid w:val="01F706A0"/>
    <w:rsid w:val="02247C00"/>
    <w:rsid w:val="027D73D0"/>
    <w:rsid w:val="02AB5859"/>
    <w:rsid w:val="03724DC2"/>
    <w:rsid w:val="03B91593"/>
    <w:rsid w:val="03C9125E"/>
    <w:rsid w:val="049C4B75"/>
    <w:rsid w:val="04D55F53"/>
    <w:rsid w:val="055A2EEB"/>
    <w:rsid w:val="05676DC5"/>
    <w:rsid w:val="057F4A33"/>
    <w:rsid w:val="05D2664E"/>
    <w:rsid w:val="05F135A1"/>
    <w:rsid w:val="06561EA5"/>
    <w:rsid w:val="06C2675B"/>
    <w:rsid w:val="075229C8"/>
    <w:rsid w:val="07A7738A"/>
    <w:rsid w:val="08623875"/>
    <w:rsid w:val="08731BF6"/>
    <w:rsid w:val="08BB0434"/>
    <w:rsid w:val="090C6D26"/>
    <w:rsid w:val="094B3E82"/>
    <w:rsid w:val="0A7824C1"/>
    <w:rsid w:val="0AC26DD2"/>
    <w:rsid w:val="0B6401C9"/>
    <w:rsid w:val="0BB0129A"/>
    <w:rsid w:val="0C7E78F3"/>
    <w:rsid w:val="0CC628C9"/>
    <w:rsid w:val="0CD311BC"/>
    <w:rsid w:val="0D4449EB"/>
    <w:rsid w:val="0DB27AE8"/>
    <w:rsid w:val="0E473B4F"/>
    <w:rsid w:val="0EA4747F"/>
    <w:rsid w:val="0ED066C0"/>
    <w:rsid w:val="0EEA1655"/>
    <w:rsid w:val="10972A86"/>
    <w:rsid w:val="10CD64EC"/>
    <w:rsid w:val="12232B4B"/>
    <w:rsid w:val="129C1E08"/>
    <w:rsid w:val="12A82F25"/>
    <w:rsid w:val="12C90B36"/>
    <w:rsid w:val="12F87B99"/>
    <w:rsid w:val="13C33874"/>
    <w:rsid w:val="15726124"/>
    <w:rsid w:val="15A62A12"/>
    <w:rsid w:val="168D7F5A"/>
    <w:rsid w:val="16BC7F92"/>
    <w:rsid w:val="16F2632E"/>
    <w:rsid w:val="175F6344"/>
    <w:rsid w:val="19423B79"/>
    <w:rsid w:val="19444A96"/>
    <w:rsid w:val="1958495E"/>
    <w:rsid w:val="197E2DB2"/>
    <w:rsid w:val="1A9F0FBB"/>
    <w:rsid w:val="1B2D6A89"/>
    <w:rsid w:val="1B4048FD"/>
    <w:rsid w:val="1B8C157D"/>
    <w:rsid w:val="1BE665A6"/>
    <w:rsid w:val="1C4D68E1"/>
    <w:rsid w:val="1C940DEC"/>
    <w:rsid w:val="1CE132FB"/>
    <w:rsid w:val="1DBC141F"/>
    <w:rsid w:val="1DEF2790"/>
    <w:rsid w:val="1EF7134D"/>
    <w:rsid w:val="1F440D5A"/>
    <w:rsid w:val="1FB0480B"/>
    <w:rsid w:val="206A129F"/>
    <w:rsid w:val="20D77565"/>
    <w:rsid w:val="21052A91"/>
    <w:rsid w:val="211F0DDD"/>
    <w:rsid w:val="216E41EA"/>
    <w:rsid w:val="22C874A6"/>
    <w:rsid w:val="23343EBD"/>
    <w:rsid w:val="23AB5F34"/>
    <w:rsid w:val="24933D9A"/>
    <w:rsid w:val="24EC353B"/>
    <w:rsid w:val="252C7EA3"/>
    <w:rsid w:val="255F2169"/>
    <w:rsid w:val="26044A95"/>
    <w:rsid w:val="26391D9A"/>
    <w:rsid w:val="26B53665"/>
    <w:rsid w:val="26F3643B"/>
    <w:rsid w:val="2853062B"/>
    <w:rsid w:val="28C82E70"/>
    <w:rsid w:val="293E5BC0"/>
    <w:rsid w:val="29DA24B6"/>
    <w:rsid w:val="2A5F07B4"/>
    <w:rsid w:val="2AB7205F"/>
    <w:rsid w:val="2AB926B4"/>
    <w:rsid w:val="2BCE1579"/>
    <w:rsid w:val="2BFE3FC1"/>
    <w:rsid w:val="2C38244E"/>
    <w:rsid w:val="2CCE713C"/>
    <w:rsid w:val="2D384BE6"/>
    <w:rsid w:val="2D827134"/>
    <w:rsid w:val="2DDC30A9"/>
    <w:rsid w:val="2E477D89"/>
    <w:rsid w:val="2E4A1857"/>
    <w:rsid w:val="2E503E7D"/>
    <w:rsid w:val="2E5E4A71"/>
    <w:rsid w:val="2F271776"/>
    <w:rsid w:val="2F7D8B90"/>
    <w:rsid w:val="2F9C2EEA"/>
    <w:rsid w:val="30976526"/>
    <w:rsid w:val="30B25BB8"/>
    <w:rsid w:val="30E92185"/>
    <w:rsid w:val="30F25679"/>
    <w:rsid w:val="31251792"/>
    <w:rsid w:val="32966537"/>
    <w:rsid w:val="32A01AD8"/>
    <w:rsid w:val="33110D73"/>
    <w:rsid w:val="33214E92"/>
    <w:rsid w:val="34295EE8"/>
    <w:rsid w:val="343A0147"/>
    <w:rsid w:val="344F243E"/>
    <w:rsid w:val="34875125"/>
    <w:rsid w:val="3514590A"/>
    <w:rsid w:val="35291C30"/>
    <w:rsid w:val="35654DD8"/>
    <w:rsid w:val="356E24C0"/>
    <w:rsid w:val="35A4715D"/>
    <w:rsid w:val="35F0101B"/>
    <w:rsid w:val="36172DBE"/>
    <w:rsid w:val="36351A87"/>
    <w:rsid w:val="378954E1"/>
    <w:rsid w:val="39C96F14"/>
    <w:rsid w:val="39FA55B3"/>
    <w:rsid w:val="39FB45D1"/>
    <w:rsid w:val="3A754D83"/>
    <w:rsid w:val="3AF356B8"/>
    <w:rsid w:val="3B9D0477"/>
    <w:rsid w:val="3DC31CFA"/>
    <w:rsid w:val="3E3F566D"/>
    <w:rsid w:val="3EB416A8"/>
    <w:rsid w:val="3F3057E0"/>
    <w:rsid w:val="3F530DD0"/>
    <w:rsid w:val="3FFED83A"/>
    <w:rsid w:val="401A1067"/>
    <w:rsid w:val="40B77687"/>
    <w:rsid w:val="40C831E4"/>
    <w:rsid w:val="419E5AC0"/>
    <w:rsid w:val="41D60084"/>
    <w:rsid w:val="4256644E"/>
    <w:rsid w:val="425C7093"/>
    <w:rsid w:val="42C33D85"/>
    <w:rsid w:val="42CE1452"/>
    <w:rsid w:val="42D255B0"/>
    <w:rsid w:val="433836B0"/>
    <w:rsid w:val="434C7509"/>
    <w:rsid w:val="435650CB"/>
    <w:rsid w:val="43B30076"/>
    <w:rsid w:val="43CB67CB"/>
    <w:rsid w:val="43F10BCE"/>
    <w:rsid w:val="450668D4"/>
    <w:rsid w:val="45AE0142"/>
    <w:rsid w:val="4633059C"/>
    <w:rsid w:val="46CE2CA7"/>
    <w:rsid w:val="46F46B03"/>
    <w:rsid w:val="47CC134B"/>
    <w:rsid w:val="483957DD"/>
    <w:rsid w:val="48F71701"/>
    <w:rsid w:val="49243FE3"/>
    <w:rsid w:val="499A0D3D"/>
    <w:rsid w:val="49A56DCD"/>
    <w:rsid w:val="4A3E5517"/>
    <w:rsid w:val="4AD9092E"/>
    <w:rsid w:val="4AE96B37"/>
    <w:rsid w:val="4C2C72FD"/>
    <w:rsid w:val="4C2D5595"/>
    <w:rsid w:val="4CFE7822"/>
    <w:rsid w:val="4CFF5021"/>
    <w:rsid w:val="4D136516"/>
    <w:rsid w:val="4DB367FC"/>
    <w:rsid w:val="4DDE7BA0"/>
    <w:rsid w:val="4E06256F"/>
    <w:rsid w:val="4E390648"/>
    <w:rsid w:val="4E87655C"/>
    <w:rsid w:val="4F0419AE"/>
    <w:rsid w:val="4F5201F9"/>
    <w:rsid w:val="4FDC0616"/>
    <w:rsid w:val="50114449"/>
    <w:rsid w:val="50311C85"/>
    <w:rsid w:val="506C7E09"/>
    <w:rsid w:val="508F018D"/>
    <w:rsid w:val="5121070A"/>
    <w:rsid w:val="523A0370"/>
    <w:rsid w:val="52C1711F"/>
    <w:rsid w:val="52EF6698"/>
    <w:rsid w:val="534B52D9"/>
    <w:rsid w:val="53B5604A"/>
    <w:rsid w:val="54DF47F7"/>
    <w:rsid w:val="54FA64BB"/>
    <w:rsid w:val="55342F58"/>
    <w:rsid w:val="56AB4B86"/>
    <w:rsid w:val="56B74B2A"/>
    <w:rsid w:val="56EA43AC"/>
    <w:rsid w:val="57B443AC"/>
    <w:rsid w:val="584D65AC"/>
    <w:rsid w:val="588B1678"/>
    <w:rsid w:val="58D1346B"/>
    <w:rsid w:val="5A79301F"/>
    <w:rsid w:val="5A976724"/>
    <w:rsid w:val="5A9E0167"/>
    <w:rsid w:val="5AC96504"/>
    <w:rsid w:val="5AE76787"/>
    <w:rsid w:val="5B4E8D78"/>
    <w:rsid w:val="5B706C1D"/>
    <w:rsid w:val="5C0D2B9C"/>
    <w:rsid w:val="5CCD1FC6"/>
    <w:rsid w:val="5CE51340"/>
    <w:rsid w:val="5D544601"/>
    <w:rsid w:val="5D691498"/>
    <w:rsid w:val="5DAE6940"/>
    <w:rsid w:val="5DC7642D"/>
    <w:rsid w:val="5E56656D"/>
    <w:rsid w:val="5E912C51"/>
    <w:rsid w:val="5EF3F72B"/>
    <w:rsid w:val="5FABA5D7"/>
    <w:rsid w:val="5FC6AB53"/>
    <w:rsid w:val="60137736"/>
    <w:rsid w:val="608F5A37"/>
    <w:rsid w:val="60EC6DAD"/>
    <w:rsid w:val="62DA39B9"/>
    <w:rsid w:val="63B309D6"/>
    <w:rsid w:val="64507DAF"/>
    <w:rsid w:val="64F16C4C"/>
    <w:rsid w:val="652B6181"/>
    <w:rsid w:val="656D7EEE"/>
    <w:rsid w:val="661E0FCE"/>
    <w:rsid w:val="667E0569"/>
    <w:rsid w:val="66B24132"/>
    <w:rsid w:val="66F775D5"/>
    <w:rsid w:val="673D6885"/>
    <w:rsid w:val="675F0959"/>
    <w:rsid w:val="676B5F9F"/>
    <w:rsid w:val="6863198B"/>
    <w:rsid w:val="688C61FB"/>
    <w:rsid w:val="68C25EE1"/>
    <w:rsid w:val="69750821"/>
    <w:rsid w:val="69F80EBF"/>
    <w:rsid w:val="6A2743A0"/>
    <w:rsid w:val="6B2C7080"/>
    <w:rsid w:val="6B7C4F9C"/>
    <w:rsid w:val="6C081644"/>
    <w:rsid w:val="6CD00C61"/>
    <w:rsid w:val="6CFC0544"/>
    <w:rsid w:val="6D731BFD"/>
    <w:rsid w:val="6D992F3E"/>
    <w:rsid w:val="6DC7387C"/>
    <w:rsid w:val="6DF05626"/>
    <w:rsid w:val="6E93F51F"/>
    <w:rsid w:val="6F2B77E7"/>
    <w:rsid w:val="6F2D269D"/>
    <w:rsid w:val="6F2D57E1"/>
    <w:rsid w:val="6F5E2136"/>
    <w:rsid w:val="6F833348"/>
    <w:rsid w:val="6F8C1379"/>
    <w:rsid w:val="70707825"/>
    <w:rsid w:val="70D15413"/>
    <w:rsid w:val="70EE3B8D"/>
    <w:rsid w:val="70F62E59"/>
    <w:rsid w:val="714478CF"/>
    <w:rsid w:val="720E63B3"/>
    <w:rsid w:val="72E35762"/>
    <w:rsid w:val="731050C3"/>
    <w:rsid w:val="731E13CB"/>
    <w:rsid w:val="73D27167"/>
    <w:rsid w:val="73DE3477"/>
    <w:rsid w:val="73E15ECB"/>
    <w:rsid w:val="73FAA28E"/>
    <w:rsid w:val="74123B6B"/>
    <w:rsid w:val="748E546E"/>
    <w:rsid w:val="749A3B1A"/>
    <w:rsid w:val="74FC2115"/>
    <w:rsid w:val="74FE0468"/>
    <w:rsid w:val="75282994"/>
    <w:rsid w:val="75372FE6"/>
    <w:rsid w:val="754D0BD4"/>
    <w:rsid w:val="75DF4FFD"/>
    <w:rsid w:val="778E6DF0"/>
    <w:rsid w:val="77B62DE7"/>
    <w:rsid w:val="77CAE8D5"/>
    <w:rsid w:val="77DFA610"/>
    <w:rsid w:val="77FC1AF0"/>
    <w:rsid w:val="77FEBF81"/>
    <w:rsid w:val="78963B10"/>
    <w:rsid w:val="78EB75F2"/>
    <w:rsid w:val="792D7742"/>
    <w:rsid w:val="79890082"/>
    <w:rsid w:val="7989335D"/>
    <w:rsid w:val="79D363DB"/>
    <w:rsid w:val="7A0F243F"/>
    <w:rsid w:val="7A2717A2"/>
    <w:rsid w:val="7AA2429A"/>
    <w:rsid w:val="7ABB2F24"/>
    <w:rsid w:val="7B7E0FEA"/>
    <w:rsid w:val="7B800B47"/>
    <w:rsid w:val="7BEF91D4"/>
    <w:rsid w:val="7CDB1F9F"/>
    <w:rsid w:val="7D341813"/>
    <w:rsid w:val="7D847E3E"/>
    <w:rsid w:val="7E824852"/>
    <w:rsid w:val="7E986CEF"/>
    <w:rsid w:val="7EDB598E"/>
    <w:rsid w:val="7EE43D2C"/>
    <w:rsid w:val="7F294E83"/>
    <w:rsid w:val="7F3E39E4"/>
    <w:rsid w:val="7F474D32"/>
    <w:rsid w:val="7FFF9922"/>
    <w:rsid w:val="7FFFB0FD"/>
    <w:rsid w:val="8FCFBBB4"/>
    <w:rsid w:val="8FED23DD"/>
    <w:rsid w:val="9D7E961F"/>
    <w:rsid w:val="BBE9C648"/>
    <w:rsid w:val="BBF1EFEA"/>
    <w:rsid w:val="BBF74B3C"/>
    <w:rsid w:val="BD7B268A"/>
    <w:rsid w:val="C7FE5B44"/>
    <w:rsid w:val="CFE6C04E"/>
    <w:rsid w:val="DE39776A"/>
    <w:rsid w:val="DFFF89BE"/>
    <w:rsid w:val="E9F946D6"/>
    <w:rsid w:val="ED5F102E"/>
    <w:rsid w:val="F06DFF69"/>
    <w:rsid w:val="F31F2C6C"/>
    <w:rsid w:val="FB21B558"/>
    <w:rsid w:val="FEFEAFE5"/>
    <w:rsid w:val="FF7FDCEC"/>
    <w:rsid w:val="FFBD073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50" w:beforeLines="50" w:after="50" w:afterLines="50"/>
      <w:jc w:val="left"/>
      <w:outlineLvl w:val="0"/>
    </w:pPr>
    <w:rPr>
      <w:rFonts w:eastAsia="黑体"/>
      <w:b/>
      <w:bCs/>
      <w:kern w:val="44"/>
      <w:sz w:val="30"/>
      <w:szCs w:val="44"/>
    </w:rPr>
  </w:style>
  <w:style w:type="paragraph" w:styleId="3">
    <w:name w:val="heading 2"/>
    <w:basedOn w:val="1"/>
    <w:next w:val="1"/>
    <w:link w:val="24"/>
    <w:qFormat/>
    <w:uiPriority w:val="0"/>
    <w:pPr>
      <w:keepNext/>
      <w:keepLines/>
      <w:spacing w:before="260" w:after="260" w:line="413" w:lineRule="auto"/>
      <w:outlineLvl w:val="1"/>
    </w:pPr>
    <w:rPr>
      <w:rFonts w:ascii="Calibri Light" w:hAnsi="Calibri Light"/>
      <w:b/>
      <w:bCs/>
      <w:sz w:val="32"/>
      <w:szCs w:val="32"/>
    </w:rPr>
  </w:style>
  <w:style w:type="paragraph" w:styleId="4">
    <w:name w:val="heading 3"/>
    <w:basedOn w:val="1"/>
    <w:next w:val="1"/>
    <w:qFormat/>
    <w:uiPriority w:val="0"/>
    <w:pPr>
      <w:keepNext/>
      <w:keepLines/>
      <w:jc w:val="left"/>
      <w:outlineLvl w:val="2"/>
    </w:pPr>
    <w:rPr>
      <w:rFonts w:eastAsia="黑体"/>
      <w:bCs/>
      <w:sz w:val="28"/>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28"/>
    <w:unhideWhenUsed/>
    <w:qFormat/>
    <w:uiPriority w:val="99"/>
    <w:rPr>
      <w:rFonts w:ascii="Helvetica" w:hAnsi="Helvetica"/>
      <w:sz w:val="24"/>
      <w:szCs w:val="24"/>
    </w:rPr>
  </w:style>
  <w:style w:type="paragraph" w:styleId="6">
    <w:name w:val="annotation text"/>
    <w:basedOn w:val="1"/>
    <w:link w:val="30"/>
    <w:qFormat/>
    <w:uiPriority w:val="0"/>
    <w:pPr>
      <w:jc w:val="left"/>
    </w:pPr>
    <w:rPr>
      <w:rFonts w:ascii="Times New Roman" w:hAnsi="Times New Roman"/>
      <w:szCs w:val="24"/>
    </w:rPr>
  </w:style>
  <w:style w:type="paragraph" w:styleId="7">
    <w:name w:val="Body Text"/>
    <w:basedOn w:val="1"/>
    <w:qFormat/>
    <w:uiPriority w:val="1"/>
    <w:rPr>
      <w:rFonts w:ascii="宋体" w:hAnsi="宋体" w:cs="宋体"/>
      <w:sz w:val="24"/>
      <w:szCs w:val="24"/>
      <w:lang w:val="zh-CN" w:bidi="zh-CN"/>
    </w:rPr>
  </w:style>
  <w:style w:type="paragraph" w:styleId="8">
    <w:name w:val="toc 3"/>
    <w:basedOn w:val="1"/>
    <w:next w:val="1"/>
    <w:unhideWhenUsed/>
    <w:qFormat/>
    <w:uiPriority w:val="39"/>
    <w:pPr>
      <w:ind w:left="840" w:leftChars="400"/>
    </w:pPr>
  </w:style>
  <w:style w:type="paragraph" w:styleId="9">
    <w:name w:val="Balloon Text"/>
    <w:basedOn w:val="1"/>
    <w:qFormat/>
    <w:uiPriority w:val="0"/>
    <w:rPr>
      <w:sz w:val="18"/>
      <w:szCs w:val="18"/>
    </w:rPr>
  </w:style>
  <w:style w:type="paragraph" w:styleId="10">
    <w:name w:val="footer"/>
    <w:basedOn w:val="1"/>
    <w:link w:val="32"/>
    <w:qFormat/>
    <w:uiPriority w:val="99"/>
    <w:pPr>
      <w:tabs>
        <w:tab w:val="center" w:pos="4153"/>
        <w:tab w:val="right" w:pos="8306"/>
      </w:tabs>
      <w:snapToGrid w:val="0"/>
      <w:jc w:val="left"/>
    </w:pPr>
    <w:rPr>
      <w:sz w:val="18"/>
      <w:szCs w:val="18"/>
    </w:rPr>
  </w:style>
  <w:style w:type="paragraph" w:styleId="11">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style>
  <w:style w:type="paragraph" w:styleId="13">
    <w:name w:val="toc 2"/>
    <w:basedOn w:val="1"/>
    <w:next w:val="1"/>
    <w:unhideWhenUsed/>
    <w:qFormat/>
    <w:uiPriority w:val="39"/>
    <w:pPr>
      <w:ind w:left="420" w:leftChars="200"/>
    </w:pPr>
  </w:style>
  <w:style w:type="paragraph" w:styleId="14">
    <w:name w:val="Normal (Web)"/>
    <w:basedOn w:val="1"/>
    <w:semiHidden/>
    <w:unhideWhenUsed/>
    <w:qFormat/>
    <w:uiPriority w:val="99"/>
    <w:pPr>
      <w:spacing w:beforeAutospacing="1" w:afterAutospacing="1"/>
      <w:jc w:val="left"/>
    </w:pPr>
    <w:rPr>
      <w:kern w:val="0"/>
      <w:sz w:val="24"/>
      <w:szCs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8">
    <w:name w:val="Hyperlink"/>
    <w:unhideWhenUsed/>
    <w:qFormat/>
    <w:uiPriority w:val="99"/>
    <w:rPr>
      <w:color w:val="0563C1"/>
      <w:u w:val="single"/>
    </w:rPr>
  </w:style>
  <w:style w:type="character" w:styleId="19">
    <w:name w:val="annotation reference"/>
    <w:basedOn w:val="17"/>
    <w:semiHidden/>
    <w:unhideWhenUsed/>
    <w:qFormat/>
    <w:uiPriority w:val="99"/>
    <w:rPr>
      <w:sz w:val="21"/>
      <w:szCs w:val="21"/>
    </w:rPr>
  </w:style>
  <w:style w:type="character" w:customStyle="1" w:styleId="20">
    <w:name w:val="fontstyle41"/>
    <w:qFormat/>
    <w:uiPriority w:val="0"/>
    <w:rPr>
      <w:rFonts w:hint="eastAsia" w:ascii="仿宋_GB2312" w:hAnsi="仿宋_GB2312" w:eastAsia="仿宋_GB2312"/>
      <w:color w:val="000000"/>
      <w:sz w:val="32"/>
      <w:szCs w:val="32"/>
    </w:rPr>
  </w:style>
  <w:style w:type="character" w:customStyle="1" w:styleId="21">
    <w:name w:val="批注引用1"/>
    <w:qFormat/>
    <w:uiPriority w:val="0"/>
    <w:rPr>
      <w:sz w:val="21"/>
      <w:szCs w:val="21"/>
    </w:rPr>
  </w:style>
  <w:style w:type="character" w:customStyle="1" w:styleId="22">
    <w:name w:val="日期 字符"/>
    <w:basedOn w:val="17"/>
    <w:link w:val="23"/>
    <w:qFormat/>
    <w:uiPriority w:val="0"/>
  </w:style>
  <w:style w:type="paragraph" w:customStyle="1" w:styleId="23">
    <w:name w:val="日期1"/>
    <w:basedOn w:val="1"/>
    <w:next w:val="1"/>
    <w:link w:val="22"/>
    <w:qFormat/>
    <w:uiPriority w:val="0"/>
    <w:pPr>
      <w:ind w:left="100" w:leftChars="2500"/>
    </w:pPr>
  </w:style>
  <w:style w:type="character" w:customStyle="1" w:styleId="24">
    <w:name w:val="标题 2 Char"/>
    <w:link w:val="3"/>
    <w:qFormat/>
    <w:uiPriority w:val="0"/>
    <w:rPr>
      <w:rFonts w:ascii="Calibri Light" w:hAnsi="Calibri Light" w:eastAsia="宋体" w:cs="Times New Roman"/>
      <w:b/>
      <w:bCs/>
      <w:sz w:val="32"/>
      <w:szCs w:val="32"/>
    </w:rPr>
  </w:style>
  <w:style w:type="character" w:customStyle="1" w:styleId="25">
    <w:name w:val="fontstyle01"/>
    <w:qFormat/>
    <w:uiPriority w:val="0"/>
    <w:rPr>
      <w:rFonts w:hint="eastAsia" w:ascii="宋体" w:hAnsi="宋体" w:eastAsia="宋体"/>
      <w:color w:val="000000"/>
      <w:sz w:val="44"/>
      <w:szCs w:val="44"/>
    </w:rPr>
  </w:style>
  <w:style w:type="character" w:customStyle="1" w:styleId="26">
    <w:name w:val="fontstyle31"/>
    <w:qFormat/>
    <w:uiPriority w:val="0"/>
    <w:rPr>
      <w:rFonts w:hint="eastAsia" w:ascii="仿宋_GB2312" w:eastAsia="仿宋_GB2312"/>
      <w:color w:val="000000"/>
      <w:sz w:val="32"/>
      <w:szCs w:val="32"/>
    </w:rPr>
  </w:style>
  <w:style w:type="character" w:customStyle="1" w:styleId="27">
    <w:name w:val="页眉 Char"/>
    <w:link w:val="11"/>
    <w:qFormat/>
    <w:uiPriority w:val="0"/>
    <w:rPr>
      <w:sz w:val="18"/>
      <w:szCs w:val="18"/>
    </w:rPr>
  </w:style>
  <w:style w:type="character" w:customStyle="1" w:styleId="28">
    <w:name w:val="文档结构图 Char"/>
    <w:link w:val="5"/>
    <w:semiHidden/>
    <w:qFormat/>
    <w:uiPriority w:val="99"/>
    <w:rPr>
      <w:rFonts w:ascii="Helvetica" w:hAnsi="Helvetica"/>
      <w:kern w:val="2"/>
      <w:sz w:val="24"/>
      <w:szCs w:val="24"/>
    </w:rPr>
  </w:style>
  <w:style w:type="character" w:customStyle="1" w:styleId="29">
    <w:name w:val="页脚 字符"/>
    <w:qFormat/>
    <w:uiPriority w:val="0"/>
    <w:rPr>
      <w:sz w:val="18"/>
      <w:szCs w:val="18"/>
    </w:rPr>
  </w:style>
  <w:style w:type="character" w:customStyle="1" w:styleId="30">
    <w:name w:val="批注文字 Char"/>
    <w:link w:val="6"/>
    <w:qFormat/>
    <w:uiPriority w:val="0"/>
    <w:rPr>
      <w:rFonts w:ascii="Times New Roman" w:hAnsi="Times New Roman" w:eastAsia="宋体" w:cs="Times New Roman"/>
      <w:szCs w:val="24"/>
    </w:rPr>
  </w:style>
  <w:style w:type="character" w:customStyle="1" w:styleId="31">
    <w:name w:val="fontstyle11"/>
    <w:qFormat/>
    <w:uiPriority w:val="0"/>
    <w:rPr>
      <w:rFonts w:hint="eastAsia" w:ascii="黑体" w:hAnsi="黑体" w:eastAsia="黑体"/>
      <w:color w:val="000000"/>
      <w:sz w:val="32"/>
      <w:szCs w:val="32"/>
    </w:rPr>
  </w:style>
  <w:style w:type="character" w:customStyle="1" w:styleId="32">
    <w:name w:val="页脚 Char"/>
    <w:link w:val="10"/>
    <w:qFormat/>
    <w:uiPriority w:val="99"/>
    <w:rPr>
      <w:sz w:val="18"/>
      <w:szCs w:val="18"/>
    </w:rPr>
  </w:style>
  <w:style w:type="paragraph" w:customStyle="1" w:styleId="33">
    <w:name w:val="目录标题1"/>
    <w:basedOn w:val="2"/>
    <w:next w:val="1"/>
    <w:unhideWhenUsed/>
    <w:qFormat/>
    <w:uiPriority w:val="39"/>
    <w:pPr>
      <w:widowControl/>
      <w:spacing w:before="240" w:beforeLines="0" w:after="0" w:afterLines="0" w:line="259" w:lineRule="auto"/>
      <w:outlineLvl w:val="9"/>
    </w:pPr>
    <w:rPr>
      <w:rFonts w:ascii="Cambria" w:hAnsi="Cambria" w:eastAsia="宋体"/>
      <w:b w:val="0"/>
      <w:bCs w:val="0"/>
      <w:color w:val="366091"/>
      <w:kern w:val="0"/>
      <w:sz w:val="32"/>
      <w:szCs w:val="32"/>
    </w:rPr>
  </w:style>
  <w:style w:type="paragraph" w:customStyle="1" w:styleId="34">
    <w:name w:val="彩色底纹1"/>
    <w:unhideWhenUsed/>
    <w:qFormat/>
    <w:uiPriority w:val="62"/>
    <w:rPr>
      <w:rFonts w:ascii="Calibri" w:hAnsi="Calibri" w:eastAsia="宋体" w:cs="Times New Roman"/>
      <w:kern w:val="2"/>
      <w:sz w:val="21"/>
      <w:szCs w:val="22"/>
      <w:lang w:val="en-US" w:eastAsia="zh-CN" w:bidi="ar-SA"/>
    </w:rPr>
  </w:style>
  <w:style w:type="paragraph" w:customStyle="1" w:styleId="35">
    <w:name w:val="条文正文多级"/>
    <w:basedOn w:val="1"/>
    <w:next w:val="1"/>
    <w:qFormat/>
    <w:uiPriority w:val="0"/>
    <w:pPr>
      <w:numPr>
        <w:ilvl w:val="2"/>
        <w:numId w:val="1"/>
      </w:numPr>
      <w:spacing w:line="360" w:lineRule="auto"/>
    </w:pPr>
    <w:rPr>
      <w:rFonts w:ascii="宋体" w:hAnsi="宋体" w:cs="黑体"/>
      <w:szCs w:val="24"/>
    </w:rPr>
  </w:style>
  <w:style w:type="paragraph" w:customStyle="1" w:styleId="36">
    <w:name w:val="列出段落1"/>
    <w:basedOn w:val="1"/>
    <w:qFormat/>
    <w:uiPriority w:val="0"/>
    <w:pPr>
      <w:ind w:firstLine="420" w:firstLineChars="200"/>
    </w:pPr>
  </w:style>
  <w:style w:type="paragraph" w:customStyle="1" w:styleId="37">
    <w:name w:val="彩色底纹 - 着色 1"/>
    <w:unhideWhenUsed/>
    <w:qFormat/>
    <w:uiPriority w:val="62"/>
    <w:rPr>
      <w:rFonts w:ascii="Calibri" w:hAnsi="Calibri" w:eastAsia="宋体" w:cs="Times New Roman"/>
      <w:kern w:val="2"/>
      <w:sz w:val="21"/>
      <w:szCs w:val="22"/>
      <w:lang w:val="en-US" w:eastAsia="zh-CN" w:bidi="ar-SA"/>
    </w:rPr>
  </w:style>
  <w:style w:type="paragraph" w:customStyle="1" w:styleId="38">
    <w:name w:val="中等深浅列表 2 - 着色 21"/>
    <w:unhideWhenUsed/>
    <w:qFormat/>
    <w:uiPriority w:val="71"/>
    <w:rPr>
      <w:rFonts w:ascii="Calibri" w:hAnsi="Calibri" w:eastAsia="宋体" w:cs="Times New Roman"/>
      <w:kern w:val="2"/>
      <w:sz w:val="21"/>
      <w:szCs w:val="22"/>
      <w:lang w:val="en-US" w:eastAsia="zh-CN" w:bidi="ar-SA"/>
    </w:rPr>
  </w:style>
  <w:style w:type="paragraph" w:customStyle="1" w:styleId="39">
    <w:name w:val="列出段落2"/>
    <w:basedOn w:val="1"/>
    <w:qFormat/>
    <w:uiPriority w:val="0"/>
    <w:pPr>
      <w:ind w:firstLine="420" w:firstLineChars="200"/>
    </w:pPr>
  </w:style>
  <w:style w:type="paragraph" w:customStyle="1" w:styleId="40">
    <w:name w:val="Table Paragraph"/>
    <w:basedOn w:val="1"/>
    <w:qFormat/>
    <w:uiPriority w:val="1"/>
    <w:rPr>
      <w:rFonts w:ascii="仿宋_GB2312" w:hAnsi="仿宋_GB2312" w:eastAsia="仿宋_GB2312" w:cs="仿宋_GB2312"/>
      <w:lang w:val="zh-CN" w:bidi="zh-CN"/>
    </w:rPr>
  </w:style>
  <w:style w:type="paragraph" w:customStyle="1" w:styleId="41">
    <w:name w:val="批注主题1"/>
    <w:basedOn w:val="6"/>
    <w:next w:val="6"/>
    <w:qFormat/>
    <w:uiPriority w:val="0"/>
    <w:rPr>
      <w:rFonts w:ascii="Calibri" w:hAnsi="Calibri"/>
      <w:b/>
      <w:bCs/>
      <w:szCs w:val="22"/>
    </w:rPr>
  </w:style>
  <w:style w:type="character" w:customStyle="1" w:styleId="42">
    <w:name w:val="15"/>
    <w:basedOn w:val="17"/>
    <w:qFormat/>
    <w:uiPriority w:val="0"/>
    <w:rPr>
      <w:rFonts w:hint="default" w:asci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42</Pages>
  <Words>18213</Words>
  <Characters>18853</Characters>
  <Lines>160</Lines>
  <Paragraphs>45</Paragraphs>
  <TotalTime>0</TotalTime>
  <ScaleCrop>false</ScaleCrop>
  <LinksUpToDate>false</LinksUpToDate>
  <CharactersWithSpaces>18921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2019-06-15T15:13:00Z</dcterms:created>
  <dc:creator>JackYang</dc:creator>
  <cp:lastModifiedBy>舒明峰</cp:lastModifiedBy>
  <cp:lastPrinted>2022-06-08T21:59:00Z</cp:lastPrinted>
  <dcterms:modified xsi:type="dcterms:W3CDTF">2022-06-28T08:20:04Z</dcterms:modified>
  <dc:title>Linq</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74EE5DC103E144E591C54F5FBCF480CA</vt:lpwstr>
  </property>
</Properties>
</file>