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8"/>
          <w:szCs w:val="48"/>
          <w:lang w:val="en-US" w:eastAsia="zh-CN"/>
        </w:rPr>
      </w:pPr>
      <w:bookmarkStart w:id="0" w:name="_GoBack"/>
      <w:r>
        <w:rPr>
          <w:rFonts w:hint="eastAsia" w:ascii="宋体" w:hAnsi="宋体" w:eastAsia="宋体" w:cs="宋体"/>
          <w:b/>
          <w:bCs/>
          <w:sz w:val="48"/>
          <w:szCs w:val="48"/>
          <w:lang w:val="en-US" w:eastAsia="zh-CN"/>
        </w:rPr>
        <w:t>2021年</w:t>
      </w:r>
      <w:r>
        <w:rPr>
          <w:rFonts w:hint="eastAsia" w:ascii="宋体" w:hAnsi="宋体" w:cs="宋体"/>
          <w:b/>
          <w:bCs/>
          <w:sz w:val="48"/>
          <w:szCs w:val="48"/>
          <w:lang w:val="en-US" w:eastAsia="zh-CN"/>
        </w:rPr>
        <w:t>深圳市</w:t>
      </w:r>
      <w:r>
        <w:rPr>
          <w:rFonts w:hint="eastAsia" w:ascii="宋体" w:hAnsi="宋体" w:eastAsia="宋体" w:cs="宋体"/>
          <w:b/>
          <w:bCs/>
          <w:sz w:val="48"/>
          <w:szCs w:val="48"/>
          <w:lang w:val="en-US" w:eastAsia="zh-CN"/>
        </w:rPr>
        <w:t>罗湖区财政局部门预算</w:t>
      </w:r>
    </w:p>
    <w:bookmarkEnd w:id="0"/>
    <w:p>
      <w:pPr>
        <w:pStyle w:val="9"/>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8"/>
          <w:szCs w:val="48"/>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b/>
          <w:bCs/>
          <w:sz w:val="44"/>
          <w:szCs w:val="44"/>
          <w:lang w:val="en-US" w:eastAsia="zh-CN"/>
        </w:rPr>
      </w:pPr>
      <w:r>
        <w:rPr>
          <w:rFonts w:hint="eastAsia"/>
          <w:b/>
          <w:bCs/>
          <w:sz w:val="44"/>
          <w:szCs w:val="44"/>
          <w:lang w:val="en-US" w:eastAsia="zh-CN"/>
        </w:rPr>
        <w:t>目 录</w:t>
      </w:r>
    </w:p>
    <w:p>
      <w:pPr>
        <w:pStyle w:val="9"/>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b/>
          <w:bCs/>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b/>
          <w:bCs/>
          <w:sz w:val="32"/>
          <w:szCs w:val="32"/>
        </w:rPr>
      </w:pPr>
      <w:r>
        <w:rPr>
          <w:b/>
          <w:bCs/>
          <w:sz w:val="32"/>
          <w:szCs w:val="32"/>
        </w:rPr>
        <w:t>第一部分 部门概况</w:t>
      </w:r>
    </w:p>
    <w:p>
      <w:pPr>
        <w:pStyle w:val="9"/>
        <w:keepNext w:val="0"/>
        <w:keepLines w:val="0"/>
        <w:widowControl/>
        <w:suppressLineNumbers w:val="0"/>
        <w:jc w:val="left"/>
        <w:rPr>
          <w:b/>
          <w:bCs/>
          <w:sz w:val="32"/>
          <w:szCs w:val="32"/>
        </w:rPr>
      </w:pPr>
      <w:r>
        <w:rPr>
          <w:b/>
          <w:bCs/>
          <w:sz w:val="32"/>
          <w:szCs w:val="32"/>
        </w:rPr>
        <w:t>第二部分 部门预算收支总体情况</w:t>
      </w:r>
    </w:p>
    <w:p>
      <w:pPr>
        <w:pStyle w:val="9"/>
        <w:keepNext w:val="0"/>
        <w:keepLines w:val="0"/>
        <w:widowControl/>
        <w:suppressLineNumbers w:val="0"/>
        <w:jc w:val="left"/>
        <w:rPr>
          <w:b/>
          <w:bCs/>
          <w:sz w:val="32"/>
          <w:szCs w:val="32"/>
        </w:rPr>
      </w:pPr>
      <w:r>
        <w:rPr>
          <w:b/>
          <w:bCs/>
          <w:sz w:val="32"/>
          <w:szCs w:val="32"/>
        </w:rPr>
        <w:t>第三部分 部门预算支出具体情况</w:t>
      </w:r>
    </w:p>
    <w:p>
      <w:pPr>
        <w:pStyle w:val="9"/>
        <w:keepNext w:val="0"/>
        <w:keepLines w:val="0"/>
        <w:widowControl/>
        <w:suppressLineNumbers w:val="0"/>
        <w:jc w:val="left"/>
        <w:rPr>
          <w:b/>
          <w:bCs/>
          <w:sz w:val="32"/>
          <w:szCs w:val="32"/>
        </w:rPr>
      </w:pPr>
      <w:r>
        <w:rPr>
          <w:b/>
          <w:bCs/>
          <w:sz w:val="32"/>
          <w:szCs w:val="32"/>
        </w:rPr>
        <w:t>第四部分 政府采购预算情况</w:t>
      </w:r>
    </w:p>
    <w:p>
      <w:pPr>
        <w:pStyle w:val="9"/>
        <w:keepNext w:val="0"/>
        <w:keepLines w:val="0"/>
        <w:widowControl/>
        <w:suppressLineNumbers w:val="0"/>
        <w:jc w:val="left"/>
        <w:rPr>
          <w:b/>
          <w:bCs/>
          <w:sz w:val="32"/>
          <w:szCs w:val="32"/>
        </w:rPr>
      </w:pPr>
      <w:r>
        <w:rPr>
          <w:b/>
          <w:bCs/>
          <w:sz w:val="32"/>
          <w:szCs w:val="32"/>
        </w:rPr>
        <w:t xml:space="preserve">第五部分 </w:t>
      </w:r>
      <w:r>
        <w:rPr>
          <w:rFonts w:hint="eastAsia"/>
          <w:b/>
          <w:bCs/>
          <w:sz w:val="32"/>
          <w:szCs w:val="32"/>
          <w:lang w:val="en-US" w:eastAsia="zh-CN"/>
        </w:rPr>
        <w:t>一般公共预算</w:t>
      </w:r>
      <w:r>
        <w:rPr>
          <w:b/>
          <w:bCs/>
          <w:sz w:val="32"/>
          <w:szCs w:val="32"/>
        </w:rPr>
        <w:t>“三公”经费预算情况</w:t>
      </w:r>
    </w:p>
    <w:p>
      <w:pPr>
        <w:pStyle w:val="9"/>
        <w:keepNext w:val="0"/>
        <w:keepLines w:val="0"/>
        <w:widowControl/>
        <w:suppressLineNumbers w:val="0"/>
        <w:jc w:val="left"/>
        <w:rPr>
          <w:b/>
          <w:bCs/>
          <w:sz w:val="32"/>
          <w:szCs w:val="32"/>
        </w:rPr>
      </w:pPr>
      <w:r>
        <w:rPr>
          <w:b/>
          <w:bCs/>
          <w:sz w:val="32"/>
          <w:szCs w:val="32"/>
        </w:rPr>
        <w:t>第六部分 部门预算绩效管理情况</w:t>
      </w:r>
    </w:p>
    <w:p>
      <w:pPr>
        <w:pStyle w:val="9"/>
        <w:keepNext w:val="0"/>
        <w:keepLines w:val="0"/>
        <w:widowControl/>
        <w:suppressLineNumbers w:val="0"/>
        <w:jc w:val="left"/>
        <w:rPr>
          <w:b/>
          <w:bCs/>
          <w:sz w:val="32"/>
          <w:szCs w:val="32"/>
        </w:rPr>
      </w:pPr>
      <w:r>
        <w:rPr>
          <w:b/>
          <w:bCs/>
          <w:sz w:val="32"/>
          <w:szCs w:val="32"/>
        </w:rPr>
        <w:t>第七部分 其他需要说明情况</w:t>
      </w:r>
    </w:p>
    <w:p>
      <w:pPr>
        <w:pStyle w:val="9"/>
        <w:keepNext w:val="0"/>
        <w:keepLines w:val="0"/>
        <w:widowControl/>
        <w:suppressLineNumbers w:val="0"/>
        <w:jc w:val="left"/>
        <w:rPr>
          <w:b/>
          <w:bCs/>
          <w:sz w:val="32"/>
          <w:szCs w:val="32"/>
        </w:rPr>
      </w:pPr>
      <w:r>
        <w:rPr>
          <w:b/>
          <w:bCs/>
          <w:sz w:val="32"/>
          <w:szCs w:val="32"/>
        </w:rPr>
        <w:t>第八部分 名词解释</w:t>
      </w:r>
    </w:p>
    <w:p>
      <w:pPr>
        <w:spacing w:line="420" w:lineRule="exact"/>
        <w:rPr>
          <w:rFonts w:hint="eastAsia" w:ascii="宋体" w:hAnsi="宋体" w:eastAsia="宋体"/>
          <w:sz w:val="32"/>
          <w:szCs w:val="32"/>
          <w:lang w:val="en-US" w:eastAsia="zh-CN"/>
        </w:rPr>
      </w:pPr>
    </w:p>
    <w:p>
      <w:pPr>
        <w:spacing w:line="420" w:lineRule="exact"/>
        <w:rPr>
          <w:rFonts w:hint="eastAsia" w:ascii="宋体" w:hAnsi="宋体" w:eastAsia="宋体"/>
          <w:sz w:val="32"/>
          <w:szCs w:val="32"/>
          <w:lang w:val="en-US" w:eastAsia="zh-CN"/>
        </w:rPr>
      </w:pPr>
    </w:p>
    <w:p>
      <w:pPr>
        <w:spacing w:line="420" w:lineRule="exact"/>
        <w:rPr>
          <w:rFonts w:hint="eastAsia" w:ascii="宋体" w:hAnsi="宋体" w:eastAsia="宋体"/>
          <w:sz w:val="32"/>
          <w:szCs w:val="32"/>
          <w:lang w:val="en-US" w:eastAsia="zh-CN"/>
        </w:rPr>
      </w:pPr>
    </w:p>
    <w:p>
      <w:pPr>
        <w:spacing w:line="420" w:lineRule="exact"/>
        <w:rPr>
          <w:rFonts w:hint="eastAsia" w:ascii="宋体" w:hAnsi="宋体" w:eastAsia="宋体"/>
          <w:sz w:val="32"/>
          <w:szCs w:val="32"/>
          <w:lang w:val="en-US" w:eastAsia="zh-CN"/>
        </w:rPr>
      </w:pPr>
    </w:p>
    <w:p>
      <w:pPr>
        <w:pStyle w:val="2"/>
        <w:jc w:val="center"/>
        <w:rPr>
          <w:rFonts w:hint="eastAsia" w:ascii="宋体" w:hAnsi="宋体"/>
          <w:sz w:val="32"/>
          <w:szCs w:val="32"/>
        </w:rPr>
      </w:pPr>
      <w:r>
        <w:rPr>
          <w:rFonts w:hint="eastAsia" w:ascii="宋体" w:hAnsi="宋体" w:eastAsia="宋体" w:cs="Times New Roman"/>
          <w:b w:val="0"/>
          <w:kern w:val="2"/>
          <w:sz w:val="32"/>
          <w:szCs w:val="32"/>
          <w:lang w:val="en-US" w:eastAsia="zh-CN" w:bidi="ar-SA"/>
        </w:rPr>
        <w:t>2021年深圳市罗湖区财政局部门预算</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p>
    <w:p>
      <w:pPr>
        <w:pStyle w:val="3"/>
        <w:jc w:val="center"/>
        <w:rPr>
          <w:rFonts w:hint="eastAsia" w:ascii="黑体" w:hAnsi="宋体" w:eastAsia="黑体" w:cs="Times New Roman"/>
          <w:b w:val="0"/>
          <w:kern w:val="2"/>
          <w:sz w:val="28"/>
          <w:szCs w:val="28"/>
          <w:lang w:val="en-US" w:eastAsia="zh-CN" w:bidi="ar-SA"/>
        </w:rPr>
      </w:pPr>
      <w:r>
        <w:rPr>
          <w:rFonts w:hint="eastAsia" w:ascii="黑体" w:hAnsi="宋体" w:cs="Times New Roman"/>
          <w:b w:val="0"/>
          <w:kern w:val="2"/>
          <w:sz w:val="28"/>
          <w:szCs w:val="28"/>
          <w:lang w:val="en-US" w:eastAsia="zh-CN" w:bidi="ar-SA"/>
        </w:rPr>
        <w:t>第一部分</w:t>
      </w:r>
      <w:r>
        <w:rPr>
          <w:rFonts w:hint="eastAsia" w:ascii="黑体" w:hAnsi="宋体" w:eastAsia="黑体" w:cs="Times New Roman"/>
          <w:b w:val="0"/>
          <w:kern w:val="2"/>
          <w:sz w:val="28"/>
          <w:szCs w:val="28"/>
          <w:lang w:val="en-US" w:eastAsia="zh-CN" w:bidi="ar-SA"/>
        </w:rPr>
        <w:t xml:space="preserve"> </w:t>
      </w:r>
      <w:r>
        <w:rPr>
          <w:rFonts w:hint="eastAsia" w:ascii="黑体" w:hAnsi="宋体" w:cs="Times New Roman"/>
          <w:b w:val="0"/>
          <w:kern w:val="2"/>
          <w:sz w:val="28"/>
          <w:szCs w:val="28"/>
          <w:lang w:val="en-US" w:eastAsia="zh-CN" w:bidi="ar-SA"/>
        </w:rPr>
        <w:t xml:space="preserve"> </w:t>
      </w:r>
      <w:r>
        <w:rPr>
          <w:rFonts w:hint="eastAsia" w:ascii="黑体" w:hAnsi="宋体" w:eastAsia="黑体" w:cs="Times New Roman"/>
          <w:b w:val="0"/>
          <w:kern w:val="2"/>
          <w:sz w:val="28"/>
          <w:szCs w:val="28"/>
          <w:lang w:val="en-US" w:eastAsia="zh-CN" w:bidi="ar-SA"/>
        </w:rPr>
        <w:t>部门概况</w:t>
      </w:r>
    </w:p>
    <w:p>
      <w:pPr>
        <w:rPr>
          <w:rFonts w:hint="eastAsia"/>
        </w:rPr>
      </w:pP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s="Times New Roman"/>
          <w:b/>
          <w:szCs w:val="21"/>
          <w:lang w:val="en-US" w:eastAsia="zh-CN"/>
        </w:rPr>
      </w:pPr>
      <w:r>
        <w:rPr>
          <w:rFonts w:hint="eastAsia" w:ascii="宋体" w:hAnsi="宋体" w:cs="Times New Roman"/>
          <w:b/>
          <w:szCs w:val="21"/>
          <w:lang w:val="en-US" w:eastAsia="zh-CN"/>
        </w:rPr>
        <w:t>一、主要职能</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000000"/>
          <w:szCs w:val="21"/>
        </w:rPr>
      </w:pPr>
      <w:r>
        <w:rPr>
          <w:rFonts w:hint="eastAsia" w:ascii="宋体" w:hAnsi="宋体"/>
          <w:color w:val="000000" w:themeColor="text1"/>
          <w:szCs w:val="21"/>
          <w14:textFill>
            <w14:solidFill>
              <w14:schemeClr w14:val="tx1"/>
            </w14:solidFill>
          </w14:textFill>
        </w:rPr>
        <w:t>罗湖区财政局为罗湖区政府直属正处级财政全额拨款行政单位, 内设</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个科室</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分别为：办公室、预算科、国库科、行政事业财务管理科、基建财务管理科、会计事务和资产管理科、财政监督和预算绩效管理科以及政府采购管理办公室，下设2个事业单位，分别为深圳市罗湖区政府合同履约检查中心以及深圳市罗湖区财政投资评审中心，2个下属事业单位均为非独立核算。</w:t>
      </w:r>
      <w:r>
        <w:rPr>
          <w:rFonts w:hint="eastAsia" w:ascii="宋体" w:hAnsi="宋体"/>
          <w:color w:val="000000" w:themeColor="text1"/>
          <w:szCs w:val="21"/>
          <w14:textFill>
            <w14:solidFill>
              <w14:schemeClr w14:val="tx1"/>
            </w14:solidFill>
          </w14:textFill>
        </w:rPr>
        <w:t>主要职责是</w:t>
      </w:r>
      <w:r>
        <w:rPr>
          <w:rFonts w:hint="eastAsia" w:ascii="宋体" w:hAnsi="宋体"/>
          <w:color w:val="000000"/>
          <w:szCs w:val="21"/>
        </w:rPr>
        <w:t>：贯彻执行国家、省、市财政、税收、行政事业单位国有资产管理、会计管理、政府采购等方面的方针政策、法律法规规章和有关制度，制定我区相关实施办法和制度；拟订我区有关财税政策、规划及财政预算管理制度，经批准后组织实施；</w:t>
      </w:r>
      <w:r>
        <w:rPr>
          <w:rFonts w:hint="eastAsia" w:ascii="宋体" w:hAnsi="宋体"/>
          <w:color w:val="000000"/>
          <w:szCs w:val="21"/>
          <w:lang w:val="en-US" w:eastAsia="zh-CN"/>
        </w:rPr>
        <w:t>负责</w:t>
      </w:r>
      <w:r>
        <w:rPr>
          <w:rFonts w:hint="eastAsia" w:ascii="宋体" w:hAnsi="宋体"/>
          <w:color w:val="000000"/>
          <w:szCs w:val="21"/>
        </w:rPr>
        <w:t>本级财政收支管理；实施财政国库管理制度；监管区属机关事业单位财务活动；负责本区预算绩效管理；监管政府采购活动；管理本区地方政府债务；负责政府投资项目资金和财务管理；管理本区会计事务工作；负责全区政府合同监管工作</w:t>
      </w:r>
      <w:r>
        <w:rPr>
          <w:rFonts w:hint="eastAsia" w:ascii="宋体" w:hAnsi="宋体"/>
          <w:color w:val="000000"/>
          <w:szCs w:val="21"/>
          <w:lang w:eastAsia="zh-CN"/>
        </w:rPr>
        <w:t>；</w:t>
      </w:r>
      <w:r>
        <w:rPr>
          <w:rFonts w:hint="eastAsia" w:ascii="宋体" w:hAnsi="宋体"/>
          <w:color w:val="000000"/>
          <w:szCs w:val="21"/>
          <w:lang w:val="en-US" w:eastAsia="zh-CN"/>
        </w:rPr>
        <w:t>负责财政投资评审工作</w:t>
      </w:r>
      <w:r>
        <w:rPr>
          <w:rFonts w:hint="eastAsia" w:ascii="宋体" w:hAnsi="宋体"/>
          <w:color w:val="000000"/>
          <w:szCs w:val="21"/>
        </w:rPr>
        <w:t>。</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s="Times New Roman"/>
          <w:b/>
          <w:szCs w:val="21"/>
          <w:lang w:val="en-US" w:eastAsia="zh-CN"/>
        </w:rPr>
      </w:pPr>
      <w:r>
        <w:rPr>
          <w:rFonts w:hint="eastAsia" w:ascii="宋体" w:hAnsi="宋体" w:cs="Times New Roman"/>
          <w:b/>
          <w:szCs w:val="21"/>
          <w:lang w:val="en-US" w:eastAsia="zh-CN"/>
        </w:rPr>
        <w:t>二、机构编制及交通工具情况</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rPr>
      </w:pPr>
      <w:r>
        <w:rPr>
          <w:rFonts w:hint="eastAsia" w:ascii="宋体" w:hAnsi="宋体" w:cs="Times New Roman"/>
          <w:szCs w:val="21"/>
          <w:lang w:val="en-US" w:eastAsia="zh-CN"/>
        </w:rPr>
        <w:t>深圳市罗湖区财政局行政编制数36人，实有在编人数36人；事业编制数23人，实有在编人数19人；离休0人，退休26人。从基本支出工资福利列支的雇员4人。已实行公务用车改革，实有车辆4辆，包括定编车辆4辆和非定编车辆0辆。</w:t>
      </w:r>
      <w:r>
        <w:rPr>
          <w:rFonts w:hint="eastAsia" w:ascii="宋体" w:hAnsi="宋体" w:cs="Times New Roman"/>
          <w:szCs w:val="21"/>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s="Times New Roman"/>
          <w:b/>
          <w:szCs w:val="21"/>
          <w:lang w:val="en-US" w:eastAsia="zh-CN"/>
        </w:rPr>
      </w:pPr>
      <w:r>
        <w:rPr>
          <w:rFonts w:hint="eastAsia" w:ascii="宋体" w:hAnsi="宋体" w:cs="Times New Roman"/>
          <w:b/>
          <w:szCs w:val="21"/>
          <w:lang w:val="en-US" w:eastAsia="zh-CN"/>
        </w:rPr>
        <w:t>三、2021年主要工作目标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深圳市罗湖区财政局2021年主要工作目标包括：做好全年收入管理工作；完善预算执行管理工作；强化财政监督，提高预算绩效管理工作实施效果；扎实开展合同履约监管，提升财政资金效益；落实公共资源交易改革，加强采购监管；做好会计事务，提升资产管理效能；推进智慧财政系统上线，提高财政信息化智能化水平；深入开展政府投资评审，为国资投建工程保驾护航。</w:t>
      </w:r>
    </w:p>
    <w:p>
      <w:pPr>
        <w:spacing w:line="420" w:lineRule="exact"/>
        <w:ind w:firstLine="422" w:firstLineChars="200"/>
        <w:rPr>
          <w:rFonts w:hint="eastAsia" w:ascii="宋体" w:hAnsi="宋体"/>
          <w:b/>
          <w:i w:val="0"/>
          <w:iCs w:val="0"/>
          <w:color w:val="FF0000"/>
          <w:sz w:val="21"/>
          <w:szCs w:val="21"/>
          <w:u w:val="single"/>
        </w:rPr>
      </w:pPr>
    </w:p>
    <w:p>
      <w:pPr>
        <w:pStyle w:val="3"/>
        <w:jc w:val="center"/>
        <w:rPr>
          <w:rFonts w:hint="eastAsia" w:ascii="黑体" w:hAnsi="宋体" w:cs="Times New Roman"/>
          <w:b w:val="0"/>
          <w:kern w:val="2"/>
          <w:sz w:val="28"/>
          <w:szCs w:val="28"/>
          <w:lang w:val="en-US" w:eastAsia="zh-CN" w:bidi="ar-SA"/>
        </w:rPr>
      </w:pPr>
      <w:r>
        <w:rPr>
          <w:rFonts w:hint="eastAsia" w:ascii="黑体" w:hAnsi="宋体" w:cs="Times New Roman"/>
          <w:b w:val="0"/>
          <w:kern w:val="2"/>
          <w:sz w:val="28"/>
          <w:szCs w:val="28"/>
          <w:lang w:val="en-US" w:eastAsia="zh-CN" w:bidi="ar-SA"/>
        </w:rPr>
        <w:t>第二部分  部门预算收支总体情况</w:t>
      </w: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szCs w:val="21"/>
          <w:lang w:val="en-US" w:eastAsia="zh-CN"/>
        </w:rPr>
        <w:t>2021年深圳市罗湖区财政局部门预算收入5,026.40万元，比2020年增加1,388.04 万元，增长38.15%，</w:t>
      </w:r>
      <w:r>
        <w:rPr>
          <w:rFonts w:hint="eastAsia" w:ascii="宋体" w:hAnsi="宋体" w:cs="Times New Roman"/>
          <w:color w:val="000000" w:themeColor="text1"/>
          <w:szCs w:val="21"/>
          <w:highlight w:val="none"/>
          <w:lang w:val="en-US" w:eastAsia="zh-CN"/>
          <w14:textFill>
            <w14:solidFill>
              <w14:schemeClr w14:val="tx1"/>
            </w14:solidFill>
          </w14:textFill>
        </w:rPr>
        <w:t>均为政府预算拨款5,026.40万元。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szCs w:val="21"/>
          <w:lang w:val="en-US" w:eastAsia="zh-CN"/>
        </w:rPr>
      </w:pPr>
      <w:r>
        <w:rPr>
          <w:rFonts w:hint="eastAsia" w:ascii="宋体" w:hAnsi="宋体" w:cs="Times New Roman"/>
          <w:color w:val="000000" w:themeColor="text1"/>
          <w:szCs w:val="21"/>
          <w:lang w:val="en-US" w:eastAsia="zh-CN"/>
          <w14:textFill>
            <w14:solidFill>
              <w14:schemeClr w14:val="tx1"/>
            </w14:solidFill>
          </w14:textFill>
        </w:rPr>
        <w:t>2021年深圳市罗湖区财政局部门预算支出5,026.40万元，比2020年增加1,388.04 万元，增长38.15%。其中：人员支出2,099.47万元、公用支出178.72万元、对个人和家庭的补助支出214.13</w:t>
      </w:r>
      <w:r>
        <w:rPr>
          <w:rFonts w:hint="eastAsia" w:ascii="宋体" w:hAnsi="宋体" w:cs="Times New Roman"/>
          <w:szCs w:val="21"/>
          <w:lang w:val="en-US" w:eastAsia="zh-CN"/>
        </w:rPr>
        <w:t>万元、项目支出2,534.08万元。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default" w:ascii="宋体" w:hAnsi="宋体" w:cs="Times New Roman"/>
          <w:szCs w:val="21"/>
          <w:lang w:val="en-US" w:eastAsia="zh-CN"/>
        </w:rPr>
      </w:pPr>
      <w:r>
        <w:rPr>
          <w:rFonts w:hint="eastAsia" w:ascii="宋体" w:hAnsi="宋体" w:cs="Times New Roman"/>
          <w:szCs w:val="21"/>
          <w:lang w:val="en-US" w:eastAsia="zh-CN"/>
        </w:rPr>
        <w:t>预算收支增加主要原因说明：</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2021年部门预算增加的主要原因是机构改革新增下属事业单位产生的业务费用和公用经费，智慧财政建设及新增预算单位国库支付手续费等经费。</w:t>
      </w:r>
    </w:p>
    <w:p>
      <w:pPr>
        <w:rPr>
          <w:rFonts w:hint="eastAsia"/>
        </w:rPr>
      </w:pPr>
    </w:p>
    <w:p>
      <w:pPr>
        <w:pStyle w:val="3"/>
        <w:jc w:val="center"/>
        <w:rPr>
          <w:rFonts w:hint="eastAsia" w:ascii="黑体" w:hAnsi="宋体" w:cs="Times New Roman"/>
          <w:b w:val="0"/>
          <w:kern w:val="2"/>
          <w:sz w:val="28"/>
          <w:szCs w:val="28"/>
          <w:lang w:val="en-US" w:eastAsia="zh-CN" w:bidi="ar-SA"/>
        </w:rPr>
      </w:pPr>
      <w:r>
        <w:rPr>
          <w:rFonts w:hint="eastAsia" w:ascii="黑体" w:hAnsi="宋体" w:cs="Times New Roman"/>
          <w:b w:val="0"/>
          <w:kern w:val="2"/>
          <w:sz w:val="28"/>
          <w:szCs w:val="28"/>
          <w:lang w:val="en-US" w:eastAsia="zh-CN" w:bidi="ar-SA"/>
        </w:rPr>
        <w:t>第三部分  部门预算支出具体情况</w:t>
      </w: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深圳市罗湖区财政局预算5,026.40万元，包括人员支出2,099.47万元、公用支出178.72万元、对个人和家庭的补助支出214.13万元、项目支出2,534.08万元。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（一）人员支出2,099.47万元，主要是在职人员工资福利支出。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（二）公用支出178.72万元，主要包括公用综合定额经费、水电费、物业管理费、车辆运行维护费和工会经费等公用经费。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（三）对个人和家庭补助支出214.13万元，主要是离退休人员经费。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（四）项目支出2,534.08万元，具体包括：</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lang w:val="en-US" w:eastAsia="zh-CN"/>
        </w:rPr>
      </w:pPr>
      <w:r>
        <w:rPr>
          <w:rFonts w:hint="eastAsia" w:ascii="宋体" w:hAnsi="宋体"/>
          <w:sz w:val="21"/>
          <w:szCs w:val="21"/>
          <w:highlight w:val="none"/>
          <w:lang w:val="en-US" w:eastAsia="zh-CN"/>
        </w:rPr>
        <w:t>法律事务66.00万元，</w:t>
      </w:r>
      <w:r>
        <w:rPr>
          <w:rFonts w:hint="eastAsia" w:ascii="宋体" w:hAnsi="宋体"/>
          <w:color w:val="auto"/>
          <w:sz w:val="21"/>
          <w:szCs w:val="21"/>
          <w:highlight w:val="none"/>
          <w:lang w:val="en-US" w:eastAsia="zh-CN"/>
        </w:rPr>
        <w:t>主要用于</w:t>
      </w:r>
      <w:r>
        <w:rPr>
          <w:rFonts w:hint="eastAsia" w:ascii="宋体" w:hAnsi="宋体" w:cs="Times New Roman"/>
          <w:color w:val="auto"/>
          <w:sz w:val="21"/>
          <w:szCs w:val="21"/>
          <w:lang w:val="en-US" w:eastAsia="zh-CN"/>
        </w:rPr>
        <w:t>购买法律服务经费。</w:t>
      </w:r>
      <w:r>
        <w:rPr>
          <w:rFonts w:hint="eastAsia" w:ascii="宋体" w:hAnsi="宋体"/>
          <w:color w:val="auto"/>
          <w:szCs w:val="21"/>
          <w:highlight w:val="none"/>
          <w:lang w:val="en-US" w:eastAsia="zh-CN"/>
        </w:rPr>
        <w:cr/>
      </w:r>
      <w:r>
        <w:rPr>
          <w:rFonts w:hint="eastAsia" w:ascii="宋体" w:hAnsi="宋体"/>
          <w:color w:val="auto"/>
          <w:szCs w:val="21"/>
          <w:highlight w:val="none"/>
          <w:lang w:val="en-US" w:eastAsia="zh-CN"/>
        </w:rPr>
        <w:t>
  党政事务5.87万元，主要用于基层党组织党建工作经费。</w:t>
      </w:r>
      <w:r>
        <w:rPr>
          <w:rFonts w:hint="eastAsia" w:ascii="宋体" w:hAnsi="宋体"/>
          <w:color w:val="auto"/>
          <w:szCs w:val="21"/>
          <w:highlight w:val="none"/>
          <w:lang w:val="en-US" w:eastAsia="zh-CN"/>
        </w:rPr>
        <w:cr/>
      </w:r>
      <w:r>
        <w:rPr>
          <w:rFonts w:hint="eastAsia" w:ascii="宋体" w:hAnsi="宋体"/>
          <w:color w:val="auto"/>
          <w:szCs w:val="21"/>
          <w:highlight w:val="none"/>
          <w:lang w:val="en-US" w:eastAsia="zh-CN"/>
        </w:rPr>
        <w:t>
  后勤保障20.75万元，主要用于办公耗材、办公设备购置、日常运行保障等。</w:t>
      </w:r>
      <w:r>
        <w:rPr>
          <w:rFonts w:hint="eastAsia" w:ascii="宋体" w:hAnsi="宋体"/>
          <w:color w:val="auto"/>
          <w:szCs w:val="21"/>
          <w:highlight w:val="none"/>
          <w:lang w:val="en-US" w:eastAsia="zh-CN"/>
        </w:rPr>
        <w:cr/>
      </w:r>
      <w:r>
        <w:rPr>
          <w:rFonts w:hint="eastAsia" w:ascii="宋体" w:hAnsi="宋体"/>
          <w:color w:val="auto"/>
          <w:szCs w:val="21"/>
          <w:highlight w:val="none"/>
          <w:lang w:val="en-US" w:eastAsia="zh-CN"/>
        </w:rPr>
        <w:t>
  其他管理事务337.31万元，主要用于辅助性人力资源、项目库管理运维技术服务、全区国有资产管理和内控管理等工作经费。</w:t>
      </w:r>
      <w:r>
        <w:rPr>
          <w:rFonts w:hint="eastAsia" w:ascii="宋体" w:hAnsi="宋体"/>
          <w:color w:val="auto"/>
          <w:szCs w:val="21"/>
          <w:highlight w:val="none"/>
          <w:lang w:val="en-US" w:eastAsia="zh-CN"/>
        </w:rPr>
        <w:cr/>
      </w:r>
      <w:r>
        <w:rPr>
          <w:rFonts w:hint="eastAsia" w:ascii="宋体" w:hAnsi="宋体"/>
          <w:color w:val="auto"/>
          <w:szCs w:val="21"/>
          <w:highlight w:val="none"/>
          <w:lang w:val="en-US" w:eastAsia="zh-CN"/>
        </w:rPr>
        <w:t>
  扶贫工作30.60万元，主要用于对口扶贫经费。</w:t>
      </w:r>
      <w:r>
        <w:rPr>
          <w:rFonts w:hint="eastAsia" w:ascii="宋体" w:hAnsi="宋体"/>
          <w:color w:val="auto"/>
          <w:szCs w:val="21"/>
          <w:highlight w:val="none"/>
          <w:lang w:val="en-US" w:eastAsia="zh-CN"/>
        </w:rPr>
        <w:cr/>
      </w:r>
      <w:r>
        <w:rPr>
          <w:rFonts w:hint="eastAsia" w:ascii="宋体" w:hAnsi="宋体"/>
          <w:color w:val="auto"/>
          <w:szCs w:val="21"/>
          <w:highlight w:val="none"/>
          <w:lang w:val="en-US" w:eastAsia="zh-CN"/>
        </w:rPr>
        <w:t>
  债务管理88.00万元，主要用于地方政府专项债券发行工作经费。</w:t>
      </w:r>
      <w:r>
        <w:rPr>
          <w:rFonts w:hint="eastAsia" w:ascii="宋体" w:hAnsi="宋体"/>
          <w:color w:val="auto"/>
          <w:szCs w:val="21"/>
          <w:highlight w:val="none"/>
          <w:lang w:val="en-US" w:eastAsia="zh-CN"/>
        </w:rPr>
        <w:cr/>
      </w:r>
      <w:r>
        <w:rPr>
          <w:rFonts w:hint="eastAsia" w:ascii="宋体" w:hAnsi="宋体"/>
          <w:color w:val="auto"/>
          <w:szCs w:val="21"/>
          <w:highlight w:val="none"/>
          <w:lang w:val="en-US" w:eastAsia="zh-CN"/>
        </w:rPr>
        <w:t>
  部门预算69.75万元，主要用于经费部门预算编制等印刷、集中汇审及财政供养人员信息汇审经费。</w:t>
      </w:r>
      <w:r>
        <w:rPr>
          <w:rFonts w:hint="eastAsia" w:ascii="宋体" w:hAnsi="宋体"/>
          <w:color w:val="auto"/>
          <w:szCs w:val="21"/>
          <w:highlight w:val="none"/>
          <w:lang w:val="en-US" w:eastAsia="zh-CN"/>
        </w:rPr>
        <w:cr/>
      </w:r>
      <w:r>
        <w:rPr>
          <w:rFonts w:hint="eastAsia" w:ascii="宋体" w:hAnsi="宋体"/>
          <w:color w:val="auto"/>
          <w:szCs w:val="21"/>
          <w:highlight w:val="none"/>
          <w:lang w:val="en-US" w:eastAsia="zh-CN"/>
        </w:rPr>
        <w:t>
  财政资金管理1,030.30万元，主要用于国库业务管理、“智慧财政”项目建设等经费。</w:t>
      </w:r>
      <w:r>
        <w:rPr>
          <w:rFonts w:hint="eastAsia" w:ascii="宋体" w:hAnsi="宋体"/>
          <w:color w:val="auto"/>
          <w:szCs w:val="21"/>
          <w:highlight w:val="none"/>
          <w:lang w:val="en-US" w:eastAsia="zh-CN"/>
        </w:rPr>
        <w:cr/>
      </w:r>
      <w:r>
        <w:rPr>
          <w:rFonts w:hint="eastAsia" w:ascii="宋体" w:hAnsi="宋体"/>
          <w:color w:val="auto"/>
          <w:szCs w:val="21"/>
          <w:highlight w:val="none"/>
          <w:lang w:val="en-US" w:eastAsia="zh-CN"/>
        </w:rPr>
        <w:t>
  预算绩效管理制度建设102.06万元，主要用于财政监督和预算绩效管理工作经费。</w:t>
      </w:r>
      <w:r>
        <w:rPr>
          <w:rFonts w:hint="eastAsia" w:ascii="宋体" w:hAnsi="宋体"/>
          <w:color w:val="auto"/>
          <w:szCs w:val="21"/>
          <w:highlight w:val="none"/>
          <w:lang w:val="en-US" w:eastAsia="zh-CN"/>
        </w:rPr>
        <w:cr/>
      </w:r>
      <w:r>
        <w:rPr>
          <w:rFonts w:hint="eastAsia" w:ascii="宋体" w:hAnsi="宋体"/>
          <w:color w:val="auto"/>
          <w:szCs w:val="21"/>
          <w:highlight w:val="none"/>
          <w:lang w:val="en-US" w:eastAsia="zh-CN"/>
        </w:rPr>
        <w:t>
  监督采购计划执行8.60万元，主要用于政府采购监督管理经费。</w:t>
      </w:r>
      <w:r>
        <w:rPr>
          <w:rFonts w:hint="eastAsia" w:ascii="宋体" w:hAnsi="宋体"/>
          <w:color w:val="auto"/>
          <w:szCs w:val="21"/>
          <w:highlight w:val="none"/>
          <w:lang w:val="en-US" w:eastAsia="zh-CN"/>
        </w:rPr>
        <w:cr/>
      </w:r>
      <w:r>
        <w:rPr>
          <w:rFonts w:hint="eastAsia" w:ascii="宋体" w:hAnsi="宋体"/>
          <w:color w:val="auto"/>
          <w:szCs w:val="21"/>
          <w:highlight w:val="none"/>
          <w:lang w:val="en-US" w:eastAsia="zh-CN"/>
        </w:rPr>
        <w:t>
  合同履约监督检查及评价137.54万元，主要用于合同后续监管经费。</w:t>
      </w:r>
      <w:r>
        <w:rPr>
          <w:rFonts w:hint="eastAsia" w:ascii="宋体" w:hAnsi="宋体"/>
          <w:color w:val="auto"/>
          <w:szCs w:val="21"/>
          <w:highlight w:val="none"/>
          <w:lang w:val="en-US" w:eastAsia="zh-CN"/>
        </w:rPr>
        <w:cr/>
      </w:r>
      <w:r>
        <w:rPr>
          <w:rFonts w:hint="eastAsia" w:ascii="宋体" w:hAnsi="宋体"/>
          <w:color w:val="auto"/>
          <w:szCs w:val="21"/>
          <w:highlight w:val="none"/>
          <w:lang w:val="en-US" w:eastAsia="zh-CN"/>
        </w:rPr>
        <w:t>
  预算准备金70.00万元，主要用于不可预见的政策性支出经费。</w:t>
      </w:r>
      <w:r>
        <w:rPr>
          <w:rFonts w:hint="eastAsia" w:ascii="宋体" w:hAnsi="宋体"/>
          <w:color w:val="auto"/>
          <w:szCs w:val="21"/>
          <w:highlight w:val="none"/>
          <w:lang w:val="en-US" w:eastAsia="zh-CN"/>
        </w:rPr>
        <w:cr/>
      </w:r>
      <w:r>
        <w:rPr>
          <w:rFonts w:hint="eastAsia" w:ascii="宋体" w:hAnsi="宋体"/>
          <w:color w:val="auto"/>
          <w:szCs w:val="21"/>
          <w:highlight w:val="none"/>
          <w:lang w:val="en-US" w:eastAsia="zh-CN"/>
        </w:rPr>
        <w:t>
  干部健康管理10.90万元，主要用于干部健康管理。</w:t>
      </w:r>
      <w:r>
        <w:rPr>
          <w:rFonts w:hint="eastAsia" w:ascii="宋体" w:hAnsi="宋体"/>
          <w:color w:val="auto"/>
          <w:szCs w:val="21"/>
          <w:highlight w:val="none"/>
          <w:lang w:val="en-US" w:eastAsia="zh-CN"/>
        </w:rPr>
        <w:cr/>
      </w:r>
      <w:r>
        <w:rPr>
          <w:rFonts w:hint="eastAsia" w:ascii="宋体" w:hAnsi="宋体"/>
          <w:color w:val="auto"/>
          <w:szCs w:val="21"/>
          <w:highlight w:val="none"/>
          <w:lang w:val="en-US" w:eastAsia="zh-CN"/>
        </w:rPr>
        <w:t>
  财政投资评审556.41万元，主要用于项目审核经费。</w:t>
      </w:r>
      <w:r>
        <w:rPr>
          <w:rFonts w:hint="eastAsia" w:ascii="宋体" w:hAnsi="宋体"/>
          <w:color w:val="auto"/>
          <w:szCs w:val="21"/>
          <w:highlight w:val="none"/>
          <w:lang w:val="en-US" w:eastAsia="zh-CN"/>
        </w:rPr>
        <w:cr/>
      </w:r>
      <w:r>
        <w:rPr>
          <w:rFonts w:hint="eastAsia" w:ascii="宋体" w:hAnsi="宋体"/>
          <w:color w:val="auto"/>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b/>
          <w:bCs w:val="0"/>
          <w:i w:val="0"/>
          <w:iCs/>
          <w:color w:val="auto"/>
          <w:szCs w:val="21"/>
          <w:u w:val="none"/>
          <w:lang w:val="en-US" w:eastAsia="zh-CN"/>
        </w:rPr>
      </w:pPr>
    </w:p>
    <w:p>
      <w:pPr>
        <w:pStyle w:val="3"/>
        <w:jc w:val="center"/>
        <w:rPr>
          <w:rFonts w:hint="eastAsia" w:ascii="黑体" w:hAnsi="宋体" w:cs="Times New Roman"/>
          <w:b w:val="0"/>
          <w:color w:val="auto"/>
          <w:kern w:val="2"/>
          <w:sz w:val="28"/>
          <w:szCs w:val="28"/>
          <w:lang w:val="en-US" w:eastAsia="zh-CN" w:bidi="ar-SA"/>
        </w:rPr>
      </w:pPr>
      <w:r>
        <w:rPr>
          <w:rFonts w:hint="eastAsia" w:ascii="黑体" w:hAnsi="宋体" w:cs="Times New Roman"/>
          <w:b w:val="0"/>
          <w:color w:val="auto"/>
          <w:kern w:val="2"/>
          <w:sz w:val="28"/>
          <w:szCs w:val="28"/>
          <w:lang w:val="en-US" w:eastAsia="zh-CN" w:bidi="ar-SA"/>
        </w:rPr>
        <w:t>第四部分  政府采购预算情况</w:t>
      </w:r>
    </w:p>
    <w:p>
      <w:pPr>
        <w:rPr>
          <w:rFonts w:hint="eastAsia"/>
          <w:color w:val="auto"/>
        </w:rPr>
      </w:pPr>
    </w:p>
    <w:p>
      <w:pPr>
        <w:spacing w:line="420" w:lineRule="exact"/>
        <w:ind w:firstLine="420" w:firstLineChars="200"/>
        <w:rPr>
          <w:rFonts w:hint="eastAsia" w:ascii="宋体" w:hAnsi="宋体"/>
          <w:bCs/>
          <w:color w:val="auto"/>
          <w:szCs w:val="21"/>
          <w:highlight w:val="none"/>
        </w:rPr>
      </w:pPr>
      <w:r>
        <w:rPr>
          <w:rFonts w:hint="eastAsia" w:ascii="宋体" w:hAnsi="宋体" w:cs="Times New Roman"/>
          <w:color w:val="auto"/>
          <w:szCs w:val="21"/>
          <w:highlight w:val="none"/>
          <w:lang w:val="en-US" w:eastAsia="zh-CN"/>
        </w:rPr>
        <w:t>深圳市罗湖区财政局</w:t>
      </w:r>
      <w:r>
        <w:rPr>
          <w:rFonts w:hint="eastAsia" w:ascii="宋体" w:hAnsi="宋体"/>
          <w:bCs/>
          <w:color w:val="auto"/>
          <w:szCs w:val="21"/>
          <w:highlight w:val="none"/>
        </w:rPr>
        <w:t>政府采购项目纳入2021年部门预算共计</w:t>
      </w:r>
      <w:r>
        <w:rPr>
          <w:rFonts w:hint="eastAsia" w:ascii="宋体" w:hAnsi="宋体"/>
          <w:bCs/>
          <w:color w:val="auto"/>
          <w:szCs w:val="21"/>
          <w:highlight w:val="none"/>
          <w:lang w:val="en-US" w:eastAsia="zh-CN"/>
        </w:rPr>
        <w:t>260.00</w:t>
      </w:r>
      <w:r>
        <w:rPr>
          <w:rFonts w:hint="eastAsia" w:ascii="宋体" w:hAnsi="宋体"/>
          <w:bCs/>
          <w:color w:val="auto"/>
          <w:szCs w:val="21"/>
          <w:highlight w:val="none"/>
        </w:rPr>
        <w:t>万元</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实际支付指标260.00</w:t>
      </w:r>
      <w:r>
        <w:rPr>
          <w:rFonts w:hint="eastAsia" w:ascii="宋体" w:hAnsi="宋体" w:cs="Times New Roman"/>
          <w:color w:val="auto"/>
          <w:szCs w:val="21"/>
          <w:highlight w:val="none"/>
          <w:lang w:val="en-US" w:eastAsia="zh-CN"/>
        </w:rPr>
        <w:t>万元）</w:t>
      </w:r>
      <w:r>
        <w:rPr>
          <w:rFonts w:hint="eastAsia" w:ascii="宋体" w:hAnsi="宋体"/>
          <w:bCs/>
          <w:color w:val="auto"/>
          <w:szCs w:val="21"/>
          <w:highlight w:val="none"/>
        </w:rPr>
        <w:t>，其中货物采购</w:t>
      </w:r>
      <w:r>
        <w:rPr>
          <w:rFonts w:hint="eastAsia" w:ascii="宋体" w:hAnsi="宋体"/>
          <w:bCs/>
          <w:color w:val="auto"/>
          <w:szCs w:val="21"/>
          <w:highlight w:val="none"/>
          <w:lang w:val="en-US" w:eastAsia="zh-CN"/>
        </w:rPr>
        <w:t>0.00</w:t>
      </w:r>
      <w:r>
        <w:rPr>
          <w:rFonts w:hint="eastAsia" w:ascii="宋体" w:hAnsi="宋体"/>
          <w:bCs/>
          <w:color w:val="auto"/>
          <w:szCs w:val="21"/>
          <w:highlight w:val="none"/>
        </w:rPr>
        <w:t>万元、工程采购</w:t>
      </w:r>
      <w:r>
        <w:rPr>
          <w:rFonts w:hint="eastAsia" w:ascii="宋体" w:hAnsi="宋体"/>
          <w:bCs/>
          <w:color w:val="auto"/>
          <w:szCs w:val="21"/>
          <w:highlight w:val="none"/>
          <w:lang w:val="en-US" w:eastAsia="zh-CN"/>
        </w:rPr>
        <w:t>0.00</w:t>
      </w:r>
      <w:r>
        <w:rPr>
          <w:rFonts w:hint="eastAsia" w:ascii="宋体" w:hAnsi="宋体"/>
          <w:bCs/>
          <w:color w:val="auto"/>
          <w:szCs w:val="21"/>
          <w:highlight w:val="none"/>
        </w:rPr>
        <w:t>万元、服务采购</w:t>
      </w:r>
      <w:r>
        <w:rPr>
          <w:rFonts w:hint="eastAsia" w:ascii="宋体" w:hAnsi="宋体"/>
          <w:bCs/>
          <w:color w:val="auto"/>
          <w:szCs w:val="21"/>
          <w:highlight w:val="none"/>
          <w:lang w:val="en-US" w:eastAsia="zh-CN"/>
        </w:rPr>
        <w:t>260.00</w:t>
      </w:r>
      <w:r>
        <w:rPr>
          <w:rFonts w:hint="eastAsia" w:ascii="宋体" w:hAnsi="宋体"/>
          <w:bCs/>
          <w:color w:val="auto"/>
          <w:szCs w:val="21"/>
          <w:highlight w:val="none"/>
        </w:rPr>
        <w:t>万元。</w:t>
      </w:r>
    </w:p>
    <w:p>
      <w:pPr>
        <w:spacing w:line="420" w:lineRule="exact"/>
        <w:ind w:firstLine="420" w:firstLineChars="200"/>
        <w:rPr>
          <w:rFonts w:hint="eastAsia" w:ascii="宋体" w:hAnsi="宋体"/>
          <w:bCs/>
          <w:color w:val="auto"/>
          <w:szCs w:val="21"/>
          <w:highlight w:val="none"/>
        </w:rPr>
      </w:pPr>
    </w:p>
    <w:p>
      <w:pPr>
        <w:pStyle w:val="3"/>
        <w:jc w:val="center"/>
        <w:rPr>
          <w:rFonts w:hint="eastAsia" w:ascii="黑体" w:hAnsi="宋体" w:cs="Times New Roman"/>
          <w:b w:val="0"/>
          <w:color w:val="auto"/>
          <w:kern w:val="2"/>
          <w:sz w:val="28"/>
          <w:szCs w:val="28"/>
          <w:lang w:val="en-US" w:eastAsia="zh-CN" w:bidi="ar-SA"/>
        </w:rPr>
      </w:pPr>
      <w:r>
        <w:rPr>
          <w:rFonts w:hint="eastAsia" w:ascii="黑体" w:hAnsi="宋体" w:cs="Times New Roman"/>
          <w:b w:val="0"/>
          <w:color w:val="auto"/>
          <w:kern w:val="2"/>
          <w:sz w:val="28"/>
          <w:szCs w:val="28"/>
          <w:lang w:val="en-US" w:eastAsia="zh-CN" w:bidi="ar-SA"/>
        </w:rPr>
        <w:t xml:space="preserve"> 第五部分  </w:t>
      </w:r>
      <w:r>
        <w:rPr>
          <w:rFonts w:hint="eastAsia" w:ascii="黑体" w:hAnsi="宋体" w:cs="Times New Roman"/>
          <w:b w:val="0"/>
          <w:color w:val="auto"/>
          <w:kern w:val="2"/>
          <w:sz w:val="28"/>
          <w:szCs w:val="28"/>
          <w:highlight w:val="none"/>
          <w:lang w:val="en-US" w:eastAsia="zh-CN" w:bidi="ar-SA"/>
        </w:rPr>
        <w:t>一般公共预算“三公</w:t>
      </w:r>
      <w:r>
        <w:rPr>
          <w:rFonts w:hint="eastAsia" w:ascii="黑体" w:hAnsi="宋体" w:cs="Times New Roman"/>
          <w:b w:val="0"/>
          <w:color w:val="auto"/>
          <w:kern w:val="2"/>
          <w:sz w:val="28"/>
          <w:szCs w:val="28"/>
          <w:lang w:val="en-US" w:eastAsia="zh-CN" w:bidi="ar-SA"/>
        </w:rPr>
        <w:t>”经费预算情况</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olor w:val="auto"/>
          <w:szCs w:val="21"/>
          <w:shd w:val="clear" w:color="auto" w:fill="FFFFFF"/>
        </w:rPr>
      </w:pPr>
      <w:r>
        <w:rPr>
          <w:rFonts w:hint="eastAsia" w:ascii="宋体" w:hAnsi="宋体" w:cs="Times New Roman"/>
          <w:b/>
          <w:color w:val="auto"/>
          <w:szCs w:val="21"/>
          <w:lang w:val="en-US" w:eastAsia="zh-CN"/>
        </w:rPr>
        <w:t>“三公”经费一般公共预算情况说明</w:t>
      </w:r>
      <w:r>
        <w:rPr>
          <w:rFonts w:hint="eastAsia" w:ascii="宋体" w:hAnsi="宋体"/>
          <w:bCs/>
          <w:color w:val="auto"/>
          <w:szCs w:val="21"/>
        </w:rPr>
        <w:br w:type="textWrapping"/>
      </w:r>
      <w:r>
        <w:rPr>
          <w:rFonts w:hint="eastAsia" w:ascii="宋体" w:hAnsi="宋体"/>
          <w:bCs/>
          <w:color w:val="auto"/>
          <w:szCs w:val="21"/>
        </w:rPr>
        <w:t xml:space="preserve">   </w:t>
      </w:r>
      <w:r>
        <w:rPr>
          <w:rFonts w:hint="eastAsia" w:ascii="宋体" w:hAnsi="宋体" w:cs="Times New Roman"/>
          <w:color w:val="auto"/>
          <w:szCs w:val="21"/>
          <w:lang w:val="en-US" w:eastAsia="zh-CN"/>
        </w:rPr>
        <w:t xml:space="preserve"> 2021年“三公”经费一般公共预算12.60万元，比2020年“三公”一般公共经费财政拨款预算增加4.30万元。</w:t>
      </w:r>
      <w:r>
        <w:rPr>
          <w:rFonts w:hint="eastAsia" w:ascii="宋体" w:hAnsi="宋体" w:cs="Times New Roman"/>
          <w:color w:val="auto"/>
          <w:szCs w:val="21"/>
          <w:lang w:val="en-US" w:eastAsia="zh-CN"/>
        </w:rPr>
        <w:br w:type="textWrapping"/>
      </w:r>
      <w:r>
        <w:rPr>
          <w:rFonts w:hint="eastAsia" w:ascii="宋体" w:hAnsi="宋体"/>
          <w:bCs/>
          <w:color w:val="auto"/>
          <w:szCs w:val="21"/>
        </w:rPr>
        <w:t xml:space="preserve">    </w:t>
      </w:r>
      <w:r>
        <w:rPr>
          <w:rFonts w:hint="eastAsia" w:ascii="宋体" w:hAnsi="宋体"/>
          <w:b/>
          <w:bCs/>
          <w:color w:val="auto"/>
          <w:szCs w:val="21"/>
        </w:rPr>
        <w:t>1.因公出国（境）费用。</w:t>
      </w:r>
      <w:r>
        <w:rPr>
          <w:rFonts w:hint="eastAsia" w:ascii="宋体" w:hAnsi="宋体"/>
          <w:b w:val="0"/>
          <w:bCs w:val="0"/>
          <w:color w:val="auto"/>
          <w:szCs w:val="21"/>
          <w:lang w:val="en-US" w:eastAsia="zh-CN"/>
        </w:rPr>
        <w:t>2021</w:t>
      </w:r>
      <w:r>
        <w:rPr>
          <w:rFonts w:hint="eastAsia" w:ascii="宋体" w:hAnsi="宋体"/>
          <w:bCs/>
          <w:color w:val="auto"/>
          <w:szCs w:val="21"/>
        </w:rPr>
        <w:t>年预算数0万元。</w:t>
      </w:r>
      <w:r>
        <w:rPr>
          <w:rFonts w:hint="eastAsia" w:ascii="宋体" w:hAnsi="宋体"/>
          <w:color w:val="auto"/>
          <w:szCs w:val="21"/>
          <w:shd w:val="clear" w:color="auto" w:fill="FFFFFF"/>
        </w:rPr>
        <w:t>为进一步规范因公出国（境）经费管理，我区因公出国（境）经费完全按零基预算的原则由区外事管理部门和区财政局统筹管理，调配使用，因此各单位</w:t>
      </w:r>
      <w:r>
        <w:rPr>
          <w:rFonts w:hint="eastAsia" w:ascii="宋体" w:hAnsi="宋体"/>
          <w:color w:val="auto"/>
          <w:szCs w:val="21"/>
          <w:shd w:val="clear" w:color="auto" w:fill="FFFFFF"/>
          <w:lang w:val="en-US" w:eastAsia="zh-CN"/>
        </w:rPr>
        <w:t>2021</w:t>
      </w:r>
      <w:r>
        <w:rPr>
          <w:rFonts w:hint="eastAsia" w:ascii="宋体" w:hAnsi="宋体"/>
          <w:color w:val="auto"/>
          <w:szCs w:val="21"/>
          <w:shd w:val="clear" w:color="auto" w:fill="FFFFFF"/>
        </w:rPr>
        <w:t>年因公出国（境）经费预算数为0万元，在实际执行中根据计划据实调配。</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b/>
          <w:bCs w:val="0"/>
          <w:color w:val="auto"/>
          <w:szCs w:val="21"/>
          <w:lang w:val="en-US" w:eastAsia="zh-CN"/>
        </w:rPr>
      </w:pPr>
      <w:r>
        <w:rPr>
          <w:rFonts w:hint="eastAsia" w:ascii="宋体" w:hAnsi="宋体"/>
          <w:b/>
          <w:bCs w:val="0"/>
          <w:color w:val="auto"/>
          <w:szCs w:val="21"/>
          <w:lang w:val="en-US" w:eastAsia="zh-CN"/>
        </w:rPr>
        <w:t>⒉公务接待费。</w:t>
      </w:r>
      <w:r>
        <w:rPr>
          <w:rFonts w:hint="eastAsia" w:ascii="宋体" w:hAnsi="宋体"/>
          <w:bCs/>
          <w:color w:val="auto"/>
          <w:szCs w:val="21"/>
          <w:lang w:val="en-US" w:eastAsia="zh-CN"/>
        </w:rPr>
        <w:t>2021年预算数2.00万元，比2020年增加0.00 万元。主要用于按规定开支的各类公务接待（含外宾接待）支出。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bCs/>
          <w:color w:val="auto"/>
          <w:szCs w:val="21"/>
          <w:lang w:val="en-US" w:eastAsia="zh-CN"/>
        </w:rPr>
      </w:pPr>
      <w:r>
        <w:rPr>
          <w:rFonts w:hint="eastAsia" w:ascii="宋体" w:hAnsi="宋体"/>
          <w:b/>
          <w:bCs w:val="0"/>
          <w:color w:val="auto"/>
          <w:szCs w:val="21"/>
          <w:lang w:val="en-US" w:eastAsia="zh-CN"/>
        </w:rPr>
        <w:t>⒊公务用车购置和运行维护费。</w:t>
      </w:r>
      <w:r>
        <w:rPr>
          <w:rFonts w:hint="eastAsia" w:ascii="宋体" w:hAnsi="宋体"/>
          <w:bCs/>
          <w:color w:val="auto"/>
          <w:szCs w:val="21"/>
          <w:lang w:val="en-US" w:eastAsia="zh-CN"/>
        </w:rPr>
        <w:t>2021年预算数10.60万元，其中：公务用车购置费2021年预算数0.00万元，比2020年预算数增加0.00万元；公务用车运行维护费2021年预算数10.60万元，比2020年预算数增加4.30万元。</w:t>
      </w:r>
      <w:r>
        <w:rPr>
          <w:rFonts w:hint="eastAsia" w:ascii="宋体" w:hAnsi="宋体"/>
          <w:bCs/>
          <w:color w:val="auto"/>
          <w:szCs w:val="21"/>
          <w:highlight w:val="none"/>
          <w:lang w:val="en-US" w:eastAsia="zh-CN"/>
        </w:rPr>
        <w:t>2021年本单位共有车辆4辆，其中本级一般公务用车2辆，2个下属事业单位各1辆一般公务用车。公务用车运行维护费2021年预算数比2020年预算数增加4.30万元的主要原因是2020年机构改革新增下属事业单位，按规定经区车改领导小组批复，增加1辆公务用车。2021年公务用车购置和运行维护费主要用于公务用车的运行维修费、车辆燃油费、保险费等。</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bCs/>
          <w:color w:val="auto"/>
          <w:szCs w:val="21"/>
          <w:lang w:val="en-US" w:eastAsia="zh-CN"/>
        </w:rPr>
      </w:pPr>
      <w:r>
        <w:rPr>
          <w:rFonts w:hint="eastAsia" w:ascii="宋体" w:hAnsi="宋体"/>
          <w:bCs/>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bCs/>
          <w:color w:val="auto"/>
          <w:szCs w:val="21"/>
          <w:lang w:val="en-US" w:eastAsia="zh-CN"/>
        </w:rPr>
      </w:pPr>
    </w:p>
    <w:p>
      <w:pPr>
        <w:rPr>
          <w:rFonts w:hint="eastAsia" w:ascii="宋体" w:hAnsi="宋体"/>
          <w:bCs/>
          <w:color w:val="auto"/>
          <w:szCs w:val="21"/>
          <w:lang w:val="en-US" w:eastAsia="zh-CN"/>
        </w:rPr>
      </w:pPr>
    </w:p>
    <w:p>
      <w:pPr>
        <w:pStyle w:val="3"/>
        <w:jc w:val="center"/>
        <w:rPr>
          <w:rFonts w:hint="eastAsia" w:ascii="黑体" w:hAnsi="宋体" w:cs="Times New Roman"/>
          <w:b w:val="0"/>
          <w:color w:val="auto"/>
          <w:kern w:val="2"/>
          <w:sz w:val="28"/>
          <w:szCs w:val="28"/>
          <w:lang w:val="en-US" w:eastAsia="zh-CN" w:bidi="ar-SA"/>
        </w:rPr>
      </w:pPr>
      <w:r>
        <w:rPr>
          <w:rFonts w:hint="eastAsia" w:ascii="黑体" w:hAnsi="宋体" w:cs="Times New Roman"/>
          <w:b w:val="0"/>
          <w:color w:val="auto"/>
          <w:kern w:val="2"/>
          <w:sz w:val="28"/>
          <w:szCs w:val="28"/>
          <w:lang w:val="en-US" w:eastAsia="zh-CN" w:bidi="ar-SA"/>
        </w:rPr>
        <w:t>第六部分  部门预算绩效管理情况</w:t>
      </w:r>
    </w:p>
    <w:p>
      <w:pPr>
        <w:rPr>
          <w:rFonts w:hint="eastAsia"/>
          <w:color w:val="auto"/>
          <w:lang w:val="en-US" w:eastAsia="zh-CN"/>
        </w:rPr>
      </w:pPr>
    </w:p>
    <w:p>
      <w:pPr>
        <w:ind w:firstLine="422" w:firstLineChars="200"/>
        <w:rPr>
          <w:rFonts w:hint="eastAsia" w:ascii="宋体" w:hAnsi="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一、实施部门整体预算绩效管理的情况及工作要求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bCs/>
          <w:color w:val="auto"/>
          <w:szCs w:val="21"/>
          <w:lang w:val="en-US" w:eastAsia="zh-CN"/>
        </w:rPr>
      </w:pPr>
      <w:r>
        <w:rPr>
          <w:rFonts w:hint="eastAsia" w:ascii="宋体" w:hAnsi="宋体"/>
          <w:bCs/>
          <w:color w:val="auto"/>
          <w:szCs w:val="21"/>
          <w:lang w:val="en-US" w:eastAsia="zh-CN"/>
        </w:rPr>
        <w:t>深圳市罗湖区财政局实施部门预算绩效管理，编制整体支出绩效目标，按要求开展部门整体绩效自评，形成绩效报告报送区财政部门备案。区财政部门将根据需要对本单位的部门整体支出实施重点绩效评价。</w:t>
      </w:r>
    </w:p>
    <w:p>
      <w:pPr>
        <w:ind w:firstLine="422" w:firstLineChars="200"/>
        <w:rPr>
          <w:rFonts w:hint="eastAsia" w:ascii="宋体" w:hAnsi="宋体" w:cs="Times New Roman"/>
          <w:b/>
          <w:color w:val="auto"/>
          <w:szCs w:val="21"/>
          <w:lang w:val="en-US" w:eastAsia="zh-CN"/>
        </w:rPr>
      </w:pPr>
      <w:r>
        <w:rPr>
          <w:rFonts w:hint="eastAsia" w:ascii="宋体" w:hAnsi="宋体" w:cs="Times New Roman"/>
          <w:b/>
          <w:color w:val="auto"/>
          <w:szCs w:val="21"/>
          <w:lang w:val="en-US" w:eastAsia="zh-CN"/>
        </w:rPr>
        <w:t>二</w:t>
      </w:r>
      <w:r>
        <w:rPr>
          <w:rFonts w:hint="eastAsia" w:ascii="宋体" w:hAnsi="宋体" w:cs="Times New Roman"/>
          <w:b/>
          <w:color w:val="auto"/>
          <w:szCs w:val="21"/>
          <w:highlight w:val="none"/>
          <w:lang w:val="en-US" w:eastAsia="zh-CN"/>
        </w:rPr>
        <w:t>、实施部门预算绩效管理的项目情况及工作要求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bCs/>
          <w:color w:val="auto"/>
          <w:szCs w:val="21"/>
          <w:lang w:val="en-US" w:eastAsia="zh-CN"/>
        </w:rPr>
      </w:pPr>
      <w:r>
        <w:rPr>
          <w:rFonts w:hint="eastAsia" w:ascii="宋体" w:hAnsi="宋体"/>
          <w:bCs/>
          <w:color w:val="auto"/>
          <w:szCs w:val="21"/>
          <w:lang w:val="en-US" w:eastAsia="zh-CN"/>
        </w:rPr>
        <w:t>2021年深圳市罗湖区财政局所有项目支出预算纳入部门预算绩效管理，涉及预算资金2,534.08万元，设置并编报21个项目绩效目标。相关项目在执行时需在年中（8月底前）编报绩效监控情况，并在年度预算执行完毕或项目完成后，按要求开展绩效自评，并在单位自评的基础上选择重点项目开展部门评价，形成绩效报告（表）报送区财政部门备案。区财政部门将选取部分政策或项目实施重点绩效评价。</w:t>
      </w:r>
    </w:p>
    <w:p>
      <w:pPr>
        <w:spacing w:line="420" w:lineRule="exact"/>
        <w:ind w:firstLine="420" w:firstLineChars="200"/>
        <w:rPr>
          <w:rFonts w:hint="eastAsia" w:ascii="宋体" w:hAnsi="宋体"/>
          <w:color w:val="auto"/>
          <w:szCs w:val="21"/>
          <w:highlight w:val="none"/>
        </w:rPr>
      </w:pPr>
    </w:p>
    <w:p>
      <w:pPr>
        <w:pStyle w:val="3"/>
        <w:jc w:val="center"/>
        <w:rPr>
          <w:rFonts w:hint="eastAsia" w:ascii="黑体" w:hAnsi="宋体" w:cs="Times New Roman"/>
          <w:b w:val="0"/>
          <w:color w:val="auto"/>
          <w:kern w:val="2"/>
          <w:sz w:val="28"/>
          <w:szCs w:val="28"/>
          <w:lang w:val="en-US" w:eastAsia="zh-CN" w:bidi="ar-SA"/>
        </w:rPr>
      </w:pPr>
      <w:r>
        <w:rPr>
          <w:rFonts w:hint="eastAsia" w:ascii="黑体" w:hAnsi="宋体" w:cs="Times New Roman"/>
          <w:b w:val="0"/>
          <w:color w:val="auto"/>
          <w:kern w:val="2"/>
          <w:sz w:val="28"/>
          <w:szCs w:val="28"/>
          <w:lang w:val="en-US" w:eastAsia="zh-CN" w:bidi="ar-SA"/>
        </w:rPr>
        <w:t>第七部分  其他需要说明情况</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s="Times New Roman"/>
          <w:b/>
          <w:bCs/>
          <w:color w:val="auto"/>
          <w:szCs w:val="21"/>
          <w:lang w:val="en-US" w:eastAsia="zh-CN"/>
        </w:rPr>
      </w:pPr>
      <w:r>
        <w:rPr>
          <w:rFonts w:hint="eastAsia" w:ascii="宋体" w:hAnsi="宋体" w:cs="Times New Roman"/>
          <w:b/>
          <w:bCs/>
          <w:color w:val="auto"/>
          <w:szCs w:val="21"/>
          <w:lang w:val="en-US" w:eastAsia="zh-CN"/>
        </w:rPr>
        <w:t>一、机关运行经费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color w:val="auto"/>
          <w:szCs w:val="21"/>
          <w:lang w:val="en-US" w:eastAsia="zh-CN"/>
        </w:rPr>
      </w:pPr>
      <w:r>
        <w:rPr>
          <w:rFonts w:hint="eastAsia" w:ascii="宋体" w:hAnsi="宋体" w:cs="Times New Roman"/>
          <w:color w:val="auto"/>
          <w:szCs w:val="21"/>
        </w:rPr>
        <w:t>2021年深圳市罗湖区财政局机关运行经费财政拨款预算178.72万元，比2020年</w:t>
      </w:r>
      <w:r>
        <w:rPr>
          <w:rFonts w:hint="eastAsia" w:ascii="宋体" w:hAnsi="宋体" w:cs="Times New Roman"/>
          <w:color w:val="auto"/>
          <w:szCs w:val="21"/>
          <w:lang w:val="en-US" w:eastAsia="zh-CN"/>
        </w:rPr>
        <w:t>预算</w:t>
      </w:r>
      <w:r>
        <w:rPr>
          <w:rFonts w:hint="eastAsia" w:ascii="宋体" w:hAnsi="宋体" w:cs="Times New Roman"/>
          <w:color w:val="auto"/>
          <w:szCs w:val="21"/>
        </w:rPr>
        <w:t>增加36.35万元，增长25.52%。主要是：</w:t>
      </w:r>
      <w:r>
        <w:rPr>
          <w:rFonts w:hint="eastAsia" w:ascii="宋体" w:hAnsi="宋体" w:cs="Times New Roman"/>
          <w:color w:val="auto"/>
          <w:szCs w:val="21"/>
          <w:lang w:val="en-US" w:eastAsia="zh-CN"/>
        </w:rPr>
        <w:t>新增下属事业单位、</w:t>
      </w:r>
      <w:r>
        <w:rPr>
          <w:rFonts w:hint="eastAsia" w:ascii="宋体" w:hAnsi="宋体" w:cs="Times New Roman"/>
          <w:color w:val="auto"/>
          <w:szCs w:val="21"/>
        </w:rPr>
        <w:t>人员增加</w:t>
      </w:r>
      <w:r>
        <w:rPr>
          <w:rFonts w:hint="eastAsia" w:ascii="宋体" w:hAnsi="宋体" w:cs="Times New Roman"/>
          <w:color w:val="auto"/>
          <w:szCs w:val="21"/>
          <w:lang w:val="en-US" w:eastAsia="zh-CN"/>
        </w:rPr>
        <w:t>导致机关运行</w:t>
      </w:r>
      <w:r>
        <w:rPr>
          <w:rFonts w:hint="eastAsia" w:ascii="宋体" w:hAnsi="宋体" w:cs="Times New Roman"/>
          <w:color w:val="auto"/>
          <w:szCs w:val="21"/>
        </w:rPr>
        <w:t>经费相应增加</w:t>
      </w:r>
      <w:r>
        <w:rPr>
          <w:rFonts w:hint="eastAsia" w:ascii="宋体" w:hAnsi="宋体" w:cs="Times New Roman"/>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二、国有资产占有使用情况</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截至2020年12月31日，本单位共有车辆4辆，其中：一般公务用车4辆、一般执法执勤用车0辆、特种专业技术用车0辆、其他用车0辆。单位价值50万以上通用设备0台（套），单位价值100万以上专用设备0台（套）。</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default" w:ascii="宋体" w:hAnsi="宋体"/>
          <w:b w:val="0"/>
          <w:bCs/>
          <w:i w:val="0"/>
          <w:iCs/>
          <w:color w:val="auto"/>
          <w:szCs w:val="21"/>
          <w:highlight w:val="yellow"/>
          <w:u w:val="none"/>
          <w:lang w:val="en-US" w:eastAsia="zh-CN"/>
        </w:rPr>
      </w:pPr>
      <w:r>
        <w:rPr>
          <w:rFonts w:hint="eastAsia" w:ascii="宋体" w:hAnsi="宋体" w:cs="Times New Roman"/>
          <w:color w:val="auto"/>
          <w:szCs w:val="21"/>
          <w:highlight w:val="none"/>
          <w:u w:val="none"/>
          <w:lang w:val="en-US" w:eastAsia="zh-CN"/>
        </w:rPr>
        <w:t>2021年部门预算安排购置一般公务用车0辆、一般执法执勤用车0辆、特种专业技术用车0辆、其他用车0辆。安排购置单位价值50万元以上通用设备0台（套），单位价值100万以上专用设备0台（套）。</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s="Times New Roman"/>
          <w:b/>
          <w:bCs/>
          <w:color w:val="auto"/>
          <w:szCs w:val="21"/>
          <w:lang w:val="en-US" w:eastAsia="zh-CN"/>
        </w:rPr>
      </w:pPr>
      <w:r>
        <w:rPr>
          <w:rFonts w:hint="eastAsia" w:ascii="宋体" w:hAnsi="宋体" w:cs="Times New Roman"/>
          <w:b/>
          <w:bCs/>
          <w:color w:val="auto"/>
          <w:szCs w:val="21"/>
          <w:lang w:val="en-US" w:eastAsia="zh-CN"/>
        </w:rPr>
        <w:t>三、其他</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4"/>
          <w:lang w:val="en-US" w:eastAsia="zh-CN"/>
        </w:rPr>
      </w:pPr>
      <w:r>
        <w:rPr>
          <w:rFonts w:hint="eastAsia" w:ascii="宋体" w:hAnsi="宋体" w:eastAsia="宋体" w:cs="宋体"/>
          <w:color w:val="auto"/>
          <w:sz w:val="21"/>
          <w:szCs w:val="24"/>
          <w:lang w:val="en-US" w:eastAsia="zh-CN"/>
        </w:rPr>
        <w:t>本单位无政府性基金预算支出、国有资本经营预算支出和上级专项转移支付支出预算。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i w:val="0"/>
          <w:iCs/>
          <w:color w:val="auto"/>
          <w:szCs w:val="21"/>
          <w:u w:val="single"/>
        </w:rPr>
      </w:pPr>
    </w:p>
    <w:p>
      <w:pPr>
        <w:pStyle w:val="3"/>
        <w:jc w:val="center"/>
        <w:rPr>
          <w:rFonts w:hint="eastAsia" w:ascii="黑体" w:hAnsi="宋体" w:cs="Times New Roman"/>
          <w:b w:val="0"/>
          <w:bCs w:val="0"/>
          <w:color w:val="auto"/>
          <w:kern w:val="2"/>
          <w:sz w:val="28"/>
          <w:szCs w:val="28"/>
          <w:lang w:val="en-US" w:eastAsia="zh-CN" w:bidi="ar-SA"/>
        </w:rPr>
      </w:pPr>
      <w:r>
        <w:rPr>
          <w:rFonts w:hint="eastAsia" w:ascii="黑体" w:hAnsi="宋体" w:cs="Times New Roman"/>
          <w:b w:val="0"/>
          <w:bCs w:val="0"/>
          <w:color w:val="auto"/>
          <w:kern w:val="2"/>
          <w:sz w:val="28"/>
          <w:szCs w:val="28"/>
          <w:lang w:val="en-US" w:eastAsia="zh-CN" w:bidi="ar-SA"/>
        </w:rPr>
        <w:t>第八部分  名词解释</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lang w:val="en-US" w:eastAsia="zh-CN"/>
        </w:rPr>
      </w:pPr>
    </w:p>
    <w:p>
      <w:pPr>
        <w:spacing w:line="420" w:lineRule="exact"/>
        <w:ind w:firstLine="420" w:firstLineChars="200"/>
        <w:rPr>
          <w:rFonts w:ascii="宋体" w:hAnsi="宋体"/>
          <w:bCs/>
          <w:szCs w:val="21"/>
        </w:rPr>
      </w:pPr>
      <w:r>
        <w:rPr>
          <w:rFonts w:hint="eastAsia" w:ascii="宋体" w:hAnsi="宋体"/>
          <w:bCs/>
          <w:szCs w:val="21"/>
        </w:rPr>
        <w:t>一、一般公共预算拨款收入：指本级财政当年拨付的资金。</w:t>
      </w:r>
    </w:p>
    <w:p>
      <w:pPr>
        <w:spacing w:line="420" w:lineRule="exact"/>
        <w:ind w:firstLine="420" w:firstLineChars="200"/>
        <w:rPr>
          <w:rFonts w:ascii="宋体" w:hAnsi="宋体"/>
          <w:bCs/>
          <w:szCs w:val="21"/>
        </w:rPr>
      </w:pPr>
      <w:r>
        <w:rPr>
          <w:rFonts w:hint="eastAsia" w:ascii="宋体" w:hAnsi="宋体"/>
          <w:bCs/>
          <w:szCs w:val="21"/>
        </w:rPr>
        <w:t>二、一般公共服务支出：反映政府提供一般公共服务的支出。</w:t>
      </w:r>
    </w:p>
    <w:p>
      <w:pPr>
        <w:spacing w:line="420" w:lineRule="exact"/>
        <w:ind w:firstLine="420" w:firstLineChars="200"/>
        <w:rPr>
          <w:rFonts w:ascii="宋体" w:hAnsi="宋体"/>
          <w:bCs/>
          <w:szCs w:val="21"/>
        </w:rPr>
      </w:pPr>
      <w:r>
        <w:rPr>
          <w:rFonts w:hint="eastAsia" w:ascii="宋体" w:hAnsi="宋体"/>
          <w:bCs/>
          <w:szCs w:val="21"/>
        </w:rPr>
        <w:t>三、住房保障支出：集中反映政府用于住房方面的支出。</w:t>
      </w:r>
    </w:p>
    <w:p>
      <w:pPr>
        <w:spacing w:line="420" w:lineRule="exact"/>
        <w:ind w:firstLine="420" w:firstLineChars="200"/>
        <w:rPr>
          <w:rFonts w:ascii="宋体" w:hAnsi="宋体"/>
          <w:bCs/>
          <w:szCs w:val="21"/>
        </w:rPr>
      </w:pPr>
      <w:r>
        <w:rPr>
          <w:rFonts w:hint="eastAsia" w:ascii="宋体" w:hAnsi="宋体"/>
          <w:bCs/>
          <w:szCs w:val="21"/>
        </w:rPr>
        <w:t>四、上年结转：指以前年度尚未完成、结转到本年仍按原规定用途继续使用的资金。</w:t>
      </w:r>
    </w:p>
    <w:p>
      <w:pPr>
        <w:spacing w:line="420" w:lineRule="exact"/>
        <w:ind w:firstLine="420" w:firstLineChars="200"/>
        <w:rPr>
          <w:rFonts w:ascii="宋体" w:hAnsi="宋体"/>
          <w:bCs/>
          <w:szCs w:val="21"/>
        </w:rPr>
      </w:pPr>
      <w:r>
        <w:rPr>
          <w:rFonts w:hint="eastAsia" w:ascii="宋体" w:hAnsi="宋体"/>
          <w:bCs/>
          <w:szCs w:val="21"/>
        </w:rPr>
        <w:t>五、基本支出：指为保障机构正常运转、完成日常工作任务而发生的支出，包括人员经费（基本工资、津贴补贴等）和公用经费（包括办公费、邮电费、差旅费及印刷费等）。</w:t>
      </w:r>
    </w:p>
    <w:p>
      <w:pPr>
        <w:spacing w:line="420" w:lineRule="exact"/>
        <w:ind w:firstLine="420" w:firstLineChars="200"/>
        <w:rPr>
          <w:rFonts w:ascii="宋体" w:hAnsi="宋体"/>
          <w:bCs/>
          <w:szCs w:val="21"/>
        </w:rPr>
      </w:pPr>
      <w:r>
        <w:rPr>
          <w:rFonts w:hint="eastAsia" w:ascii="宋体" w:hAnsi="宋体"/>
          <w:bCs/>
          <w:szCs w:val="21"/>
        </w:rPr>
        <w:t>六、 项目支出：指在基本支出之外为完成特定工作任务和事业发展目标所发生的支出。</w:t>
      </w:r>
    </w:p>
    <w:p>
      <w:pPr>
        <w:spacing w:line="420" w:lineRule="exact"/>
        <w:ind w:firstLine="420" w:firstLineChars="200"/>
        <w:rPr>
          <w:rFonts w:ascii="宋体" w:hAnsi="宋体"/>
          <w:bCs/>
          <w:szCs w:val="21"/>
        </w:rPr>
      </w:pPr>
      <w:r>
        <w:rPr>
          <w:rFonts w:hint="eastAsia" w:ascii="宋体" w:hAnsi="宋体"/>
          <w:bCs/>
          <w:szCs w:val="21"/>
        </w:rPr>
        <w:t>七、“用事业基金弥补收支差额”项目，归口至上年结余、结转中填报。</w:t>
      </w:r>
    </w:p>
    <w:p>
      <w:pPr>
        <w:spacing w:line="420" w:lineRule="exact"/>
        <w:ind w:firstLine="420" w:firstLineChars="200"/>
        <w:rPr>
          <w:rFonts w:ascii="宋体" w:hAnsi="宋体"/>
          <w:bCs/>
          <w:szCs w:val="21"/>
        </w:rPr>
      </w:pPr>
      <w:r>
        <w:rPr>
          <w:rFonts w:hint="eastAsia" w:ascii="宋体" w:hAnsi="宋体"/>
          <w:bCs/>
          <w:szCs w:val="21"/>
        </w:rPr>
        <w:t>八</w:t>
      </w:r>
      <w:r>
        <w:rPr>
          <w:rFonts w:hint="eastAsia" w:ascii="宋体" w:hAnsi="宋体"/>
          <w:bCs/>
          <w:szCs w:val="21"/>
          <w:lang w:eastAsia="zh-CN"/>
        </w:rPr>
        <w:t>、</w:t>
      </w:r>
      <w:r>
        <w:rPr>
          <w:rFonts w:hint="eastAsia" w:ascii="宋体" w:hAnsi="宋体"/>
          <w:bCs/>
          <w:szCs w:val="21"/>
        </w:rPr>
        <w:t>年末结转和结余：指本年度或以前年度预算安排、因客观条件发生变化无法按原计划实施，需要延迟到以后年度按有关规定继续使用的资金。</w:t>
      </w:r>
    </w:p>
    <w:p>
      <w:pPr>
        <w:spacing w:line="420" w:lineRule="exact"/>
        <w:ind w:firstLine="420" w:firstLineChars="200"/>
        <w:rPr>
          <w:rFonts w:ascii="宋体" w:hAnsi="宋体"/>
          <w:bCs/>
          <w:szCs w:val="21"/>
        </w:rPr>
      </w:pPr>
      <w:r>
        <w:rPr>
          <w:rFonts w:hint="eastAsia" w:ascii="宋体" w:hAnsi="宋体"/>
          <w:bCs/>
          <w:szCs w:val="21"/>
        </w:rPr>
        <w:t>九、</w:t>
      </w:r>
      <w:r>
        <w:rPr>
          <w:rFonts w:ascii="宋体" w:hAnsi="宋体"/>
          <w:bCs/>
          <w:szCs w:val="21"/>
        </w:rPr>
        <w:t>“</w:t>
      </w:r>
      <w:r>
        <w:rPr>
          <w:rFonts w:hint="eastAsia" w:ascii="宋体" w:hAnsi="宋体"/>
          <w:bCs/>
          <w:szCs w:val="21"/>
        </w:rPr>
        <w:t>三公</w:t>
      </w:r>
      <w:r>
        <w:rPr>
          <w:rFonts w:ascii="宋体" w:hAnsi="宋体"/>
          <w:bCs/>
          <w:szCs w:val="21"/>
        </w:rPr>
        <w:t>”</w:t>
      </w:r>
      <w:r>
        <w:rPr>
          <w:rFonts w:hint="eastAsia" w:ascii="宋体" w:hAnsi="宋体"/>
          <w:bCs/>
          <w:szCs w:val="21"/>
        </w:rPr>
        <w:t>经费：一般公共预算安排的因公出国（境）费、公务用车购置及运行费和公务接待费。其中，因公出国（境）费反映单位公务出国（境）的国际旅费、国外城市间交通费、住宿费、伙食费及培训费等支出；公务用车购置及运行费反映单位公务用车车辆购置支出（含车辆购置税）及租用费、燃料费、维修费、保险费、过路过桥费等支出；公务接待费反映单位按规定开支的各类公务接待（含外宾接待）支出。</w:t>
      </w:r>
    </w:p>
    <w:p>
      <w:pPr>
        <w:spacing w:line="420" w:lineRule="exact"/>
        <w:ind w:firstLine="420" w:firstLineChars="200"/>
        <w:rPr>
          <w:rFonts w:ascii="宋体" w:hAnsi="宋体"/>
          <w:bCs/>
          <w:szCs w:val="21"/>
        </w:rPr>
      </w:pPr>
      <w:r>
        <w:rPr>
          <w:rFonts w:hint="eastAsia" w:ascii="宋体" w:hAnsi="宋体"/>
          <w:bCs/>
          <w:szCs w:val="21"/>
        </w:rPr>
        <w:t>十、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bCs/>
          <w:szCs w:val="21"/>
          <w:highlight w:val="none"/>
          <w:lang w:val="en-US" w:eastAsia="zh-CN"/>
        </w:rPr>
      </w:pPr>
      <w:r>
        <w:rPr>
          <w:rFonts w:hint="eastAsia" w:ascii="宋体" w:hAnsi="宋体"/>
          <w:bCs/>
          <w:color w:val="auto"/>
          <w:szCs w:val="21"/>
          <w:highlight w:val="none"/>
          <w:lang w:val="en-US" w:eastAsia="zh-CN"/>
        </w:rPr>
        <w:t>十一、</w:t>
      </w:r>
      <w:r>
        <w:rPr>
          <w:rFonts w:hint="eastAsia" w:ascii="宋体" w:hAnsi="宋体"/>
          <w:bCs/>
          <w:szCs w:val="21"/>
          <w:highlight w:val="none"/>
          <w:lang w:val="en-US" w:eastAsia="zh-CN"/>
        </w:rPr>
        <w:t>支出功能分类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一般行政管理事务:反映行政单位（包括实行公务员管理的事业单位）未单独设置项级科目的其他项目支出。</w:t>
      </w:r>
      <w:r>
        <w:rPr>
          <w:rFonts w:hint="eastAsia" w:ascii="宋体" w:hAnsi="宋体"/>
          <w:bCs/>
          <w:color w:val="auto"/>
          <w:szCs w:val="21"/>
          <w:highlight w:val="none"/>
          <w:lang w:val="en-US" w:eastAsia="zh-CN"/>
        </w:rPr>
        <w:cr/>
      </w:r>
      <w:r>
        <w:rPr>
          <w:rFonts w:hint="eastAsia" w:ascii="宋体" w:hAnsi="宋体"/>
          <w:bCs/>
          <w:color w:val="auto"/>
          <w:szCs w:val="21"/>
          <w:highlight w:val="none"/>
          <w:lang w:val="en-US" w:eastAsia="zh-CN"/>
        </w:rPr>
        <w:t>
  预算改革业务:反映财政部门用于预算改革方面的支出。</w:t>
      </w:r>
      <w:r>
        <w:rPr>
          <w:rFonts w:hint="eastAsia" w:ascii="宋体" w:hAnsi="宋体"/>
          <w:bCs/>
          <w:color w:val="auto"/>
          <w:szCs w:val="21"/>
          <w:highlight w:val="none"/>
          <w:lang w:val="en-US" w:eastAsia="zh-CN"/>
        </w:rPr>
        <w:cr/>
      </w:r>
      <w:r>
        <w:rPr>
          <w:rFonts w:hint="eastAsia" w:ascii="宋体" w:hAnsi="宋体"/>
          <w:bCs/>
          <w:color w:val="auto"/>
          <w:szCs w:val="21"/>
          <w:highlight w:val="none"/>
          <w:lang w:val="en-US" w:eastAsia="zh-CN"/>
        </w:rPr>
        <w:t>
  财政国库业务:反映财政部门用于财政国库集中收付业务方面的支出。</w:t>
      </w:r>
      <w:r>
        <w:rPr>
          <w:rFonts w:hint="eastAsia" w:ascii="宋体" w:hAnsi="宋体"/>
          <w:bCs/>
          <w:color w:val="auto"/>
          <w:szCs w:val="21"/>
          <w:highlight w:val="none"/>
          <w:lang w:val="en-US" w:eastAsia="zh-CN"/>
        </w:rPr>
        <w:cr/>
      </w:r>
      <w:r>
        <w:rPr>
          <w:rFonts w:hint="eastAsia" w:ascii="宋体" w:hAnsi="宋体"/>
          <w:bCs/>
          <w:color w:val="auto"/>
          <w:szCs w:val="21"/>
          <w:highlight w:val="none"/>
          <w:lang w:val="en-US" w:eastAsia="zh-CN"/>
        </w:rPr>
        <w:t xml:space="preserve">  
其他财政事务支出:反映除上述项目以外其他财政事务方面的支出。</w:t>
      </w:r>
      <w:r>
        <w:rPr>
          <w:rFonts w:hint="eastAsia" w:ascii="宋体" w:hAnsi="宋体"/>
          <w:bCs/>
          <w:color w:val="auto"/>
          <w:szCs w:val="21"/>
          <w:highlight w:val="none"/>
          <w:lang w:val="en-US" w:eastAsia="zh-CN"/>
        </w:rPr>
        <w:cr/>
      </w:r>
      <w:r>
        <w:rPr>
          <w:rFonts w:hint="eastAsia" w:ascii="宋体" w:hAnsi="宋体"/>
          <w:bCs/>
          <w:color w:val="auto"/>
          <w:szCs w:val="21"/>
          <w:highlight w:val="none"/>
          <w:lang w:val="en-US" w:eastAsia="zh-CN"/>
        </w:rPr>
        <w:t xml:space="preserve">  
其他组织事务支出:反映除上述项目以外其他用于中国共产党组织部门的事务支出。</w:t>
      </w:r>
      <w:r>
        <w:rPr>
          <w:rFonts w:hint="eastAsia" w:ascii="宋体" w:hAnsi="宋体"/>
          <w:bCs/>
          <w:color w:val="auto"/>
          <w:szCs w:val="21"/>
          <w:highlight w:val="none"/>
          <w:lang w:val="en-US" w:eastAsia="zh-CN"/>
        </w:rPr>
        <w:cr/>
      </w:r>
      <w:r>
        <w:rPr>
          <w:rFonts w:hint="eastAsia" w:ascii="宋体" w:hAnsi="宋体"/>
          <w:bCs/>
          <w:color w:val="auto"/>
          <w:szCs w:val="21"/>
          <w:highlight w:val="none"/>
          <w:lang w:val="en-US" w:eastAsia="zh-CN"/>
        </w:rPr>
        <w:t xml:space="preserve">  
其他扶贫支出:反映除上述项目以外其他用于扶贫方面的支出。</w:t>
      </w:r>
    </w:p>
    <w:p>
      <w:pPr>
        <w:spacing w:line="420" w:lineRule="exact"/>
        <w:jc w:val="left"/>
        <w:rPr>
          <w:rFonts w:hint="eastAsia" w:ascii="宋体" w:hAnsi="宋体"/>
          <w:b/>
          <w:bCs/>
          <w:color w:val="auto"/>
          <w:sz w:val="32"/>
          <w:szCs w:val="32"/>
          <w:u w:val="single"/>
        </w:rPr>
      </w:pPr>
    </w:p>
    <w:p>
      <w:pPr>
        <w:spacing w:line="420" w:lineRule="exact"/>
        <w:rPr>
          <w:rFonts w:hint="eastAsia" w:ascii="宋体" w:hAnsi="宋体"/>
          <w:sz w:val="21"/>
          <w:szCs w:val="21"/>
          <w:u w:val="none"/>
        </w:rPr>
      </w:pPr>
    </w:p>
    <w:p>
      <w:pPr>
        <w:spacing w:line="420" w:lineRule="exact"/>
        <w:rPr>
          <w:rFonts w:hint="eastAsia" w:ascii="宋体" w:hAnsi="宋体"/>
          <w:sz w:val="21"/>
          <w:szCs w:val="21"/>
          <w:u w:val="none"/>
        </w:rPr>
      </w:pPr>
    </w:p>
    <w:p>
      <w:pPr>
        <w:spacing w:line="420" w:lineRule="exact"/>
        <w:rPr>
          <w:rFonts w:hint="eastAsia" w:ascii="宋体" w:hAnsi="宋体"/>
          <w:sz w:val="21"/>
          <w:szCs w:val="21"/>
          <w:u w:val="none"/>
          <w:lang w:eastAsia="zh-CN"/>
        </w:rPr>
      </w:pPr>
      <w:r>
        <w:rPr>
          <w:rFonts w:hint="eastAsia" w:ascii="宋体" w:hAnsi="宋体"/>
          <w:sz w:val="21"/>
          <w:szCs w:val="21"/>
          <w:u w:val="none"/>
        </w:rPr>
        <w:t>附表：</w:t>
      </w:r>
    </w:p>
    <w:p>
      <w:pPr>
        <w:spacing w:line="420" w:lineRule="exact"/>
        <w:ind w:firstLine="420" w:firstLineChars="200"/>
        <w:rPr>
          <w:rFonts w:hint="eastAsia" w:ascii="宋体" w:hAnsi="宋体"/>
          <w:szCs w:val="21"/>
          <w:u w:val="none"/>
        </w:rPr>
      </w:pPr>
      <w:r>
        <w:rPr>
          <w:rFonts w:hint="eastAsia" w:ascii="宋体" w:hAnsi="宋体"/>
          <w:szCs w:val="21"/>
          <w:u w:val="none"/>
        </w:rPr>
        <w:t>1.收支总表</w:t>
      </w:r>
    </w:p>
    <w:p>
      <w:pPr>
        <w:spacing w:line="420" w:lineRule="exact"/>
        <w:ind w:firstLine="420" w:firstLineChars="200"/>
        <w:rPr>
          <w:rFonts w:hint="eastAsia" w:ascii="宋体" w:hAnsi="宋体"/>
          <w:szCs w:val="21"/>
          <w:u w:val="none"/>
        </w:rPr>
      </w:pPr>
      <w:r>
        <w:rPr>
          <w:rFonts w:hint="eastAsia" w:ascii="宋体" w:hAnsi="宋体"/>
          <w:szCs w:val="21"/>
          <w:u w:val="none"/>
        </w:rPr>
        <w:t>2.收入</w:t>
      </w:r>
      <w:r>
        <w:rPr>
          <w:rFonts w:hint="eastAsia" w:ascii="宋体" w:hAnsi="宋体"/>
          <w:szCs w:val="21"/>
          <w:u w:val="none"/>
          <w:lang w:val="en-US" w:eastAsia="zh-CN"/>
        </w:rPr>
        <w:t>总</w:t>
      </w:r>
      <w:r>
        <w:rPr>
          <w:rFonts w:hint="eastAsia" w:ascii="宋体" w:hAnsi="宋体"/>
          <w:szCs w:val="21"/>
          <w:u w:val="none"/>
        </w:rPr>
        <w:t>表</w:t>
      </w:r>
    </w:p>
    <w:p>
      <w:pPr>
        <w:spacing w:line="420" w:lineRule="exact"/>
        <w:ind w:firstLine="420" w:firstLineChars="200"/>
        <w:rPr>
          <w:rFonts w:hint="eastAsia" w:ascii="宋体" w:hAnsi="宋体"/>
          <w:szCs w:val="21"/>
          <w:u w:val="none"/>
        </w:rPr>
      </w:pPr>
      <w:r>
        <w:rPr>
          <w:rFonts w:hint="eastAsia" w:ascii="宋体" w:hAnsi="宋体"/>
          <w:szCs w:val="21"/>
          <w:u w:val="none"/>
        </w:rPr>
        <w:t>3.支出</w:t>
      </w:r>
      <w:r>
        <w:rPr>
          <w:rFonts w:hint="eastAsia"/>
          <w:lang w:val="en-US" w:eastAsia="zh-CN"/>
        </w:rPr>
        <w:t>总</w:t>
      </w:r>
      <w:r>
        <w:rPr>
          <w:rFonts w:hint="eastAsia" w:ascii="宋体" w:hAnsi="宋体"/>
          <w:szCs w:val="21"/>
          <w:u w:val="none"/>
        </w:rPr>
        <w:t>表</w:t>
      </w:r>
    </w:p>
    <w:p>
      <w:pPr>
        <w:spacing w:line="420" w:lineRule="exact"/>
        <w:ind w:firstLine="420" w:firstLineChars="200"/>
        <w:rPr>
          <w:rFonts w:hint="eastAsia" w:ascii="宋体" w:hAnsi="宋体"/>
          <w:szCs w:val="21"/>
          <w:u w:val="none"/>
        </w:rPr>
      </w:pPr>
      <w:r>
        <w:rPr>
          <w:rFonts w:hint="eastAsia" w:ascii="宋体" w:hAnsi="宋体"/>
          <w:szCs w:val="21"/>
          <w:u w:val="none"/>
        </w:rPr>
        <w:t>4.基本支出</w:t>
      </w:r>
      <w:r>
        <w:rPr>
          <w:rFonts w:hint="eastAsia"/>
          <w:lang w:val="en-US" w:eastAsia="zh-CN"/>
        </w:rPr>
        <w:t>总</w:t>
      </w:r>
      <w:r>
        <w:rPr>
          <w:rFonts w:hint="eastAsia" w:ascii="宋体" w:hAnsi="宋体"/>
          <w:szCs w:val="21"/>
          <w:u w:val="none"/>
        </w:rPr>
        <w:t>表</w:t>
      </w:r>
    </w:p>
    <w:p>
      <w:pPr>
        <w:spacing w:line="420" w:lineRule="exact"/>
        <w:ind w:firstLine="420" w:firstLineChars="200"/>
        <w:rPr>
          <w:rFonts w:hint="eastAsia" w:ascii="宋体" w:hAnsi="宋体"/>
          <w:szCs w:val="21"/>
          <w:u w:val="none"/>
        </w:rPr>
      </w:pPr>
      <w:r>
        <w:rPr>
          <w:rFonts w:hint="eastAsia" w:ascii="宋体" w:hAnsi="宋体"/>
          <w:szCs w:val="21"/>
          <w:u w:val="none"/>
        </w:rPr>
        <w:t>5.项目支出</w:t>
      </w:r>
      <w:r>
        <w:rPr>
          <w:rFonts w:hint="eastAsia"/>
          <w:lang w:val="en-US" w:eastAsia="zh-CN"/>
        </w:rPr>
        <w:t>总</w:t>
      </w:r>
      <w:r>
        <w:rPr>
          <w:rFonts w:hint="eastAsia" w:ascii="宋体" w:hAnsi="宋体"/>
          <w:szCs w:val="21"/>
          <w:u w:val="none"/>
        </w:rPr>
        <w:t>表</w:t>
      </w:r>
    </w:p>
    <w:p>
      <w:pPr>
        <w:spacing w:line="420" w:lineRule="exact"/>
        <w:ind w:firstLine="420" w:firstLineChars="200"/>
        <w:rPr>
          <w:rFonts w:hint="eastAsia" w:ascii="宋体" w:hAnsi="宋体"/>
          <w:szCs w:val="21"/>
          <w:u w:val="none"/>
        </w:rPr>
      </w:pPr>
      <w:r>
        <w:rPr>
          <w:rFonts w:hint="eastAsia" w:ascii="宋体" w:hAnsi="宋体"/>
          <w:szCs w:val="21"/>
          <w:u w:val="none"/>
        </w:rPr>
        <w:t>6.</w:t>
      </w:r>
      <w:r>
        <w:rPr>
          <w:rFonts w:hint="eastAsia"/>
          <w:lang w:val="en-US" w:eastAsia="zh-CN"/>
        </w:rPr>
        <w:t>政府预算</w:t>
      </w:r>
      <w:r>
        <w:rPr>
          <w:rFonts w:hint="eastAsia" w:ascii="宋体" w:hAnsi="宋体"/>
          <w:szCs w:val="21"/>
          <w:u w:val="none"/>
        </w:rPr>
        <w:t>拨款收支总表</w:t>
      </w:r>
    </w:p>
    <w:p>
      <w:pPr>
        <w:spacing w:line="420" w:lineRule="exact"/>
        <w:ind w:firstLine="420" w:firstLineChars="200"/>
        <w:rPr>
          <w:rFonts w:hint="eastAsia" w:ascii="宋体" w:hAnsi="宋体"/>
          <w:szCs w:val="21"/>
          <w:u w:val="none"/>
        </w:rPr>
      </w:pPr>
      <w:r>
        <w:rPr>
          <w:rFonts w:hint="eastAsia" w:ascii="宋体" w:hAnsi="宋体"/>
          <w:szCs w:val="21"/>
          <w:u w:val="none"/>
        </w:rPr>
        <w:t>7.一般公共预算支出表</w:t>
      </w:r>
    </w:p>
    <w:p>
      <w:pPr>
        <w:spacing w:line="420" w:lineRule="exact"/>
        <w:ind w:firstLine="420" w:firstLineChars="200"/>
        <w:rPr>
          <w:rFonts w:hint="eastAsia" w:ascii="宋体" w:hAnsi="宋体"/>
          <w:szCs w:val="21"/>
          <w:u w:val="none"/>
        </w:rPr>
      </w:pPr>
      <w:r>
        <w:rPr>
          <w:rFonts w:hint="eastAsia" w:ascii="宋体" w:hAnsi="宋体"/>
          <w:szCs w:val="21"/>
          <w:u w:val="none"/>
        </w:rPr>
        <w:t>8.政府性基金预算支出表</w:t>
      </w:r>
    </w:p>
    <w:p>
      <w:pPr>
        <w:spacing w:line="420" w:lineRule="exact"/>
        <w:ind w:firstLine="420" w:firstLineChars="200"/>
        <w:rPr>
          <w:rFonts w:hint="eastAsia" w:ascii="宋体" w:hAnsi="宋体"/>
          <w:szCs w:val="21"/>
          <w:u w:val="none"/>
        </w:rPr>
      </w:pPr>
      <w:r>
        <w:rPr>
          <w:rFonts w:hint="eastAsia" w:ascii="宋体" w:hAnsi="宋体"/>
          <w:szCs w:val="21"/>
          <w:u w:val="none"/>
        </w:rPr>
        <w:t>9.国有资本经营预算支出表</w:t>
      </w:r>
    </w:p>
    <w:p>
      <w:pPr>
        <w:spacing w:line="420" w:lineRule="exact"/>
        <w:ind w:firstLine="420" w:firstLineChars="200"/>
        <w:rPr>
          <w:rFonts w:hint="eastAsia" w:ascii="宋体" w:hAnsi="宋体"/>
          <w:szCs w:val="21"/>
          <w:u w:val="none"/>
        </w:rPr>
      </w:pPr>
      <w:r>
        <w:rPr>
          <w:rFonts w:hint="eastAsia" w:ascii="宋体" w:hAnsi="宋体"/>
          <w:szCs w:val="21"/>
          <w:u w:val="none"/>
        </w:rPr>
        <w:t>10.上级专项转移支付支出表</w:t>
      </w:r>
    </w:p>
    <w:p>
      <w:pPr>
        <w:spacing w:line="420" w:lineRule="exact"/>
        <w:ind w:firstLine="420" w:firstLineChars="200"/>
        <w:rPr>
          <w:rFonts w:hint="eastAsia" w:ascii="宋体" w:hAnsi="宋体"/>
          <w:szCs w:val="21"/>
          <w:u w:val="none"/>
        </w:rPr>
      </w:pPr>
      <w:r>
        <w:rPr>
          <w:rFonts w:hint="eastAsia" w:ascii="宋体" w:hAnsi="宋体"/>
          <w:szCs w:val="21"/>
          <w:u w:val="none"/>
        </w:rPr>
        <w:t>11.政府采购项目支出表</w:t>
      </w:r>
    </w:p>
    <w:p>
      <w:pPr>
        <w:spacing w:line="420" w:lineRule="exact"/>
        <w:ind w:firstLine="420" w:firstLineChars="200"/>
        <w:rPr>
          <w:rFonts w:hint="eastAsia" w:ascii="宋体" w:hAnsi="宋体"/>
          <w:szCs w:val="21"/>
          <w:u w:val="none"/>
        </w:rPr>
      </w:pPr>
      <w:r>
        <w:rPr>
          <w:rFonts w:hint="eastAsia" w:ascii="宋体" w:hAnsi="宋体"/>
          <w:szCs w:val="21"/>
          <w:u w:val="none"/>
        </w:rPr>
        <w:t>12.</w:t>
      </w:r>
      <w:r>
        <w:rPr>
          <w:rFonts w:hint="eastAsia" w:ascii="宋体" w:hAnsi="宋体"/>
          <w:szCs w:val="21"/>
          <w:u w:val="none"/>
          <w:lang w:val="en-US" w:eastAsia="zh-CN"/>
        </w:rPr>
        <w:t>一般公共预算</w:t>
      </w:r>
      <w:r>
        <w:rPr>
          <w:rFonts w:hint="eastAsia" w:ascii="宋体" w:hAnsi="宋体"/>
          <w:szCs w:val="21"/>
          <w:u w:val="none"/>
        </w:rPr>
        <w:t>“三公”经费</w:t>
      </w:r>
      <w:r>
        <w:rPr>
          <w:rFonts w:hint="eastAsia" w:ascii="宋体" w:hAnsi="宋体"/>
          <w:szCs w:val="21"/>
          <w:u w:val="none"/>
          <w:lang w:val="en-US" w:eastAsia="zh-CN"/>
        </w:rPr>
        <w:t>支出</w:t>
      </w:r>
      <w:r>
        <w:rPr>
          <w:rFonts w:hint="eastAsia" w:ascii="宋体" w:hAnsi="宋体"/>
          <w:szCs w:val="21"/>
          <w:u w:val="none"/>
        </w:rPr>
        <w:t>表</w:t>
      </w:r>
    </w:p>
    <w:p>
      <w:pPr>
        <w:spacing w:line="420" w:lineRule="exact"/>
        <w:ind w:firstLine="420" w:firstLineChars="200"/>
        <w:rPr>
          <w:rFonts w:hint="eastAsia" w:ascii="宋体" w:hAnsi="宋体"/>
          <w:szCs w:val="21"/>
          <w:u w:val="none"/>
        </w:rPr>
      </w:pPr>
      <w:r>
        <w:rPr>
          <w:rFonts w:hint="eastAsia" w:ascii="宋体" w:hAnsi="宋体"/>
          <w:szCs w:val="21"/>
          <w:u w:val="none"/>
        </w:rPr>
        <w:t>13.部门预算绩效管理项目情况表</w:t>
      </w:r>
    </w:p>
    <w:p>
      <w:pPr>
        <w:spacing w:line="420" w:lineRule="exact"/>
        <w:ind w:firstLine="420" w:firstLineChars="200"/>
        <w:rPr>
          <w:rFonts w:hint="eastAsia" w:ascii="宋体" w:hAnsi="宋体"/>
          <w:szCs w:val="21"/>
          <w:highlight w:val="none"/>
          <w:u w:val="none"/>
          <w:shd w:val="clear" w:color="auto" w:fill="FFFFFF"/>
        </w:rPr>
      </w:pPr>
      <w:r>
        <w:rPr>
          <w:rFonts w:hint="eastAsia" w:ascii="宋体" w:hAnsi="宋体"/>
          <w:szCs w:val="21"/>
          <w:highlight w:val="none"/>
          <w:u w:val="none"/>
          <w:shd w:val="clear" w:color="auto" w:fill="FFFFFF"/>
        </w:rPr>
        <w:t>14.部门整体支出绩效目标表</w:t>
      </w:r>
    </w:p>
    <w:p>
      <w:pPr>
        <w:spacing w:line="420" w:lineRule="exact"/>
        <w:ind w:firstLine="420" w:firstLineChars="200"/>
        <w:rPr>
          <w:rFonts w:hint="default" w:ascii="宋体" w:hAnsi="宋体" w:eastAsia="宋体"/>
          <w:szCs w:val="21"/>
          <w:highlight w:val="none"/>
          <w:u w:val="none"/>
          <w:shd w:val="clear" w:color="auto" w:fill="FFFFFF"/>
          <w:lang w:val="en-US" w:eastAsia="zh-CN"/>
        </w:rPr>
      </w:pPr>
      <w:r>
        <w:rPr>
          <w:rFonts w:hint="eastAsia" w:ascii="宋体" w:hAnsi="宋体"/>
          <w:szCs w:val="21"/>
          <w:highlight w:val="none"/>
          <w:u w:val="none"/>
          <w:shd w:val="clear" w:color="auto" w:fill="FFFFFF"/>
          <w:lang w:val="en-US" w:eastAsia="zh-CN"/>
        </w:rPr>
        <w:t>15.项目支出绩效目标表</w:t>
      </w:r>
    </w:p>
    <w:p>
      <w:pPr>
        <w:spacing w:line="420" w:lineRule="exact"/>
        <w:ind w:firstLine="420" w:firstLineChars="200"/>
        <w:rPr>
          <w:rFonts w:hint="default" w:ascii="宋体" w:hAnsi="宋体"/>
          <w:szCs w:val="21"/>
          <w:highlight w:val="none"/>
          <w:u w:val="none"/>
          <w:shd w:val="clear" w:color="auto" w:fill="FFFFFF"/>
          <w:lang w:val="en-US" w:eastAsia="zh-CN"/>
        </w:rPr>
      </w:pPr>
    </w:p>
    <w:p>
      <w:pPr>
        <w:rPr>
          <w:rFonts w:hint="eastAsia" w:ascii="宋体" w:hAnsi="宋体" w:eastAsia="宋体" w:cs="宋体"/>
          <w:sz w:val="24"/>
          <w:szCs w:val="24"/>
        </w:rPr>
      </w:pPr>
      <w:r>
        <w:rPr>
          <w:rFonts w:hint="eastAsia" w:ascii="宋体" w:hAnsi="宋体" w:eastAsia="宋体" w:cs="宋体"/>
          <w:sz w:val="24"/>
          <w:szCs w:val="24"/>
        </w:rPr>
        <w:br w:type="page"/>
      </w:r>
    </w:p>
    <w:p>
      <w:pPr>
        <w:jc w:val="left"/>
        <w:rPr>
          <w:rFonts w:hint="eastAsia" w:ascii="宋体" w:hAnsi="宋体" w:eastAsia="宋体" w:cs="宋体"/>
          <w:sz w:val="24"/>
          <w:szCs w:val="24"/>
        </w:rPr>
      </w:pPr>
      <w:r>
        <w:rPr>
          <w:rFonts w:hint="eastAsia" w:ascii="宋体" w:hAnsi="宋体" w:eastAsia="宋体" w:cs="宋体"/>
          <w:sz w:val="24"/>
          <w:szCs w:val="24"/>
        </w:rPr>
        <w:t>表.1</w:t>
      </w:r>
    </w:p>
    <w:p>
      <w:pPr>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收支总表</w:t>
      </w:r>
    </w:p>
    <w:p>
      <w:pPr>
        <w:jc w:val="center"/>
        <w:rPr>
          <w:rFonts w:hint="eastAsia"/>
          <w:b/>
          <w:bCs/>
          <w:sz w:val="21"/>
          <w:szCs w:val="21"/>
        </w:rPr>
      </w:pPr>
      <w:r>
        <w:rPr>
          <w:rFonts w:hint="eastAsia" w:ascii="宋体" w:hAnsi="宋体" w:eastAsia="宋体" w:cs="宋体"/>
          <w:sz w:val="20"/>
          <w:szCs w:val="20"/>
        </w:rPr>
        <w:t xml:space="preserve">     </w:t>
      </w:r>
      <w:r>
        <w:rPr>
          <w:rFonts w:hint="eastAsia"/>
          <w:b/>
          <w:bCs/>
          <w:sz w:val="21"/>
          <w:szCs w:val="21"/>
        </w:rPr>
        <w:t xml:space="preserve">                         </w:t>
      </w:r>
    </w:p>
    <w:tbl>
      <w:tblPr>
        <w:tblStyle w:val="10"/>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2"/>
        <w:gridCol w:w="2069"/>
        <w:gridCol w:w="3023"/>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8124" w:type="dxa"/>
            <w:gridSpan w:val="3"/>
            <w:tcBorders>
              <w:top w:val="nil"/>
              <w:left w:val="nil"/>
              <w:bottom w:val="single" w:color="000000" w:sz="4" w:space="0"/>
              <w:right w:val="nil"/>
            </w:tcBorders>
            <w:vAlign w:val="center"/>
          </w:tcPr>
          <w:p>
            <w:pPr>
              <w:jc w:val="left"/>
              <w:rPr>
                <w:rFonts w:hint="eastAsia" w:ascii="宋体" w:hAnsi="宋体" w:eastAsia="宋体" w:cs="宋体"/>
                <w:sz w:val="20"/>
                <w:szCs w:val="20"/>
              </w:rPr>
            </w:pPr>
            <w:r>
              <w:rPr>
                <w:rFonts w:hint="eastAsia" w:ascii="宋体" w:hAnsi="宋体" w:eastAsia="宋体" w:cs="宋体"/>
                <w:sz w:val="20"/>
                <w:szCs w:val="20"/>
              </w:rPr>
              <w:t>单位名称：</w:t>
            </w:r>
            <w:r>
              <w:rPr>
                <w:rFonts w:hint="eastAsia" w:ascii="宋体" w:hAnsi="宋体" w:eastAsia="宋体" w:cs="宋体"/>
                <w:sz w:val="20"/>
                <w:szCs w:val="20"/>
                <w:lang w:eastAsia="zh-CN"/>
              </w:rPr>
              <w:t>深圳市罗湖区财政局</w:t>
            </w:r>
            <w:r>
              <w:rPr>
                <w:rFonts w:hint="eastAsia" w:ascii="宋体" w:hAnsi="宋体" w:eastAsia="宋体" w:cs="宋体"/>
                <w:sz w:val="20"/>
                <w:szCs w:val="20"/>
              </w:rPr>
              <w:t xml:space="preserve"> </w:t>
            </w:r>
          </w:p>
        </w:tc>
        <w:tc>
          <w:tcPr>
            <w:tcW w:w="2081" w:type="dxa"/>
            <w:tcBorders>
              <w:top w:val="nil"/>
              <w:left w:val="nil"/>
              <w:bottom w:val="single" w:color="000000" w:sz="4" w:space="0"/>
              <w:right w:val="nil"/>
            </w:tcBorders>
            <w:vAlign w:val="center"/>
          </w:tcPr>
          <w:p>
            <w:pPr>
              <w:jc w:val="right"/>
              <w:rPr>
                <w:rFonts w:hint="eastAsia" w:ascii="宋体" w:hAnsi="宋体" w:eastAsia="宋体" w:cs="宋体"/>
                <w:sz w:val="20"/>
                <w:szCs w:val="20"/>
              </w:rPr>
            </w:pPr>
            <w:r>
              <w:rPr>
                <w:rFonts w:hint="eastAsia" w:ascii="宋体" w:hAnsi="宋体" w:eastAsia="宋体" w:cs="宋体"/>
                <w:sz w:val="20"/>
                <w:szCs w:val="20"/>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51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收            入</w:t>
            </w:r>
          </w:p>
        </w:tc>
        <w:tc>
          <w:tcPr>
            <w:tcW w:w="51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项  目</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lang w:eastAsia="zh-CN"/>
              </w:rPr>
              <w:t>2021</w:t>
            </w:r>
            <w:r>
              <w:rPr>
                <w:rFonts w:hint="eastAsia" w:ascii="宋体" w:hAnsi="宋体" w:eastAsia="宋体" w:cs="宋体"/>
                <w:sz w:val="20"/>
                <w:szCs w:val="20"/>
              </w:rPr>
              <w:t xml:space="preserve"> 年预算数</w:t>
            </w:r>
          </w:p>
        </w:tc>
        <w:tc>
          <w:tcPr>
            <w:tcW w:w="30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项  目</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lang w:eastAsia="zh-CN"/>
              </w:rPr>
              <w:t>2021</w:t>
            </w:r>
            <w:r>
              <w:rPr>
                <w:rFonts w:hint="eastAsia" w:ascii="宋体" w:hAnsi="宋体" w:eastAsia="宋体" w:cs="宋体"/>
                <w:sz w:val="20"/>
                <w:szCs w:val="20"/>
              </w:rPr>
              <w:t xml:space="preserve"> 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一、政府预算拨款</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5,026.40</w:t>
            </w: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rPr>
                <w:rFonts w:hint="eastAsia"/>
                <w:lang w:val="en-US" w:eastAsia="zh-CN"/>
              </w:rPr>
              <w:t>一、</w:t>
            </w:r>
            <w:r>
              <w:t>一般公共服务支出</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4,108.46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1.一般公共预算拨款</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5,026.40</w:t>
            </w: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财政事务</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4,083.52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2.政府性基金预算拨款</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行政运行</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1,604.98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3.国有资本经营预算拨款</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一般行政管理事务</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358.80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二、财政专户管理资金</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预算改革业务</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三、单位资金</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财政国库业务</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1,030.30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1.事业收入</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其他财政事务支出</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987.38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2.事业单位经营收入</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组织事务</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其他组织事务支出</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rPr>
                <w:rFonts w:hint="eastAsia"/>
                <w:lang w:val="en-US" w:eastAsia="zh-CN"/>
              </w:rPr>
              <w:t>二、</w:t>
            </w:r>
            <w:r>
              <w:t>社会保障和就业支出</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490.54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行政事业单位养老支出</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490.54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行政单位离退休</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214.13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机关事业单位基本养老保险缴费支出</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184.36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机关事业单位职业年金缴费支出</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92.05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rPr>
                <w:rFonts w:hint="eastAsia"/>
                <w:lang w:val="en-US" w:eastAsia="zh-CN"/>
              </w:rPr>
              <w:t>三、</w:t>
            </w:r>
            <w:r>
              <w:t>卫生健康支出</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行政事业单位医疗</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行政单位医疗</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rPr>
                <w:rFonts w:hint="eastAsia"/>
                <w:lang w:val="en-US" w:eastAsia="zh-CN"/>
              </w:rPr>
              <w:t>四、</w:t>
            </w:r>
            <w:r>
              <w:t>农林水支出</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扶贫</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其他扶贫支出</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rPr>
                <w:rFonts w:hint="eastAsia"/>
                <w:lang w:val="en-US" w:eastAsia="zh-CN"/>
              </w:rPr>
              <w:t>五、</w:t>
            </w:r>
            <w:r>
              <w:t>住房保障支出</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住房改革支出</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住房公积金</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186.12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购房补贴</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3.上级补助收入</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rPr>
                <w:rFonts w:hint="eastAsia"/>
                <w:lang w:val="en-US" w:eastAsia="zh-CN"/>
              </w:rPr>
              <w:t>六、</w:t>
            </w:r>
            <w:r>
              <w:t>上缴上级支出</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4.附属单位上缴收入</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rPr>
                <w:rFonts w:hint="eastAsia"/>
                <w:lang w:val="en-US" w:eastAsia="zh-CN"/>
              </w:rPr>
              <w:t>七、</w:t>
            </w:r>
            <w:r>
              <w:t>对附属单位补助支出</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5.其他收入</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本年收入合计      </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5,026.40</w:t>
            </w: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本年支出合计      </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5,026.40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上年结余、结转</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结转下年</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收入总计      </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5,026.40</w:t>
            </w: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支出总计      </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5,026.40</w:t>
            </w:r>
          </w:p>
        </w:tc>
      </w:tr>
    </w:tbl>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表.2</w:t>
      </w:r>
    </w:p>
    <w:p>
      <w:pPr>
        <w:jc w:val="center"/>
        <w:rPr>
          <w:rFonts w:hint="eastAsia" w:ascii="宋体" w:hAnsi="宋体" w:eastAsia="宋体" w:cs="宋体"/>
          <w:sz w:val="24"/>
          <w:szCs w:val="24"/>
          <w:lang w:val="en-US" w:eastAsia="zh-CN"/>
        </w:rPr>
      </w:pPr>
      <w:r>
        <w:rPr>
          <w:rFonts w:hint="eastAsia" w:ascii="宋体" w:hAnsi="宋体" w:cs="宋体"/>
          <w:b/>
          <w:bCs/>
          <w:sz w:val="32"/>
          <w:szCs w:val="32"/>
          <w:lang w:val="en-US" w:eastAsia="zh-CN"/>
        </w:rPr>
        <w:t>收入总表</w:t>
      </w:r>
    </w:p>
    <w:tbl>
      <w:tblPr>
        <w:tblStyle w:val="10"/>
        <w:tblpPr w:leftFromText="180" w:rightFromText="180" w:vertAnchor="text" w:horzAnchor="page" w:tblpX="896" w:tblpY="63"/>
        <w:tblOverlap w:val="never"/>
        <w:tblW w:w="10185" w:type="dxa"/>
        <w:tblInd w:w="0" w:type="dxa"/>
        <w:shd w:val="clear" w:color="auto" w:fill="auto"/>
        <w:tblLayout w:type="fixed"/>
        <w:tblCellMar>
          <w:top w:w="0" w:type="dxa"/>
          <w:left w:w="0" w:type="dxa"/>
          <w:bottom w:w="0" w:type="dxa"/>
          <w:right w:w="0" w:type="dxa"/>
        </w:tblCellMar>
      </w:tblPr>
      <w:tblGrid>
        <w:gridCol w:w="1440"/>
        <w:gridCol w:w="876"/>
        <w:gridCol w:w="828"/>
        <w:gridCol w:w="811"/>
        <w:gridCol w:w="570"/>
        <w:gridCol w:w="555"/>
        <w:gridCol w:w="575"/>
        <w:gridCol w:w="555"/>
        <w:gridCol w:w="600"/>
        <w:gridCol w:w="585"/>
        <w:gridCol w:w="600"/>
        <w:gridCol w:w="615"/>
        <w:gridCol w:w="615"/>
        <w:gridCol w:w="540"/>
        <w:gridCol w:w="420"/>
      </w:tblGrid>
      <w:tr>
        <w:tblPrEx>
          <w:shd w:val="clear" w:color="auto" w:fill="auto"/>
          <w:tblLayout w:type="fixed"/>
          <w:tblCellMar>
            <w:top w:w="0" w:type="dxa"/>
            <w:left w:w="0" w:type="dxa"/>
            <w:bottom w:w="0" w:type="dxa"/>
            <w:right w:w="0" w:type="dxa"/>
          </w:tblCellMar>
        </w:tblPrEx>
        <w:trPr>
          <w:cantSplit/>
          <w:trHeight w:val="333" w:hRule="atLeast"/>
          <w:tblHeader/>
        </w:trPr>
        <w:tc>
          <w:tcPr>
            <w:tcW w:w="9225" w:type="dxa"/>
            <w:gridSpan w:val="13"/>
            <w:tcBorders>
              <w:top w:val="nil"/>
              <w:left w:val="nil"/>
              <w:bottom w:val="single" w:color="auto" w:sz="4" w:space="0"/>
              <w:right w:val="nil"/>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单位名称：深圳市罗湖区财政局 </w:t>
            </w:r>
          </w:p>
        </w:tc>
        <w:tc>
          <w:tcPr>
            <w:tcW w:w="960" w:type="dxa"/>
            <w:gridSpan w:val="2"/>
            <w:tcBorders>
              <w:top w:val="nil"/>
              <w:left w:val="nil"/>
              <w:bottom w:val="single" w:color="auto" w:sz="4" w:space="0"/>
              <w:right w:val="nil"/>
            </w:tcBorders>
            <w:shd w:val="clear" w:color="auto" w:fill="auto"/>
            <w:tcMar>
              <w:top w:w="12" w:type="dxa"/>
              <w:left w:w="12" w:type="dxa"/>
              <w:right w:w="12"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shd w:val="clear" w:color="auto" w:fill="auto"/>
          <w:tblLayout w:type="fixed"/>
          <w:tblCellMar>
            <w:top w:w="0" w:type="dxa"/>
            <w:left w:w="0" w:type="dxa"/>
            <w:bottom w:w="0" w:type="dxa"/>
            <w:right w:w="0" w:type="dxa"/>
          </w:tblCellMar>
        </w:tblPrEx>
        <w:trPr>
          <w:cantSplit/>
          <w:trHeight w:val="333" w:hRule="atLeast"/>
          <w:tblHeader/>
        </w:trPr>
        <w:tc>
          <w:tcPr>
            <w:tcW w:w="14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预算单位</w:t>
            </w:r>
          </w:p>
        </w:tc>
        <w:tc>
          <w:tcPr>
            <w:tcW w:w="87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收入总计</w:t>
            </w:r>
          </w:p>
        </w:tc>
        <w:tc>
          <w:tcPr>
            <w:tcW w:w="7449" w:type="dxa"/>
            <w:gridSpan w:val="1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本年收入</w:t>
            </w:r>
          </w:p>
        </w:tc>
        <w:tc>
          <w:tcPr>
            <w:tcW w:w="42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上年结余、结转</w:t>
            </w:r>
          </w:p>
        </w:tc>
      </w:tr>
      <w:tr>
        <w:tblPrEx>
          <w:shd w:val="clear" w:color="auto" w:fill="auto"/>
          <w:tblLayout w:type="fixed"/>
          <w:tblCellMar>
            <w:top w:w="0" w:type="dxa"/>
            <w:left w:w="0" w:type="dxa"/>
            <w:bottom w:w="0" w:type="dxa"/>
            <w:right w:w="0" w:type="dxa"/>
          </w:tblCellMar>
        </w:tblPrEx>
        <w:trPr>
          <w:cantSplit/>
          <w:trHeight w:val="333" w:hRule="atLeast"/>
          <w:tblHeader/>
        </w:trPr>
        <w:tc>
          <w:tcPr>
            <w:tcW w:w="14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894" w:type="dxa"/>
            <w:gridSpan w:val="6"/>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6"/>
                <w:rFonts w:hint="eastAsia"/>
                <w:color w:val="auto"/>
                <w:lang w:val="en-US" w:eastAsia="zh-CN" w:bidi="ar"/>
              </w:rPr>
              <w:t>政府</w:t>
            </w:r>
            <w:r>
              <w:rPr>
                <w:rStyle w:val="16"/>
                <w:color w:val="auto"/>
                <w:lang w:val="en-US" w:eastAsia="zh-CN" w:bidi="ar"/>
              </w:rPr>
              <w:t>预算拨款</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财政专户管理资金</w:t>
            </w:r>
          </w:p>
        </w:tc>
        <w:tc>
          <w:tcPr>
            <w:tcW w:w="2955" w:type="dxa"/>
            <w:gridSpan w:val="5"/>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单位资金</w:t>
            </w:r>
          </w:p>
        </w:tc>
        <w:tc>
          <w:tcPr>
            <w:tcW w:w="42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cantSplit/>
          <w:trHeight w:val="333" w:hRule="atLeast"/>
          <w:tblHeader/>
        </w:trPr>
        <w:tc>
          <w:tcPr>
            <w:tcW w:w="14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2764" w:type="dxa"/>
            <w:gridSpan w:val="4"/>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一般公共预算拨款</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政府性基金预算拨款</w:t>
            </w:r>
          </w:p>
        </w:tc>
        <w:tc>
          <w:tcPr>
            <w:tcW w:w="55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国有资本经营预算拨款</w:t>
            </w: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事业收入</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事业单位经营收入</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上级补助收入</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附属单位上缴收入</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42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cantSplit/>
          <w:trHeight w:val="1140" w:hRule="atLeast"/>
          <w:tblHeader/>
        </w:trPr>
        <w:tc>
          <w:tcPr>
            <w:tcW w:w="14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8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rPr>
              <w:t>一般性经费拨款</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财政专项资金拨款</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政府投资项目拨款</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FFFF0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FFFF0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FFFF0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0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0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cantSplit/>
          <w:trHeight w:val="303" w:hRule="atLeast"/>
        </w:trPr>
        <w:tc>
          <w:tcPr>
            <w:tcW w:w="1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eastAsia" w:ascii="宋体" w:hAnsi="宋体" w:eastAsia="宋体" w:cs="宋体"/>
                <w:b/>
                <w:i w:val="0"/>
                <w:color w:val="000000"/>
                <w:sz w:val="20"/>
                <w:szCs w:val="20"/>
                <w:u w:val="none"/>
              </w:rPr>
            </w:pPr>
            <w:r>
              <w:t>深圳市罗湖区财政局</w:t>
            </w:r>
          </w:p>
        </w:tc>
        <w:tc>
          <w:tcPr>
            <w:tcW w:w="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r>
              <w:t>5,026.40</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r>
              <w:t>5,026.40</w:t>
            </w:r>
          </w:p>
        </w:tc>
        <w:tc>
          <w:tcPr>
            <w:tcW w:w="8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r>
              <w:t>5,026.40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55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5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55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58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4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cantSplit/>
          <w:trHeight w:val="303" w:hRule="atLeast"/>
        </w:trPr>
        <w:tc>
          <w:tcPr>
            <w:tcW w:w="1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eastAsia" w:ascii="宋体" w:hAnsi="宋体" w:eastAsia="宋体" w:cs="宋体"/>
                <w:b/>
                <w:i w:val="0"/>
                <w:color w:val="000000"/>
                <w:sz w:val="20"/>
                <w:szCs w:val="20"/>
                <w:u w:val="none"/>
              </w:rPr>
            </w:pPr>
            <w:r>
              <w:t xml:space="preserve">  深圳市罗湖区财政局</w:t>
            </w:r>
          </w:p>
        </w:tc>
        <w:tc>
          <w:tcPr>
            <w:tcW w:w="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r>
              <w:t>5,026.40</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r>
              <w:t>5,026.40</w:t>
            </w:r>
          </w:p>
        </w:tc>
        <w:tc>
          <w:tcPr>
            <w:tcW w:w="8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r>
              <w:t>5,026.40</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55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5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55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58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宋体" w:hAnsi="宋体" w:eastAsia="宋体" w:cs="宋体"/>
                <w:b/>
                <w:i w:val="0"/>
                <w:color w:val="000000"/>
                <w:sz w:val="20"/>
                <w:szCs w:val="20"/>
                <w:u w:val="none"/>
              </w:rPr>
            </w:pPr>
          </w:p>
        </w:tc>
        <w:tc>
          <w:tcPr>
            <w:tcW w:w="4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bl>
    <w:p>
      <w:pPr>
        <w:jc w:val="center"/>
        <w:rPr>
          <w:rFonts w:hint="eastAsia"/>
          <w:b/>
          <w:bCs/>
          <w:sz w:val="20"/>
          <w:szCs w:val="20"/>
        </w:rPr>
      </w:pPr>
    </w:p>
    <w:p>
      <w:pPr>
        <w:rPr>
          <w:rFonts w:hint="eastAsia"/>
        </w:rPr>
      </w:pPr>
    </w:p>
    <w:p>
      <w:pPr>
        <w:rPr>
          <w:rFonts w:hint="eastAsia"/>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表.3</w:t>
      </w:r>
    </w:p>
    <w:p>
      <w:pPr>
        <w:jc w:val="center"/>
        <w:rPr>
          <w:rFonts w:hint="eastAsia" w:ascii="宋体" w:hAnsi="宋体" w:eastAsia="宋体" w:cs="宋体"/>
          <w:b/>
          <w:bCs/>
          <w:sz w:val="32"/>
          <w:szCs w:val="32"/>
          <w:lang w:val="en-US" w:eastAsia="zh-CN"/>
        </w:rPr>
      </w:pPr>
      <w:r>
        <w:rPr>
          <w:rFonts w:hint="eastAsia"/>
          <w:b/>
          <w:bCs/>
          <w:sz w:val="32"/>
          <w:szCs w:val="32"/>
          <w:lang w:val="en-US" w:eastAsia="zh-CN"/>
        </w:rPr>
        <w:t>支出总表</w:t>
      </w:r>
    </w:p>
    <w:p>
      <w:pPr>
        <w:jc w:val="center"/>
        <w:rPr>
          <w:rFonts w:hint="eastAsia"/>
          <w:b/>
          <w:bCs/>
          <w:sz w:val="20"/>
          <w:szCs w:val="20"/>
        </w:rPr>
      </w:pPr>
    </w:p>
    <w:tbl>
      <w:tblPr>
        <w:tblStyle w:val="10"/>
        <w:tblW w:w="10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1335"/>
        <w:gridCol w:w="1185"/>
        <w:gridCol w:w="1215"/>
        <w:gridCol w:w="1353"/>
        <w:gridCol w:w="135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blHeader/>
          <w:jc w:val="center"/>
        </w:trPr>
        <w:tc>
          <w:tcPr>
            <w:tcW w:w="4950" w:type="dxa"/>
            <w:gridSpan w:val="3"/>
            <w:tcBorders>
              <w:top w:val="nil"/>
              <w:left w:val="nil"/>
              <w:bottom w:val="single" w:color="000000" w:sz="4" w:space="0"/>
              <w:right w:val="nil"/>
            </w:tcBorders>
            <w:vAlign w:val="center"/>
          </w:tcPr>
          <w:p>
            <w:pPr>
              <w:jc w:val="left"/>
              <w:rPr>
                <w:rFonts w:hint="eastAsia" w:ascii="宋体" w:hAnsi="宋体" w:eastAsia="宋体" w:cs="宋体"/>
                <w:sz w:val="20"/>
                <w:szCs w:val="20"/>
              </w:rPr>
            </w:pPr>
            <w:r>
              <w:rPr>
                <w:rFonts w:hint="eastAsia" w:ascii="宋体" w:hAnsi="宋体" w:eastAsia="宋体" w:cs="宋体"/>
                <w:sz w:val="20"/>
                <w:szCs w:val="20"/>
              </w:rPr>
              <w:t>单位名称：</w:t>
            </w:r>
            <w:r>
              <w:rPr>
                <w:rFonts w:hint="eastAsia" w:ascii="宋体" w:hAnsi="宋体" w:eastAsia="宋体" w:cs="宋体"/>
                <w:sz w:val="20"/>
                <w:szCs w:val="20"/>
                <w:lang w:eastAsia="zh-CN"/>
              </w:rPr>
              <w:t>深圳市罗湖区财政局</w:t>
            </w:r>
            <w:r>
              <w:rPr>
                <w:rFonts w:hint="eastAsia" w:ascii="宋体" w:hAnsi="宋体" w:eastAsia="宋体" w:cs="宋体"/>
                <w:sz w:val="20"/>
                <w:szCs w:val="20"/>
              </w:rPr>
              <w:t xml:space="preserve"> </w:t>
            </w:r>
          </w:p>
        </w:tc>
        <w:tc>
          <w:tcPr>
            <w:tcW w:w="1215" w:type="dxa"/>
            <w:tcBorders>
              <w:top w:val="nil"/>
              <w:left w:val="nil"/>
              <w:bottom w:val="single" w:color="000000" w:sz="4" w:space="0"/>
              <w:right w:val="nil"/>
            </w:tcBorders>
            <w:vAlign w:val="center"/>
          </w:tcPr>
          <w:p>
            <w:pPr>
              <w:ind w:left="420" w:firstLine="420"/>
              <w:jc w:val="right"/>
              <w:rPr>
                <w:rFonts w:hint="eastAsia" w:ascii="宋体" w:hAnsi="宋体" w:eastAsia="宋体" w:cs="宋体"/>
                <w:sz w:val="20"/>
                <w:szCs w:val="20"/>
              </w:rPr>
            </w:pPr>
          </w:p>
        </w:tc>
        <w:tc>
          <w:tcPr>
            <w:tcW w:w="1353" w:type="dxa"/>
            <w:tcBorders>
              <w:top w:val="nil"/>
              <w:left w:val="nil"/>
              <w:bottom w:val="single" w:color="000000" w:sz="4" w:space="0"/>
              <w:right w:val="nil"/>
            </w:tcBorders>
            <w:vAlign w:val="center"/>
          </w:tcPr>
          <w:p>
            <w:pPr>
              <w:ind w:left="420" w:firstLine="420"/>
              <w:jc w:val="right"/>
              <w:rPr>
                <w:rFonts w:hint="eastAsia" w:ascii="宋体" w:hAnsi="宋体" w:eastAsia="宋体" w:cs="宋体"/>
                <w:sz w:val="20"/>
                <w:szCs w:val="20"/>
              </w:rPr>
            </w:pPr>
          </w:p>
        </w:tc>
        <w:tc>
          <w:tcPr>
            <w:tcW w:w="1358" w:type="dxa"/>
            <w:tcBorders>
              <w:top w:val="nil"/>
              <w:left w:val="nil"/>
              <w:bottom w:val="single" w:color="000000" w:sz="4" w:space="0"/>
              <w:right w:val="nil"/>
            </w:tcBorders>
            <w:vAlign w:val="center"/>
          </w:tcPr>
          <w:p>
            <w:pPr>
              <w:ind w:left="420"/>
              <w:jc w:val="right"/>
              <w:rPr>
                <w:rFonts w:hint="eastAsia" w:ascii="宋体" w:hAnsi="宋体" w:eastAsia="宋体" w:cs="宋体"/>
                <w:sz w:val="20"/>
                <w:szCs w:val="20"/>
                <w:lang w:val="en-US" w:eastAsia="zh-CN"/>
              </w:rPr>
            </w:pPr>
          </w:p>
        </w:tc>
        <w:tc>
          <w:tcPr>
            <w:tcW w:w="1358" w:type="dxa"/>
            <w:tcBorders>
              <w:top w:val="nil"/>
              <w:left w:val="nil"/>
              <w:bottom w:val="single" w:color="000000" w:sz="4" w:space="0"/>
              <w:right w:val="nil"/>
            </w:tcBorders>
            <w:vAlign w:val="center"/>
          </w:tcPr>
          <w:p>
            <w:pPr>
              <w:jc w:val="both"/>
              <w:rPr>
                <w:rFonts w:hint="eastAsia" w:ascii="宋体" w:hAnsi="宋体" w:eastAsia="宋体" w:cs="宋体"/>
                <w:sz w:val="20"/>
                <w:szCs w:val="20"/>
              </w:rPr>
            </w:pPr>
            <w:r>
              <w:rPr>
                <w:rFonts w:hint="eastAsia" w:ascii="宋体" w:hAnsi="宋体" w:eastAsia="宋体" w:cs="宋体"/>
                <w:sz w:val="20"/>
                <w:szCs w:val="20"/>
              </w:rPr>
              <w:t>单位：</w:t>
            </w:r>
            <w:r>
              <w:rPr>
                <w:rFonts w:hint="eastAsia" w:ascii="宋体" w:hAnsi="宋体" w:eastAsia="宋体" w:cs="宋体"/>
                <w:sz w:val="20"/>
                <w:szCs w:val="20"/>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blHeader/>
          <w:jc w:val="center"/>
        </w:trPr>
        <w:tc>
          <w:tcPr>
            <w:tcW w:w="243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预算单位</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支出总计</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基本支出</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项目支出</w:t>
            </w:r>
          </w:p>
        </w:tc>
        <w:tc>
          <w:tcPr>
            <w:tcW w:w="406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lang w:eastAsia="zh-CN"/>
              </w:rPr>
              <w:t>2021 年政府采购项目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4" w:hRule="atLeast"/>
          <w:tblHeader/>
          <w:jc w:val="center"/>
        </w:trPr>
        <w:tc>
          <w:tcPr>
            <w:tcW w:w="24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p>
        </w:tc>
        <w:tc>
          <w:tcPr>
            <w:tcW w:w="13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小计</w:t>
            </w:r>
          </w:p>
        </w:tc>
        <w:tc>
          <w:tcPr>
            <w:tcW w:w="135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rPr>
                <w:rFonts w:hint="eastAsia" w:ascii="宋体" w:hAnsi="宋体" w:eastAsia="宋体" w:cs="宋体"/>
                <w:sz w:val="20"/>
                <w:szCs w:val="20"/>
                <w:lang w:eastAsia="zh-CN"/>
              </w:rPr>
              <w:t>2021</w:t>
            </w:r>
            <w:r>
              <w:rPr>
                <w:rFonts w:hint="eastAsia" w:ascii="宋体" w:hAnsi="宋体" w:cs="宋体"/>
                <w:sz w:val="20"/>
                <w:szCs w:val="20"/>
                <w:lang w:val="en-US" w:eastAsia="zh-CN"/>
              </w:rPr>
              <w:t>年</w:t>
            </w:r>
            <w:r>
              <w:rPr>
                <w:rFonts w:hint="eastAsia" w:ascii="宋体" w:hAnsi="宋体" w:eastAsia="宋体" w:cs="宋体"/>
                <w:sz w:val="20"/>
                <w:szCs w:val="20"/>
                <w:lang w:val="en-US" w:eastAsia="zh-CN"/>
              </w:rPr>
              <w:t>面向中小企业政府采购项目</w:t>
            </w:r>
          </w:p>
        </w:tc>
        <w:tc>
          <w:tcPr>
            <w:tcW w:w="135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rPr>
                <w:rFonts w:hint="eastAsia" w:ascii="宋体" w:hAnsi="宋体" w:eastAsia="宋体" w:cs="宋体"/>
                <w:sz w:val="20"/>
                <w:szCs w:val="20"/>
                <w:lang w:eastAsia="zh-CN"/>
              </w:rPr>
              <w:t>2021</w:t>
            </w:r>
            <w:r>
              <w:rPr>
                <w:rFonts w:hint="eastAsia" w:ascii="宋体" w:hAnsi="宋体" w:cs="宋体"/>
                <w:sz w:val="20"/>
                <w:szCs w:val="20"/>
                <w:lang w:val="en-US" w:eastAsia="zh-CN"/>
              </w:rPr>
              <w:t>年</w:t>
            </w:r>
            <w:r>
              <w:rPr>
                <w:rFonts w:hint="eastAsia" w:ascii="宋体" w:hAnsi="宋体" w:eastAsia="宋体" w:cs="宋体"/>
                <w:sz w:val="20"/>
                <w:szCs w:val="20"/>
                <w:lang w:val="en-US" w:eastAsia="zh-CN"/>
              </w:rPr>
              <w:t>面向小型、微型企业政府采购项目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jc w:val="center"/>
        </w:trPr>
        <w:tc>
          <w:tcPr>
            <w:tcW w:w="24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深圳市罗湖区财政局</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5,026.40</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2,492.32</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2,534.08</w:t>
            </w:r>
          </w:p>
        </w:tc>
        <w:tc>
          <w:tcPr>
            <w:tcW w:w="135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lang w:val="en-US" w:eastAsia="zh-CN"/>
              </w:rPr>
            </w:pPr>
            <w:r>
              <w:rPr>
                <w:rFonts w:hint="eastAsia"/>
                <w:lang w:val="en-US" w:eastAsia="zh-CN"/>
              </w:rPr>
              <w:t>260</w:t>
            </w:r>
          </w:p>
        </w:tc>
        <w:tc>
          <w:tcPr>
            <w:tcW w:w="135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lang w:val="en-US" w:eastAsia="zh-CN"/>
              </w:rPr>
            </w:pPr>
            <w:r>
              <w:rPr>
                <w:rFonts w:hint="eastAsia"/>
                <w:lang w:val="en-US" w:eastAsia="zh-CN"/>
              </w:rPr>
              <w:t>260</w:t>
            </w:r>
          </w:p>
        </w:tc>
        <w:tc>
          <w:tcPr>
            <w:tcW w:w="13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jc w:val="center"/>
        </w:trPr>
        <w:tc>
          <w:tcPr>
            <w:tcW w:w="24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5,026.40</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2,492.32</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2,534.08</w:t>
            </w:r>
          </w:p>
        </w:tc>
        <w:tc>
          <w:tcPr>
            <w:tcW w:w="135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lang w:val="en-US" w:eastAsia="zh-CN"/>
              </w:rPr>
            </w:pPr>
            <w:r>
              <w:rPr>
                <w:rFonts w:hint="eastAsia"/>
                <w:lang w:val="en-US" w:eastAsia="zh-CN"/>
              </w:rPr>
              <w:t>260</w:t>
            </w:r>
          </w:p>
        </w:tc>
        <w:tc>
          <w:tcPr>
            <w:tcW w:w="135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lang w:val="en-US" w:eastAsia="zh-CN"/>
              </w:rPr>
            </w:pPr>
            <w:r>
              <w:rPr>
                <w:rFonts w:hint="eastAsia"/>
                <w:lang w:val="en-US" w:eastAsia="zh-CN"/>
              </w:rPr>
              <w:t>260</w:t>
            </w:r>
          </w:p>
        </w:tc>
        <w:tc>
          <w:tcPr>
            <w:tcW w:w="13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bl>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ascii="宋体" w:hAnsi="宋体" w:eastAsia="宋体" w:cs="宋体"/>
          <w:b/>
          <w:bCs/>
          <w:color w:val="FF0000"/>
          <w:sz w:val="20"/>
          <w:szCs w:val="20"/>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ascii="宋体" w:hAnsi="宋体" w:eastAsia="宋体" w:cs="宋体"/>
          <w:b/>
          <w:bCs/>
          <w:color w:val="FF0000"/>
          <w:sz w:val="20"/>
          <w:szCs w:val="20"/>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rPr>
        <w:t>表.</w:t>
      </w:r>
      <w:r>
        <w:rPr>
          <w:rFonts w:hint="eastAsia" w:ascii="宋体" w:hAnsi="宋体" w:eastAsia="宋体" w:cs="宋体"/>
          <w:sz w:val="24"/>
          <w:szCs w:val="24"/>
          <w:lang w:val="en-US" w:eastAsia="zh-CN"/>
        </w:rPr>
        <w:t>4</w:t>
      </w:r>
    </w:p>
    <w:p>
      <w:pPr>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基本支出总表</w:t>
      </w:r>
    </w:p>
    <w:p>
      <w:pPr>
        <w:jc w:val="both"/>
        <w:rPr>
          <w:rFonts w:hint="eastAsia"/>
          <w:b/>
          <w:bCs/>
          <w:sz w:val="20"/>
          <w:szCs w:val="20"/>
        </w:rPr>
      </w:pPr>
    </w:p>
    <w:tbl>
      <w:tblPr>
        <w:tblStyle w:val="10"/>
        <w:tblW w:w="10245" w:type="dxa"/>
        <w:jc w:val="center"/>
        <w:tblInd w:w="0" w:type="dxa"/>
        <w:shd w:val="clear" w:color="auto" w:fill="auto"/>
        <w:tblLayout w:type="fixed"/>
        <w:tblCellMar>
          <w:top w:w="0" w:type="dxa"/>
          <w:left w:w="0" w:type="dxa"/>
          <w:bottom w:w="0" w:type="dxa"/>
          <w:right w:w="0" w:type="dxa"/>
        </w:tblCellMar>
      </w:tblPr>
      <w:tblGrid>
        <w:gridCol w:w="2153"/>
        <w:gridCol w:w="840"/>
        <w:gridCol w:w="864"/>
        <w:gridCol w:w="778"/>
        <w:gridCol w:w="690"/>
        <w:gridCol w:w="705"/>
        <w:gridCol w:w="645"/>
        <w:gridCol w:w="645"/>
        <w:gridCol w:w="690"/>
        <w:gridCol w:w="630"/>
        <w:gridCol w:w="660"/>
        <w:gridCol w:w="495"/>
        <w:gridCol w:w="450"/>
      </w:tblGrid>
      <w:tr>
        <w:tblPrEx>
          <w:tblLayout w:type="fixed"/>
          <w:tblCellMar>
            <w:top w:w="0" w:type="dxa"/>
            <w:left w:w="0" w:type="dxa"/>
            <w:bottom w:w="0" w:type="dxa"/>
            <w:right w:w="0" w:type="dxa"/>
          </w:tblCellMar>
        </w:tblPrEx>
        <w:trPr>
          <w:cantSplit/>
          <w:trHeight w:val="407" w:hRule="atLeast"/>
          <w:tblHeader/>
          <w:jc w:val="center"/>
        </w:trPr>
        <w:tc>
          <w:tcPr>
            <w:tcW w:w="9300" w:type="dxa"/>
            <w:gridSpan w:val="11"/>
            <w:tcBorders>
              <w:top w:val="nil"/>
              <w:left w:val="nil"/>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单位名称：深圳市罗湖区财政局  </w:t>
            </w:r>
          </w:p>
        </w:tc>
        <w:tc>
          <w:tcPr>
            <w:tcW w:w="945" w:type="dxa"/>
            <w:gridSpan w:val="2"/>
            <w:tcBorders>
              <w:top w:val="nil"/>
              <w:left w:val="nil"/>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Layout w:type="fixed"/>
          <w:tblCellMar>
            <w:top w:w="0" w:type="dxa"/>
            <w:left w:w="0" w:type="dxa"/>
            <w:bottom w:w="0" w:type="dxa"/>
            <w:right w:w="0" w:type="dxa"/>
          </w:tblCellMar>
        </w:tblPrEx>
        <w:trPr>
          <w:cantSplit/>
          <w:trHeight w:val="430" w:hRule="atLeast"/>
          <w:tblHeader/>
          <w:jc w:val="center"/>
        </w:trPr>
        <w:tc>
          <w:tcPr>
            <w:tcW w:w="2153"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预算单位</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3037" w:type="dxa"/>
            <w:gridSpan w:val="4"/>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政府预算拨款</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财政专户管理资金</w:t>
            </w:r>
          </w:p>
        </w:tc>
        <w:tc>
          <w:tcPr>
            <w:tcW w:w="3120" w:type="dxa"/>
            <w:gridSpan w:val="5"/>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单位资金</w:t>
            </w:r>
          </w:p>
        </w:tc>
        <w:tc>
          <w:tcPr>
            <w:tcW w:w="45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上年结余、结转</w:t>
            </w:r>
          </w:p>
        </w:tc>
      </w:tr>
      <w:tr>
        <w:tblPrEx>
          <w:tblLayout w:type="fixed"/>
          <w:tblCellMar>
            <w:top w:w="0" w:type="dxa"/>
            <w:left w:w="0" w:type="dxa"/>
            <w:bottom w:w="0" w:type="dxa"/>
            <w:right w:w="0" w:type="dxa"/>
          </w:tblCellMar>
        </w:tblPrEx>
        <w:trPr>
          <w:cantSplit/>
          <w:trHeight w:val="413" w:hRule="atLeast"/>
          <w:tblHeader/>
          <w:jc w:val="center"/>
        </w:trPr>
        <w:tc>
          <w:tcPr>
            <w:tcW w:w="2153"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一般公共预算拨款</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政府性基金预算拨款</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国有资本经营预算拨款</w:t>
            </w:r>
          </w:p>
        </w:tc>
        <w:tc>
          <w:tcPr>
            <w:tcW w:w="645" w:type="dxa"/>
            <w:vMerge w:val="continue"/>
            <w:tcBorders>
              <w:top w:val="single" w:color="auto" w:sz="4" w:space="0"/>
              <w:left w:val="single" w:color="auto" w:sz="4" w:space="0"/>
              <w:bottom w:val="single" w:color="auto" w:sz="4" w:space="0"/>
              <w:right w:val="single" w:color="auto" w:sz="4" w:space="0"/>
            </w:tcBorders>
            <w:shd w:val="clear" w:color="auto" w:fill="FFFF0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事业收入</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事业单位经营收入</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上级补助收入</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附属单位上缴收入</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其他收入</w:t>
            </w:r>
          </w:p>
        </w:tc>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深圳市罗湖区财政局</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2,492.32</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2,492.32</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2,492.32</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工资福利支出</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2,099.47</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2,099.47</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2,099.47</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基本工资</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201.69</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201.69</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201.69</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津贴补贴</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1,205.61</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1,205.61</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1,205.61</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奖金</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16.81</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16.81</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16.81</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绩效工资</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77.18</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77.18</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77.18</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机关事业单位基本养老保险缴费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184.36</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184.36</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184.36</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职业年金缴费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92.05</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92.05</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92.05</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职工基本医疗保险缴费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74.43</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74.43</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74.43</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其他社会保障缴费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6.24</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6.24</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6.24</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住房公积金</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186.12</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186.12</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186.12</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其他工资福利支出</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54.99</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54.99</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54.99</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商品和服务支出</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178.72</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178.72</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178.72</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办公费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40.00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40.00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40.00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印刷费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5.00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5.00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咨询费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水费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0.08</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0.08</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0.08</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电费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0.42</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0.42</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0.42</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邮电费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7.00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7.00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7.00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物业管理费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1.90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1.90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1.90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差旅费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8.00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8.00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8.00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维修(护)费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15.00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15.00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15.00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租赁费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1.41</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1.41</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1.41</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培训费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5.00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5.00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公务接待费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劳务费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3.00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3.00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3.00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委托业务费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5.00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5.00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工会经费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19.82</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19.82</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19.82</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福利费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3.30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3.30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3.30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公务用车运行维护费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10.60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10.60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10.60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其他交通费用</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25.19</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25.19</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25.19</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其他商品和服务支出</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4.00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4.00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4.00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办公设备购置</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20.00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20.00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对个人和家庭的补助</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214.13</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214.13</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214.13</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412" w:hRule="atLeast"/>
          <w:jc w:val="center"/>
        </w:trPr>
        <w:tc>
          <w:tcPr>
            <w:tcW w:w="2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退休费</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214.13</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214.13</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214.13</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bl>
    <w:p>
      <w:pPr>
        <w:jc w:val="left"/>
        <w:rPr>
          <w:rFonts w:hint="eastAsia"/>
          <w:sz w:val="18"/>
          <w:szCs w:val="18"/>
        </w:rPr>
      </w:pPr>
      <w:r>
        <w:rPr>
          <w:rFonts w:hint="eastAsia"/>
          <w:sz w:val="18"/>
          <w:szCs w:val="18"/>
        </w:rPr>
        <w:tab/>
      </w:r>
    </w:p>
    <w:p>
      <w:pPr>
        <w:rPr>
          <w:rFonts w:hint="eastAsia"/>
          <w:sz w:val="18"/>
          <w:szCs w:val="18"/>
        </w:rPr>
      </w:pPr>
    </w:p>
    <w:p>
      <w:pPr>
        <w:rPr>
          <w:rFonts w:hint="eastAsia"/>
          <w:sz w:val="18"/>
          <w:szCs w:val="18"/>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rPr>
        <w:t>表.</w:t>
      </w:r>
      <w:r>
        <w:rPr>
          <w:rFonts w:hint="eastAsia" w:ascii="宋体" w:hAnsi="宋体" w:eastAsia="宋体" w:cs="宋体"/>
          <w:sz w:val="24"/>
          <w:szCs w:val="24"/>
          <w:lang w:val="en-US" w:eastAsia="zh-CN"/>
        </w:rPr>
        <w:t>5</w:t>
      </w:r>
    </w:p>
    <w:p>
      <w:pPr>
        <w:jc w:val="center"/>
        <w:rPr>
          <w:rFonts w:hint="eastAsia"/>
          <w:b/>
          <w:bCs/>
          <w:sz w:val="32"/>
          <w:szCs w:val="32"/>
        </w:rPr>
      </w:pPr>
      <w:r>
        <w:rPr>
          <w:rFonts w:hint="eastAsia" w:ascii="宋体" w:hAnsi="宋体" w:cs="宋体"/>
          <w:b/>
          <w:bCs/>
          <w:sz w:val="32"/>
          <w:szCs w:val="32"/>
          <w:lang w:val="en-US" w:eastAsia="zh-CN"/>
        </w:rPr>
        <w:t>项目支出总表</w:t>
      </w:r>
    </w:p>
    <w:tbl>
      <w:tblPr>
        <w:tblStyle w:val="10"/>
        <w:tblW w:w="10245" w:type="dxa"/>
        <w:jc w:val="center"/>
        <w:tblInd w:w="0" w:type="dxa"/>
        <w:shd w:val="clear" w:color="auto" w:fill="auto"/>
        <w:tblLayout w:type="fixed"/>
        <w:tblCellMar>
          <w:top w:w="0" w:type="dxa"/>
          <w:left w:w="0" w:type="dxa"/>
          <w:bottom w:w="0" w:type="dxa"/>
          <w:right w:w="0" w:type="dxa"/>
        </w:tblCellMar>
      </w:tblPr>
      <w:tblGrid>
        <w:gridCol w:w="1997"/>
        <w:gridCol w:w="792"/>
        <w:gridCol w:w="864"/>
        <w:gridCol w:w="840"/>
        <w:gridCol w:w="516"/>
        <w:gridCol w:w="504"/>
        <w:gridCol w:w="540"/>
        <w:gridCol w:w="516"/>
        <w:gridCol w:w="466"/>
        <w:gridCol w:w="525"/>
        <w:gridCol w:w="570"/>
        <w:gridCol w:w="570"/>
        <w:gridCol w:w="600"/>
        <w:gridCol w:w="495"/>
        <w:gridCol w:w="450"/>
      </w:tblGrid>
      <w:tr>
        <w:tblPrEx>
          <w:shd w:val="clear" w:color="auto" w:fill="auto"/>
          <w:tblLayout w:type="fixed"/>
          <w:tblCellMar>
            <w:top w:w="0" w:type="dxa"/>
            <w:left w:w="0" w:type="dxa"/>
            <w:bottom w:w="0" w:type="dxa"/>
            <w:right w:w="0" w:type="dxa"/>
          </w:tblCellMar>
        </w:tblPrEx>
        <w:trPr>
          <w:cantSplit/>
          <w:trHeight w:val="333" w:hRule="atLeast"/>
          <w:tblHeader/>
          <w:jc w:val="center"/>
        </w:trPr>
        <w:tc>
          <w:tcPr>
            <w:tcW w:w="9300" w:type="dxa"/>
            <w:gridSpan w:val="13"/>
            <w:tcBorders>
              <w:top w:val="nil"/>
              <w:left w:val="nil"/>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r>
              <w:rPr>
                <w:rStyle w:val="19"/>
                <w:lang w:val="en-US" w:eastAsia="zh-CN" w:bidi="ar"/>
              </w:rPr>
              <w:t>深圳市罗湖区财政局</w:t>
            </w:r>
          </w:p>
        </w:tc>
        <w:tc>
          <w:tcPr>
            <w:tcW w:w="945" w:type="dxa"/>
            <w:gridSpan w:val="2"/>
            <w:tcBorders>
              <w:top w:val="nil"/>
              <w:left w:val="nil"/>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Layout w:type="fixed"/>
          <w:tblCellMar>
            <w:top w:w="0" w:type="dxa"/>
            <w:left w:w="0" w:type="dxa"/>
            <w:bottom w:w="0" w:type="dxa"/>
            <w:right w:w="0" w:type="dxa"/>
          </w:tblCellMar>
        </w:tblPrEx>
        <w:trPr>
          <w:cantSplit/>
          <w:trHeight w:val="333" w:hRule="atLeast"/>
          <w:tblHeader/>
          <w:jc w:val="center"/>
        </w:trPr>
        <w:tc>
          <w:tcPr>
            <w:tcW w:w="199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预算单位</w:t>
            </w:r>
          </w:p>
        </w:tc>
        <w:tc>
          <w:tcPr>
            <w:tcW w:w="792"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3780" w:type="dxa"/>
            <w:gridSpan w:val="6"/>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rPr>
              <w:t>政府</w:t>
            </w:r>
            <w:r>
              <w:rPr>
                <w:rFonts w:hint="eastAsia" w:ascii="宋体" w:hAnsi="宋体" w:eastAsia="宋体" w:cs="宋体"/>
                <w:i w:val="0"/>
                <w:color w:val="000000"/>
                <w:kern w:val="0"/>
                <w:sz w:val="20"/>
                <w:szCs w:val="20"/>
                <w:u w:val="none"/>
                <w:lang w:val="en-US" w:eastAsia="zh-CN" w:bidi="ar"/>
              </w:rPr>
              <w:t>预算拨款</w:t>
            </w:r>
          </w:p>
        </w:tc>
        <w:tc>
          <w:tcPr>
            <w:tcW w:w="46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财政专户管理资金</w:t>
            </w:r>
          </w:p>
        </w:tc>
        <w:tc>
          <w:tcPr>
            <w:tcW w:w="2760" w:type="dxa"/>
            <w:gridSpan w:val="5"/>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单位资金</w:t>
            </w:r>
          </w:p>
        </w:tc>
        <w:tc>
          <w:tcPr>
            <w:tcW w:w="45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上年结余、结转</w:t>
            </w:r>
          </w:p>
        </w:tc>
      </w:tr>
      <w:tr>
        <w:tblPrEx>
          <w:tblLayout w:type="fixed"/>
          <w:tblCellMar>
            <w:top w:w="0" w:type="dxa"/>
            <w:left w:w="0" w:type="dxa"/>
            <w:bottom w:w="0" w:type="dxa"/>
            <w:right w:w="0" w:type="dxa"/>
          </w:tblCellMar>
        </w:tblPrEx>
        <w:trPr>
          <w:cantSplit/>
          <w:trHeight w:val="333" w:hRule="atLeast"/>
          <w:tblHeader/>
          <w:jc w:val="center"/>
        </w:trPr>
        <w:tc>
          <w:tcPr>
            <w:tcW w:w="199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9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724" w:type="dxa"/>
            <w:gridSpan w:val="4"/>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一般公共预算拨款</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政府性基金预算拨款</w:t>
            </w:r>
          </w:p>
        </w:tc>
        <w:tc>
          <w:tcPr>
            <w:tcW w:w="51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国有资本经营预算拨款</w:t>
            </w:r>
          </w:p>
        </w:tc>
        <w:tc>
          <w:tcPr>
            <w:tcW w:w="4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57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事业单位经营收入</w:t>
            </w:r>
          </w:p>
        </w:tc>
        <w:tc>
          <w:tcPr>
            <w:tcW w:w="57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49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cantSplit/>
          <w:trHeight w:val="960" w:hRule="atLeast"/>
          <w:tblHeader/>
          <w:jc w:val="center"/>
        </w:trPr>
        <w:tc>
          <w:tcPr>
            <w:tcW w:w="199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9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sz w:val="20"/>
                <w:szCs w:val="20"/>
              </w:rPr>
              <w:t>一般性经费拨款</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财政专项资金拨款</w:t>
            </w: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政府投资项目拨款</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1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9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cantSplit/>
          <w:trHeight w:val="303" w:hRule="atLeast"/>
          <w:jc w:val="center"/>
        </w:trPr>
        <w:tc>
          <w:tcPr>
            <w:tcW w:w="19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深圳市罗湖区财政局</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2,534.08</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2,534.08</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2,534.08</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303" w:hRule="atLeast"/>
          <w:jc w:val="center"/>
        </w:trPr>
        <w:tc>
          <w:tcPr>
            <w:tcW w:w="19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一般性项目</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2,534.08</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2,534.08</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2,534.08</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303" w:hRule="atLeast"/>
          <w:jc w:val="center"/>
        </w:trPr>
        <w:tc>
          <w:tcPr>
            <w:tcW w:w="19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法律事务</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66.00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66.00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66.00</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303" w:hRule="atLeast"/>
          <w:jc w:val="center"/>
        </w:trPr>
        <w:tc>
          <w:tcPr>
            <w:tcW w:w="19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党政事务</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5.87</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5.87</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5.87</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303" w:hRule="atLeast"/>
          <w:jc w:val="center"/>
        </w:trPr>
        <w:tc>
          <w:tcPr>
            <w:tcW w:w="19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后勤保障</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20.75</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20.75</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20.75</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303" w:hRule="atLeast"/>
          <w:jc w:val="center"/>
        </w:trPr>
        <w:tc>
          <w:tcPr>
            <w:tcW w:w="19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其他管理事务</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337.31</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337.31</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337.31</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303" w:hRule="atLeast"/>
          <w:jc w:val="center"/>
        </w:trPr>
        <w:tc>
          <w:tcPr>
            <w:tcW w:w="19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扶贫工作</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30.60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30.60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30.60</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303" w:hRule="atLeast"/>
          <w:jc w:val="center"/>
        </w:trPr>
        <w:tc>
          <w:tcPr>
            <w:tcW w:w="19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债务管理</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88.00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88.00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88.00</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303" w:hRule="atLeast"/>
          <w:jc w:val="center"/>
        </w:trPr>
        <w:tc>
          <w:tcPr>
            <w:tcW w:w="19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部门预算</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69.75</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69.75</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69.75</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303" w:hRule="atLeast"/>
          <w:jc w:val="center"/>
        </w:trPr>
        <w:tc>
          <w:tcPr>
            <w:tcW w:w="19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财政资金管理</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1,030.30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1,030.30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1,030.30</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303" w:hRule="atLeast"/>
          <w:jc w:val="center"/>
        </w:trPr>
        <w:tc>
          <w:tcPr>
            <w:tcW w:w="19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预算绩效管理制度建设</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102.06</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102.06</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102.06</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303" w:hRule="atLeast"/>
          <w:jc w:val="center"/>
        </w:trPr>
        <w:tc>
          <w:tcPr>
            <w:tcW w:w="19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监督采购计划执行</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8.60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8.60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8.60</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303" w:hRule="atLeast"/>
          <w:jc w:val="center"/>
        </w:trPr>
        <w:tc>
          <w:tcPr>
            <w:tcW w:w="19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合同履约监督检查及评价</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137.54</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137.54</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137.54</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303" w:hRule="atLeast"/>
          <w:jc w:val="center"/>
        </w:trPr>
        <w:tc>
          <w:tcPr>
            <w:tcW w:w="19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预算准备金</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70.00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70.00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70.00</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303" w:hRule="atLeast"/>
          <w:jc w:val="center"/>
        </w:trPr>
        <w:tc>
          <w:tcPr>
            <w:tcW w:w="19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lang w:eastAsia="zh-CN"/>
              </w:rPr>
            </w:pPr>
            <w:r>
              <w:t xml:space="preserve">    干部</w:t>
            </w:r>
            <w:r>
              <w:rPr>
                <w:rFonts w:hint="eastAsia"/>
                <w:lang w:eastAsia="zh-CN"/>
              </w:rPr>
              <w:t>健康管理</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10.90</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10.90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10.90</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303" w:hRule="atLeast"/>
          <w:jc w:val="center"/>
        </w:trPr>
        <w:tc>
          <w:tcPr>
            <w:tcW w:w="19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0"/>
                <w:szCs w:val="20"/>
                <w:u w:val="none"/>
              </w:rPr>
            </w:pPr>
            <w:r>
              <w:t xml:space="preserve">    财政投资评审</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556.41</w:t>
            </w:r>
          </w:p>
        </w:tc>
        <w:tc>
          <w:tcPr>
            <w:tcW w:w="8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556.41</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r>
              <w:t>556.41</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bl>
    <w:p>
      <w:pPr>
        <w:jc w:val="center"/>
        <w:rPr>
          <w:rFonts w:hint="eastAsia"/>
          <w:b/>
          <w:bCs/>
          <w:sz w:val="20"/>
          <w:szCs w:val="20"/>
        </w:rPr>
      </w:pPr>
    </w:p>
    <w:p>
      <w:pPr>
        <w:rPr>
          <w:rFonts w:hint="eastAsia"/>
        </w:rPr>
      </w:pPr>
    </w:p>
    <w:p>
      <w:pPr>
        <w:rPr>
          <w:rFonts w:hint="eastAsia"/>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表.6</w:t>
      </w:r>
    </w:p>
    <w:p>
      <w:pPr>
        <w:jc w:val="center"/>
        <w:rPr>
          <w:rFonts w:hint="eastAsia"/>
          <w:b/>
          <w:bCs/>
          <w:sz w:val="32"/>
          <w:szCs w:val="32"/>
        </w:rPr>
      </w:pPr>
      <w:r>
        <w:rPr>
          <w:rFonts w:hint="eastAsia"/>
          <w:b/>
          <w:bCs/>
          <w:sz w:val="32"/>
          <w:szCs w:val="32"/>
          <w:lang w:val="en-US" w:eastAsia="zh-CN"/>
        </w:rPr>
        <w:t>政府预算</w:t>
      </w:r>
      <w:r>
        <w:rPr>
          <w:rFonts w:hint="eastAsia"/>
          <w:b/>
          <w:bCs/>
          <w:sz w:val="32"/>
          <w:szCs w:val="32"/>
        </w:rPr>
        <w:t>拨款收支总表</w:t>
      </w:r>
    </w:p>
    <w:p>
      <w:pPr>
        <w:rPr>
          <w:rFonts w:hint="eastAsia"/>
          <w:sz w:val="20"/>
          <w:szCs w:val="20"/>
        </w:rPr>
      </w:pPr>
    </w:p>
    <w:tbl>
      <w:tblPr>
        <w:tblStyle w:val="10"/>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2"/>
        <w:gridCol w:w="2070"/>
        <w:gridCol w:w="3023"/>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8125" w:type="dxa"/>
            <w:gridSpan w:val="3"/>
            <w:tcBorders>
              <w:top w:val="nil"/>
              <w:left w:val="nil"/>
              <w:bottom w:val="single" w:color="000000" w:sz="4" w:space="0"/>
              <w:right w:val="nil"/>
            </w:tcBorders>
            <w:vAlign w:val="center"/>
          </w:tcPr>
          <w:p>
            <w:pPr>
              <w:jc w:val="left"/>
              <w:rPr>
                <w:rFonts w:hint="eastAsia" w:ascii="宋体" w:hAnsi="宋体" w:eastAsia="宋体" w:cs="宋体"/>
                <w:sz w:val="20"/>
                <w:szCs w:val="20"/>
              </w:rPr>
            </w:pPr>
            <w:r>
              <w:rPr>
                <w:rFonts w:hint="eastAsia" w:ascii="宋体" w:hAnsi="宋体" w:eastAsia="宋体" w:cs="宋体"/>
                <w:sz w:val="20"/>
                <w:szCs w:val="20"/>
              </w:rPr>
              <w:t>单位名称：</w:t>
            </w:r>
            <w:r>
              <w:rPr>
                <w:rFonts w:hint="eastAsia" w:ascii="宋体" w:hAnsi="宋体" w:eastAsia="宋体" w:cs="宋体"/>
                <w:sz w:val="20"/>
                <w:szCs w:val="20"/>
                <w:lang w:eastAsia="zh-CN"/>
              </w:rPr>
              <w:t>深圳市罗湖区财政局</w:t>
            </w:r>
            <w:r>
              <w:rPr>
                <w:rFonts w:hint="eastAsia" w:ascii="宋体" w:hAnsi="宋体" w:eastAsia="宋体" w:cs="宋体"/>
                <w:sz w:val="20"/>
                <w:szCs w:val="20"/>
              </w:rPr>
              <w:t xml:space="preserve"> </w:t>
            </w:r>
          </w:p>
        </w:tc>
        <w:tc>
          <w:tcPr>
            <w:tcW w:w="2080" w:type="dxa"/>
            <w:tcBorders>
              <w:top w:val="nil"/>
              <w:left w:val="nil"/>
              <w:bottom w:val="single" w:color="000000" w:sz="4" w:space="0"/>
              <w:right w:val="nil"/>
            </w:tcBorders>
            <w:vAlign w:val="center"/>
          </w:tcPr>
          <w:p>
            <w:pPr>
              <w:jc w:val="right"/>
              <w:rPr>
                <w:rFonts w:hint="eastAsia" w:ascii="宋体" w:hAnsi="宋体" w:eastAsia="宋体" w:cs="宋体"/>
                <w:sz w:val="20"/>
                <w:szCs w:val="20"/>
              </w:rPr>
            </w:pPr>
            <w:r>
              <w:rPr>
                <w:rFonts w:hint="eastAsia" w:ascii="宋体" w:hAnsi="宋体" w:eastAsia="宋体" w:cs="宋体"/>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51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收            入</w:t>
            </w:r>
          </w:p>
        </w:tc>
        <w:tc>
          <w:tcPr>
            <w:tcW w:w="510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项  目</w:t>
            </w:r>
          </w:p>
        </w:tc>
        <w:tc>
          <w:tcPr>
            <w:tcW w:w="20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lang w:eastAsia="zh-CN"/>
              </w:rPr>
              <w:t>2021</w:t>
            </w:r>
            <w:r>
              <w:rPr>
                <w:rFonts w:hint="eastAsia" w:ascii="宋体" w:hAnsi="宋体" w:eastAsia="宋体" w:cs="宋体"/>
                <w:sz w:val="20"/>
                <w:szCs w:val="20"/>
              </w:rPr>
              <w:t xml:space="preserve"> 年预算数</w:t>
            </w:r>
          </w:p>
        </w:tc>
        <w:tc>
          <w:tcPr>
            <w:tcW w:w="30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项  目</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lang w:eastAsia="zh-CN"/>
              </w:rPr>
              <w:t>2021</w:t>
            </w:r>
            <w:r>
              <w:rPr>
                <w:rFonts w:hint="eastAsia" w:ascii="宋体" w:hAnsi="宋体" w:eastAsia="宋体" w:cs="宋体"/>
                <w:sz w:val="20"/>
                <w:szCs w:val="20"/>
              </w:rPr>
              <w:t xml:space="preserve"> 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rPr>
                <w:rFonts w:hint="eastAsia"/>
                <w:lang w:val="en-US" w:eastAsia="zh-CN"/>
              </w:rPr>
              <w:t>一、</w:t>
            </w:r>
            <w:r>
              <w:t>政府预算拨款</w:t>
            </w: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5,026.40</w:t>
            </w: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rPr>
                <w:rFonts w:hint="eastAsia"/>
                <w:lang w:val="en-US" w:eastAsia="zh-CN"/>
              </w:rPr>
              <w:t>一、</w:t>
            </w:r>
            <w:r>
              <w:t>一般公共服务支出</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4,108.46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一般公共预算拨款</w:t>
            </w: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5,026.40</w:t>
            </w: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财政事务</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4,083.52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政府性基金预算拨款</w:t>
            </w: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行政运行</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1,604.98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国有资本经营预算拨款</w:t>
            </w: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一般行政管理事务</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358.80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预算改革业务</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财政国库业务</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1,030.30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其他财政事务支出</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987.38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组织事务</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其他组织事务支出</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rPr>
                <w:rFonts w:hint="eastAsia"/>
                <w:lang w:val="en-US" w:eastAsia="zh-CN"/>
              </w:rPr>
              <w:t>二、</w:t>
            </w:r>
            <w:r>
              <w:t>社会保障和就业支出</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490.54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行政事业单位养老支出</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490.54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行政单位离退休</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214.13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机关事业单位基本养老保险缴费支出</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184.36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机关事业单位职业年金缴费支出</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92.05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rPr>
                <w:rFonts w:hint="eastAsia"/>
                <w:lang w:val="en-US" w:eastAsia="zh-CN"/>
              </w:rPr>
              <w:t>三、</w:t>
            </w:r>
            <w:r>
              <w:t>卫生健康支出</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行政事业单位医疗</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行政单位医疗</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rPr>
                <w:rFonts w:hint="eastAsia"/>
                <w:lang w:val="en-US" w:eastAsia="zh-CN"/>
              </w:rPr>
              <w:t>四、</w:t>
            </w:r>
            <w:r>
              <w:t>农林水支出</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扶贫</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其他扶贫支出</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rPr>
                <w:rFonts w:hint="eastAsia"/>
                <w:lang w:val="en-US" w:eastAsia="zh-CN"/>
              </w:rPr>
              <w:t>五、</w:t>
            </w:r>
            <w:r>
              <w:t>住房保障支出</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住房改革支出</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住房公积金</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186.12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购房补贴</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本年收入合计</w:t>
            </w: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5,026.40</w:t>
            </w: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本年支出合计</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5,026.40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上年结余、结转</w:t>
            </w: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结转下年</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收入总计</w:t>
            </w:r>
          </w:p>
        </w:tc>
        <w:tc>
          <w:tcPr>
            <w:tcW w:w="20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5,026.40</w:t>
            </w:r>
          </w:p>
        </w:tc>
        <w:tc>
          <w:tcPr>
            <w:tcW w:w="30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支出总计</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5,026.40</w:t>
            </w:r>
          </w:p>
        </w:tc>
      </w:tr>
    </w:tbl>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表.7</w:t>
      </w:r>
    </w:p>
    <w:p>
      <w:pPr>
        <w:jc w:val="center"/>
        <w:rPr>
          <w:rFonts w:hint="eastAsia"/>
          <w:b/>
          <w:bCs/>
          <w:sz w:val="32"/>
          <w:szCs w:val="32"/>
        </w:rPr>
      </w:pPr>
      <w:r>
        <w:rPr>
          <w:rFonts w:hint="eastAsia"/>
          <w:b/>
          <w:bCs/>
          <w:sz w:val="32"/>
          <w:szCs w:val="32"/>
        </w:rPr>
        <w:t>一般公共预算支出表</w:t>
      </w:r>
    </w:p>
    <w:p>
      <w:pPr>
        <w:jc w:val="center"/>
        <w:rPr>
          <w:rFonts w:hint="eastAsia"/>
          <w:sz w:val="18"/>
          <w:szCs w:val="18"/>
        </w:rPr>
      </w:pP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rPr>
        <w:tab/>
      </w:r>
      <w:r>
        <w:rPr>
          <w:rFonts w:hint="eastAsia"/>
        </w:rPr>
        <w:tab/>
      </w:r>
    </w:p>
    <w:tbl>
      <w:tblPr>
        <w:tblStyle w:val="10"/>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1322"/>
        <w:gridCol w:w="2304"/>
        <w:gridCol w:w="1322"/>
        <w:gridCol w:w="115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7847" w:type="dxa"/>
            <w:gridSpan w:val="4"/>
            <w:tcBorders>
              <w:top w:val="nil"/>
              <w:left w:val="nil"/>
              <w:bottom w:val="single" w:color="000000" w:sz="4" w:space="0"/>
              <w:right w:val="nil"/>
            </w:tcBorders>
            <w:vAlign w:val="center"/>
          </w:tcPr>
          <w:p>
            <w:pPr>
              <w:jc w:val="left"/>
              <w:rPr>
                <w:rFonts w:hint="eastAsia" w:ascii="宋体" w:hAnsi="宋体" w:eastAsia="宋体" w:cs="宋体"/>
                <w:sz w:val="20"/>
                <w:szCs w:val="20"/>
              </w:rPr>
            </w:pPr>
            <w:r>
              <w:rPr>
                <w:rFonts w:hint="eastAsia" w:ascii="宋体" w:hAnsi="宋体" w:eastAsia="宋体" w:cs="宋体"/>
                <w:sz w:val="20"/>
                <w:szCs w:val="20"/>
              </w:rPr>
              <w:t>单位名称：</w:t>
            </w:r>
            <w:r>
              <w:rPr>
                <w:rFonts w:hint="eastAsia" w:ascii="宋体" w:hAnsi="宋体" w:eastAsia="宋体" w:cs="宋体"/>
                <w:sz w:val="20"/>
                <w:szCs w:val="20"/>
                <w:lang w:eastAsia="zh-CN"/>
              </w:rPr>
              <w:t>深圳市罗湖区财政局</w:t>
            </w:r>
            <w:r>
              <w:rPr>
                <w:rFonts w:hint="eastAsia" w:ascii="宋体" w:hAnsi="宋体" w:eastAsia="宋体" w:cs="宋体"/>
                <w:sz w:val="20"/>
                <w:szCs w:val="20"/>
              </w:rPr>
              <w:t xml:space="preserve"> </w:t>
            </w:r>
          </w:p>
        </w:tc>
        <w:tc>
          <w:tcPr>
            <w:tcW w:w="2358" w:type="dxa"/>
            <w:gridSpan w:val="2"/>
            <w:tcBorders>
              <w:top w:val="nil"/>
              <w:left w:val="nil"/>
              <w:bottom w:val="single" w:color="000000" w:sz="4" w:space="0"/>
              <w:right w:val="nil"/>
            </w:tcBorders>
            <w:vAlign w:val="center"/>
          </w:tcPr>
          <w:p>
            <w:pPr>
              <w:jc w:val="right"/>
              <w:rPr>
                <w:rFonts w:hint="eastAsia" w:ascii="宋体" w:hAnsi="宋体" w:eastAsia="宋体" w:cs="宋体"/>
                <w:sz w:val="20"/>
                <w:szCs w:val="20"/>
              </w:rPr>
            </w:pPr>
            <w:r>
              <w:rPr>
                <w:rFonts w:hint="eastAsia" w:ascii="宋体" w:hAnsi="宋体" w:eastAsia="宋体" w:cs="宋体"/>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预算单位</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科目编码</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科目名称</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支出总计</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基本支出</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深圳市罗湖区财政局</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5,026.40</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2,492.32</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2,534.08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201</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一般公共服务支出</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4,108.46</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1,604.98</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2,503.48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20106</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财政事务</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4,083.52</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1,604.98</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2,478.54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2010601</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行政运行</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1,604.98</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1,604.98</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2010602</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一般行政管理事务</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358.80</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358.80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2010604</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预算改革业务</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102.06</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2010605</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财政国库业务</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1,030.30</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1,030.30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2010699</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其他财政事务支出</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987.38</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987.38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20132</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组织事务</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24.94</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2013299</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其他组织事务支出</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24.94</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208</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社会保障和就业支出</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490.54</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490.54</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20805</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行政事业单位养老支出</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490.54</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490.54</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2080501</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行政单位离退休</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214.13</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214.13</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2080505</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机关事业单位基本养老保险缴费支出</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184.36</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184.36</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2080506</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机关事业单位职业年金缴费支出</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92.05</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92.05</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210</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卫生健康支出</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80.66</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80.66</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21011</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行政事业单位医疗</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80.66</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80.66</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2101101</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行政单位医疗</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80.66</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80.66</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213</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农林水支出</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30.60</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21305</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扶贫</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30.60</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2130599</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其他扶贫支出</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30.60</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221</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住房保障支出</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316.14</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316.14</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22102</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住房改革支出</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316.14</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316.14</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2210201</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住房公积金</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186.12</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186.12</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2210203</w:t>
            </w:r>
          </w:p>
        </w:tc>
        <w:tc>
          <w:tcPr>
            <w:tcW w:w="23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购房补贴</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130.03</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130.03</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r>
    </w:tbl>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表.8</w:t>
      </w:r>
    </w:p>
    <w:p>
      <w:pPr>
        <w:jc w:val="center"/>
        <w:rPr>
          <w:rFonts w:hint="eastAsia"/>
          <w:b/>
          <w:bCs/>
          <w:sz w:val="32"/>
          <w:szCs w:val="32"/>
        </w:rPr>
      </w:pPr>
      <w:r>
        <w:rPr>
          <w:rFonts w:hint="eastAsia"/>
          <w:b/>
          <w:bCs/>
          <w:sz w:val="32"/>
          <w:szCs w:val="32"/>
        </w:rPr>
        <w:t>政府性基金预算支出表</w:t>
      </w:r>
    </w:p>
    <w:p>
      <w:pPr>
        <w:jc w:val="center"/>
        <w:rPr>
          <w:rFonts w:hint="eastAsia"/>
        </w:rPr>
      </w:pP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rPr>
        <w:tab/>
      </w:r>
      <w:r>
        <w:rPr>
          <w:rFonts w:hint="eastAsia"/>
        </w:rPr>
        <w:tab/>
      </w:r>
    </w:p>
    <w:tbl>
      <w:tblPr>
        <w:tblStyle w:val="10"/>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1322"/>
        <w:gridCol w:w="2305"/>
        <w:gridCol w:w="1322"/>
        <w:gridCol w:w="1151"/>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7848" w:type="dxa"/>
            <w:gridSpan w:val="4"/>
            <w:tcBorders>
              <w:top w:val="nil"/>
              <w:left w:val="nil"/>
              <w:bottom w:val="single" w:color="000000" w:sz="4" w:space="0"/>
              <w:right w:val="nil"/>
            </w:tcBorders>
            <w:vAlign w:val="center"/>
          </w:tcPr>
          <w:p>
            <w:pPr>
              <w:jc w:val="left"/>
              <w:rPr>
                <w:rFonts w:hint="eastAsia" w:ascii="宋体" w:hAnsi="宋体" w:eastAsia="宋体" w:cs="宋体"/>
                <w:sz w:val="20"/>
                <w:szCs w:val="20"/>
              </w:rPr>
            </w:pPr>
            <w:r>
              <w:rPr>
                <w:rFonts w:hint="eastAsia" w:ascii="宋体" w:hAnsi="宋体" w:eastAsia="宋体" w:cs="宋体"/>
                <w:sz w:val="20"/>
                <w:szCs w:val="20"/>
              </w:rPr>
              <w:t>单位名称：</w:t>
            </w:r>
            <w:r>
              <w:rPr>
                <w:rFonts w:hint="eastAsia" w:ascii="宋体" w:hAnsi="宋体" w:eastAsia="宋体" w:cs="宋体"/>
                <w:sz w:val="20"/>
                <w:szCs w:val="20"/>
                <w:lang w:eastAsia="zh-CN"/>
              </w:rPr>
              <w:t>深圳市罗湖区财政局</w:t>
            </w:r>
            <w:r>
              <w:rPr>
                <w:rFonts w:hint="eastAsia" w:ascii="宋体" w:hAnsi="宋体" w:eastAsia="宋体" w:cs="宋体"/>
                <w:sz w:val="20"/>
                <w:szCs w:val="20"/>
              </w:rPr>
              <w:t xml:space="preserve"> </w:t>
            </w:r>
          </w:p>
        </w:tc>
        <w:tc>
          <w:tcPr>
            <w:tcW w:w="2357" w:type="dxa"/>
            <w:gridSpan w:val="2"/>
            <w:tcBorders>
              <w:top w:val="nil"/>
              <w:left w:val="nil"/>
              <w:bottom w:val="single" w:color="000000" w:sz="4" w:space="0"/>
              <w:right w:val="nil"/>
            </w:tcBorders>
            <w:vAlign w:val="center"/>
          </w:tcPr>
          <w:p>
            <w:pPr>
              <w:jc w:val="right"/>
              <w:rPr>
                <w:rFonts w:hint="eastAsia" w:ascii="宋体" w:hAnsi="宋体" w:eastAsia="宋体" w:cs="宋体"/>
                <w:sz w:val="20"/>
                <w:szCs w:val="20"/>
              </w:rPr>
            </w:pPr>
            <w:r>
              <w:rPr>
                <w:rFonts w:hint="eastAsia" w:ascii="宋体" w:hAnsi="宋体" w:eastAsia="宋体" w:cs="宋体"/>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289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预算单位</w:t>
            </w:r>
          </w:p>
        </w:tc>
        <w:tc>
          <w:tcPr>
            <w:tcW w:w="132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科目编码</w:t>
            </w:r>
          </w:p>
        </w:tc>
        <w:tc>
          <w:tcPr>
            <w:tcW w:w="230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科目名称</w:t>
            </w:r>
          </w:p>
        </w:tc>
        <w:tc>
          <w:tcPr>
            <w:tcW w:w="132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支出总计</w:t>
            </w:r>
          </w:p>
        </w:tc>
        <w:tc>
          <w:tcPr>
            <w:tcW w:w="1151"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基本支出</w:t>
            </w:r>
          </w:p>
        </w:tc>
        <w:tc>
          <w:tcPr>
            <w:tcW w:w="1206"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99" w:type="dxa"/>
            <w:tcBorders>
              <w:top w:val="single" w:color="auto" w:sz="4" w:space="0"/>
              <w:left w:val="single" w:color="auto" w:sz="4" w:space="0"/>
              <w:bottom w:val="single" w:color="auto" w:sz="4" w:space="0"/>
              <w:right w:val="single" w:color="000000" w:sz="4" w:space="0"/>
            </w:tcBorders>
            <w:vAlign w:val="center"/>
          </w:tcPr>
          <w:p>
            <w:pPr>
              <w:jc w:val="left"/>
              <w:rPr>
                <w:rFonts w:hint="eastAsia" w:ascii="宋体" w:hAnsi="宋体" w:eastAsia="宋体" w:cs="宋体"/>
                <w:sz w:val="20"/>
                <w:szCs w:val="20"/>
              </w:rPr>
            </w:pPr>
            <w:r>
              <w:t>深圳市罗湖区财政局</w:t>
            </w:r>
          </w:p>
        </w:tc>
        <w:tc>
          <w:tcPr>
            <w:tcW w:w="1322" w:type="dxa"/>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sz w:val="20"/>
                <w:szCs w:val="20"/>
              </w:rPr>
            </w:pPr>
          </w:p>
        </w:tc>
        <w:tc>
          <w:tcPr>
            <w:tcW w:w="2305" w:type="dxa"/>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sz w:val="20"/>
                <w:szCs w:val="20"/>
              </w:rPr>
            </w:pPr>
          </w:p>
        </w:tc>
        <w:tc>
          <w:tcPr>
            <w:tcW w:w="1322" w:type="dxa"/>
            <w:tcBorders>
              <w:top w:val="single" w:color="auto" w:sz="4" w:space="0"/>
              <w:left w:val="single" w:color="000000" w:sz="4" w:space="0"/>
              <w:bottom w:val="single" w:color="auto" w:sz="4" w:space="0"/>
              <w:right w:val="single" w:color="000000" w:sz="4" w:space="0"/>
            </w:tcBorders>
            <w:vAlign w:val="center"/>
          </w:tcPr>
          <w:p>
            <w:pPr>
              <w:jc w:val="right"/>
              <w:rPr>
                <w:rFonts w:hint="eastAsia" w:ascii="宋体" w:hAnsi="宋体" w:eastAsia="宋体" w:cs="宋体"/>
                <w:sz w:val="20"/>
                <w:szCs w:val="20"/>
              </w:rPr>
            </w:pPr>
            <w:r>
              <w:t>0</w:t>
            </w:r>
          </w:p>
        </w:tc>
        <w:tc>
          <w:tcPr>
            <w:tcW w:w="1151" w:type="dxa"/>
            <w:tcBorders>
              <w:top w:val="single" w:color="auto" w:sz="4" w:space="0"/>
              <w:left w:val="single" w:color="000000" w:sz="4" w:space="0"/>
              <w:bottom w:val="single" w:color="auto" w:sz="4" w:space="0"/>
              <w:right w:val="single" w:color="000000" w:sz="4" w:space="0"/>
            </w:tcBorders>
            <w:vAlign w:val="center"/>
          </w:tcPr>
          <w:p>
            <w:pPr>
              <w:jc w:val="right"/>
              <w:rPr>
                <w:rFonts w:hint="eastAsia" w:ascii="宋体" w:hAnsi="宋体" w:eastAsia="宋体" w:cs="宋体"/>
                <w:sz w:val="20"/>
                <w:szCs w:val="20"/>
              </w:rPr>
            </w:pPr>
            <w:r>
              <w:t>0</w:t>
            </w:r>
          </w:p>
        </w:tc>
        <w:tc>
          <w:tcPr>
            <w:tcW w:w="1206" w:type="dxa"/>
            <w:tcBorders>
              <w:top w:val="single" w:color="auto" w:sz="4" w:space="0"/>
              <w:left w:val="single" w:color="000000" w:sz="4" w:space="0"/>
              <w:bottom w:val="single" w:color="auto" w:sz="4" w:space="0"/>
              <w:right w:val="single" w:color="auto" w:sz="4" w:space="0"/>
            </w:tcBorders>
            <w:vAlign w:val="center"/>
          </w:tcPr>
          <w:p>
            <w:pPr>
              <w:jc w:val="right"/>
              <w:rPr>
                <w:rFonts w:hint="eastAsia" w:ascii="宋体" w:hAnsi="宋体" w:eastAsia="宋体" w:cs="宋体"/>
                <w:sz w:val="20"/>
                <w:szCs w:val="20"/>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205" w:type="dxa"/>
            <w:gridSpan w:val="6"/>
            <w:tcBorders>
              <w:top w:val="single" w:color="auto" w:sz="4" w:space="0"/>
              <w:left w:val="nil"/>
              <w:bottom w:val="nil"/>
              <w:right w:val="nil"/>
            </w:tcBorders>
            <w:vAlign w:val="center"/>
          </w:tcPr>
          <w:p>
            <w:pPr>
              <w:jc w:val="left"/>
              <w:rPr>
                <w:rFonts w:hint="default" w:eastAsia="宋体"/>
                <w:lang w:val="en-US" w:eastAsia="zh-CN"/>
              </w:rPr>
            </w:pPr>
            <w:r>
              <w:rPr>
                <w:rFonts w:hint="eastAsia"/>
                <w:lang w:val="en-US" w:eastAsia="zh-CN"/>
              </w:rPr>
              <w:t>说明：我单位没有使用政府性基金预算安排，故本表无数据。</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cs="宋体"/>
          <w:sz w:val="24"/>
          <w:szCs w:val="24"/>
          <w:lang w:val="en-US" w:eastAsia="zh-CN"/>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表.9</w:t>
      </w:r>
    </w:p>
    <w:p>
      <w:pPr>
        <w:jc w:val="center"/>
        <w:rPr>
          <w:rFonts w:hint="eastAsia"/>
          <w:b/>
          <w:bCs/>
          <w:sz w:val="32"/>
          <w:szCs w:val="32"/>
        </w:rPr>
      </w:pPr>
      <w:r>
        <w:rPr>
          <w:rFonts w:hint="eastAsia"/>
          <w:b/>
          <w:bCs/>
          <w:sz w:val="32"/>
          <w:szCs w:val="32"/>
        </w:rPr>
        <w:t>国有资本经营预算支出</w:t>
      </w:r>
      <w:r>
        <w:rPr>
          <w:rFonts w:hint="eastAsia"/>
          <w:b/>
          <w:bCs/>
          <w:sz w:val="32"/>
          <w:szCs w:val="32"/>
          <w:lang w:val="en-US" w:eastAsia="zh-CN"/>
        </w:rPr>
        <w:t>情况</w:t>
      </w:r>
      <w:r>
        <w:rPr>
          <w:rFonts w:hint="eastAsia"/>
          <w:b/>
          <w:bCs/>
          <w:sz w:val="32"/>
          <w:szCs w:val="32"/>
        </w:rPr>
        <w:t>表</w:t>
      </w:r>
    </w:p>
    <w:p>
      <w:pPr>
        <w:jc w:val="center"/>
        <w:rPr>
          <w:rFonts w:hint="eastAsia" w:ascii="宋体" w:hAnsi="宋体" w:eastAsia="宋体" w:cs="宋体"/>
          <w:sz w:val="20"/>
          <w:szCs w:val="20"/>
        </w:rPr>
      </w:pPr>
      <w:r>
        <w:rPr>
          <w:rFonts w:hint="eastAsia" w:ascii="宋体" w:hAnsi="宋体" w:eastAsia="宋体" w:cs="宋体"/>
          <w:sz w:val="20"/>
          <w:szCs w:val="20"/>
        </w:rPr>
        <w:tab/>
      </w:r>
    </w:p>
    <w:tbl>
      <w:tblPr>
        <w:tblStyle w:val="10"/>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2178"/>
        <w:gridCol w:w="2303"/>
        <w:gridCol w:w="1853"/>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atLeast"/>
          <w:tblHeader/>
          <w:jc w:val="center"/>
        </w:trPr>
        <w:tc>
          <w:tcPr>
            <w:tcW w:w="8378" w:type="dxa"/>
            <w:gridSpan w:val="4"/>
            <w:tcBorders>
              <w:top w:val="nil"/>
              <w:left w:val="nil"/>
              <w:bottom w:val="single" w:color="000000" w:sz="4" w:space="0"/>
              <w:right w:val="nil"/>
            </w:tcBorders>
            <w:vAlign w:val="center"/>
          </w:tcPr>
          <w:p>
            <w:pPr>
              <w:jc w:val="left"/>
              <w:rPr>
                <w:rFonts w:hint="eastAsia" w:ascii="宋体" w:hAnsi="宋体" w:eastAsia="宋体" w:cs="宋体"/>
                <w:sz w:val="20"/>
                <w:szCs w:val="20"/>
              </w:rPr>
            </w:pPr>
            <w:r>
              <w:rPr>
                <w:rFonts w:hint="eastAsia" w:ascii="宋体" w:hAnsi="宋体" w:eastAsia="宋体" w:cs="宋体"/>
                <w:sz w:val="20"/>
                <w:szCs w:val="20"/>
              </w:rPr>
              <w:t>单位名称：</w:t>
            </w:r>
            <w:r>
              <w:rPr>
                <w:rFonts w:hint="eastAsia" w:ascii="宋体" w:hAnsi="宋体" w:eastAsia="宋体" w:cs="宋体"/>
                <w:sz w:val="20"/>
                <w:szCs w:val="20"/>
                <w:lang w:eastAsia="zh-CN"/>
              </w:rPr>
              <w:t>深圳市罗湖区财政局</w:t>
            </w:r>
            <w:r>
              <w:rPr>
                <w:rFonts w:hint="eastAsia" w:ascii="宋体" w:hAnsi="宋体" w:eastAsia="宋体" w:cs="宋体"/>
                <w:sz w:val="20"/>
                <w:szCs w:val="20"/>
              </w:rPr>
              <w:t xml:space="preserve"> </w:t>
            </w:r>
            <w:r>
              <w:rPr>
                <w:rFonts w:hint="eastAsia" w:ascii="宋体" w:hAnsi="宋体" w:eastAsia="宋体" w:cs="宋体"/>
                <w:sz w:val="20"/>
                <w:szCs w:val="20"/>
              </w:rPr>
              <w:tab/>
            </w:r>
          </w:p>
        </w:tc>
        <w:tc>
          <w:tcPr>
            <w:tcW w:w="1827" w:type="dxa"/>
            <w:tcBorders>
              <w:top w:val="nil"/>
              <w:left w:val="nil"/>
              <w:bottom w:val="single" w:color="000000" w:sz="4" w:space="0"/>
              <w:right w:val="nil"/>
            </w:tcBorders>
            <w:vAlign w:val="center"/>
          </w:tcPr>
          <w:p>
            <w:pPr>
              <w:jc w:val="right"/>
              <w:rPr>
                <w:rFonts w:hint="eastAsia" w:ascii="宋体" w:hAnsi="宋体" w:eastAsia="宋体" w:cs="宋体"/>
                <w:sz w:val="20"/>
                <w:szCs w:val="20"/>
              </w:rPr>
            </w:pPr>
            <w:r>
              <w:rPr>
                <w:rFonts w:hint="eastAsia" w:ascii="宋体" w:hAnsi="宋体" w:eastAsia="宋体" w:cs="宋体"/>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功能科目分类</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204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科目编码</w:t>
            </w:r>
          </w:p>
        </w:tc>
        <w:tc>
          <w:tcPr>
            <w:tcW w:w="2178" w:type="dxa"/>
            <w:tcBorders>
              <w:top w:val="single" w:color="000000" w:sz="4" w:space="0"/>
              <w:left w:val="single" w:color="000000" w:sz="4" w:space="0"/>
              <w:bottom w:val="single" w:color="auto" w:sz="4" w:space="0"/>
              <w:right w:val="single" w:color="000000" w:sz="4" w:space="0"/>
            </w:tcBorders>
            <w:vAlign w:val="top"/>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科目名称</w:t>
            </w:r>
          </w:p>
        </w:tc>
        <w:tc>
          <w:tcPr>
            <w:tcW w:w="2303"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小计</w:t>
            </w:r>
          </w:p>
        </w:tc>
        <w:tc>
          <w:tcPr>
            <w:tcW w:w="1853" w:type="dxa"/>
            <w:tcBorders>
              <w:top w:val="single" w:color="000000" w:sz="4" w:space="0"/>
              <w:left w:val="single" w:color="000000" w:sz="4" w:space="0"/>
              <w:bottom w:val="single" w:color="auto" w:sz="4" w:space="0"/>
              <w:right w:val="single" w:color="000000" w:sz="4" w:space="0"/>
            </w:tcBorders>
            <w:vAlign w:val="center"/>
          </w:tcPr>
          <w:p>
            <w:pPr>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其中：基本支出</w:t>
            </w:r>
          </w:p>
        </w:tc>
        <w:tc>
          <w:tcPr>
            <w:tcW w:w="182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2044" w:type="dxa"/>
            <w:tcBorders>
              <w:top w:val="single" w:color="000000" w:sz="4" w:space="0"/>
              <w:left w:val="single" w:color="000000" w:sz="4" w:space="0"/>
              <w:bottom w:val="single" w:color="auto" w:sz="4" w:space="0"/>
              <w:right w:val="single" w:color="000000" w:sz="4" w:space="0"/>
            </w:tcBorders>
            <w:vAlign w:val="center"/>
          </w:tcPr>
          <w:p>
            <w:pPr>
              <w:jc w:val="left"/>
            </w:pPr>
          </w:p>
        </w:tc>
        <w:tc>
          <w:tcPr>
            <w:tcW w:w="2178" w:type="dxa"/>
            <w:tcBorders>
              <w:top w:val="single" w:color="000000" w:sz="4" w:space="0"/>
              <w:left w:val="single" w:color="000000" w:sz="4" w:space="0"/>
              <w:bottom w:val="single" w:color="auto" w:sz="4" w:space="0"/>
              <w:right w:val="single" w:color="000000" w:sz="4" w:space="0"/>
            </w:tcBorders>
            <w:vAlign w:val="top"/>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合计</w:t>
            </w:r>
          </w:p>
        </w:tc>
        <w:tc>
          <w:tcPr>
            <w:tcW w:w="2303" w:type="dxa"/>
            <w:tcBorders>
              <w:top w:val="single" w:color="000000" w:sz="4" w:space="0"/>
              <w:left w:val="single" w:color="000000" w:sz="4" w:space="0"/>
              <w:bottom w:val="single" w:color="auto" w:sz="4" w:space="0"/>
              <w:right w:val="single" w:color="000000" w:sz="4" w:space="0"/>
            </w:tcBorders>
            <w:vAlign w:val="center"/>
          </w:tcPr>
          <w:p>
            <w:pPr>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0.00</w:t>
            </w:r>
          </w:p>
        </w:tc>
        <w:tc>
          <w:tcPr>
            <w:tcW w:w="1853" w:type="dxa"/>
            <w:tcBorders>
              <w:top w:val="single" w:color="000000" w:sz="4" w:space="0"/>
              <w:left w:val="single" w:color="000000" w:sz="4" w:space="0"/>
              <w:bottom w:val="single" w:color="auto" w:sz="4" w:space="0"/>
              <w:right w:val="single" w:color="000000" w:sz="4" w:space="0"/>
            </w:tcBorders>
            <w:vAlign w:val="center"/>
          </w:tcPr>
          <w:p>
            <w:pPr>
              <w:jc w:val="right"/>
              <w:rPr>
                <w:rFonts w:hint="default" w:eastAsia="宋体"/>
                <w:lang w:val="en-US" w:eastAsia="zh-CN"/>
              </w:rPr>
            </w:pPr>
            <w:r>
              <w:rPr>
                <w:rFonts w:hint="eastAsia"/>
                <w:lang w:val="en-US" w:eastAsia="zh-CN"/>
              </w:rPr>
              <w:t>0.00</w:t>
            </w:r>
          </w:p>
        </w:tc>
        <w:tc>
          <w:tcPr>
            <w:tcW w:w="1827" w:type="dxa"/>
            <w:tcBorders>
              <w:top w:val="single" w:color="000000" w:sz="4" w:space="0"/>
              <w:left w:val="single" w:color="000000" w:sz="4" w:space="0"/>
              <w:bottom w:val="single" w:color="auto" w:sz="4" w:space="0"/>
              <w:right w:val="single" w:color="000000" w:sz="4" w:space="0"/>
            </w:tcBorders>
            <w:vAlign w:val="center"/>
          </w:tcPr>
          <w:p>
            <w:pPr>
              <w:jc w:val="right"/>
              <w:rPr>
                <w:rFonts w:hint="default" w:eastAsia="宋体"/>
                <w:lang w:val="en-US" w:eastAsia="zh-CN"/>
              </w:rPr>
            </w:pPr>
            <w:r>
              <w:rPr>
                <w:rFonts w:hint="eastAsia"/>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10205" w:type="dxa"/>
            <w:gridSpan w:val="5"/>
            <w:tcBorders>
              <w:top w:val="single" w:color="auto" w:sz="4" w:space="0"/>
              <w:left w:val="nil"/>
              <w:bottom w:val="nil"/>
              <w:right w:val="nil"/>
            </w:tcBorders>
            <w:vAlign w:val="center"/>
          </w:tcPr>
          <w:p>
            <w:pPr>
              <w:jc w:val="left"/>
              <w:rPr>
                <w:rFonts w:hint="default"/>
                <w:lang w:val="en-US"/>
              </w:rPr>
            </w:pPr>
            <w:r>
              <w:rPr>
                <w:rFonts w:hint="eastAsia"/>
                <w:lang w:val="en-US" w:eastAsia="zh-CN"/>
              </w:rPr>
              <w:t>说明：本表本年度无发生额</w:t>
            </w:r>
          </w:p>
        </w:tc>
      </w:tr>
    </w:tbl>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表</w:t>
      </w:r>
      <w:r>
        <w:rPr>
          <w:rFonts w:hint="eastAsia" w:ascii="宋体" w:hAnsi="宋体" w:eastAsia="宋体" w:cs="宋体"/>
          <w:sz w:val="24"/>
          <w:szCs w:val="24"/>
          <w:lang w:val="en-US" w:eastAsia="zh-CN"/>
        </w:rPr>
        <w:t>.</w:t>
      </w:r>
      <w:r>
        <w:rPr>
          <w:rFonts w:hint="eastAsia" w:ascii="宋体" w:hAnsi="宋体" w:eastAsia="宋体" w:cs="宋体"/>
          <w:sz w:val="24"/>
          <w:szCs w:val="24"/>
        </w:rPr>
        <w:t>10</w:t>
      </w:r>
    </w:p>
    <w:p>
      <w:pPr>
        <w:jc w:val="center"/>
        <w:rPr>
          <w:rFonts w:hint="eastAsia"/>
          <w:b/>
          <w:bCs/>
          <w:sz w:val="32"/>
          <w:szCs w:val="32"/>
        </w:rPr>
      </w:pPr>
      <w:r>
        <w:rPr>
          <w:rFonts w:hint="eastAsia"/>
          <w:b/>
          <w:bCs/>
          <w:sz w:val="32"/>
          <w:szCs w:val="32"/>
        </w:rPr>
        <w:t>上级专项转移支付</w:t>
      </w:r>
      <w:r>
        <w:rPr>
          <w:rFonts w:hint="eastAsia"/>
          <w:b/>
          <w:bCs/>
          <w:sz w:val="32"/>
          <w:szCs w:val="32"/>
          <w:lang w:val="en-US" w:eastAsia="zh-CN"/>
        </w:rPr>
        <w:t>支出</w:t>
      </w:r>
      <w:r>
        <w:rPr>
          <w:rFonts w:hint="eastAsia"/>
          <w:b/>
          <w:bCs/>
          <w:sz w:val="32"/>
          <w:szCs w:val="32"/>
        </w:rPr>
        <w:t>表</w:t>
      </w:r>
    </w:p>
    <w:p>
      <w:pPr>
        <w:jc w:val="center"/>
        <w:rPr>
          <w:rFonts w:hint="eastAsia"/>
          <w:b/>
          <w:bCs/>
          <w:sz w:val="20"/>
          <w:szCs w:val="20"/>
        </w:rPr>
      </w:pPr>
    </w:p>
    <w:tbl>
      <w:tblPr>
        <w:tblStyle w:val="10"/>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1323"/>
        <w:gridCol w:w="2163"/>
        <w:gridCol w:w="2632"/>
        <w:gridCol w:w="1"/>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6347" w:type="dxa"/>
            <w:gridSpan w:val="3"/>
            <w:tcBorders>
              <w:top w:val="nil"/>
              <w:left w:val="nil"/>
              <w:bottom w:val="single" w:color="000000" w:sz="4" w:space="0"/>
              <w:right w:val="nil"/>
            </w:tcBorders>
            <w:vAlign w:val="center"/>
          </w:tcPr>
          <w:p>
            <w:pPr>
              <w:jc w:val="left"/>
              <w:rPr>
                <w:rFonts w:hint="eastAsia" w:ascii="宋体" w:hAnsi="宋体" w:eastAsia="宋体" w:cs="宋体"/>
                <w:sz w:val="20"/>
                <w:szCs w:val="20"/>
              </w:rPr>
            </w:pPr>
            <w:r>
              <w:rPr>
                <w:rFonts w:hint="eastAsia" w:ascii="宋体" w:hAnsi="宋体" w:eastAsia="宋体" w:cs="宋体"/>
                <w:sz w:val="20"/>
                <w:szCs w:val="20"/>
              </w:rPr>
              <w:t>单位名称：</w:t>
            </w:r>
            <w:r>
              <w:rPr>
                <w:rFonts w:hint="eastAsia" w:ascii="宋体" w:hAnsi="宋体" w:eastAsia="宋体" w:cs="宋体"/>
                <w:sz w:val="20"/>
                <w:szCs w:val="20"/>
                <w:lang w:eastAsia="zh-CN"/>
              </w:rPr>
              <w:t>深圳市罗湖区财政局</w:t>
            </w:r>
            <w:r>
              <w:rPr>
                <w:rFonts w:hint="eastAsia" w:ascii="宋体" w:hAnsi="宋体" w:eastAsia="宋体" w:cs="宋体"/>
                <w:sz w:val="20"/>
                <w:szCs w:val="20"/>
              </w:rPr>
              <w:t xml:space="preserve">  </w:t>
            </w:r>
          </w:p>
        </w:tc>
        <w:tc>
          <w:tcPr>
            <w:tcW w:w="3858" w:type="dxa"/>
            <w:gridSpan w:val="3"/>
            <w:tcBorders>
              <w:top w:val="nil"/>
              <w:left w:val="nil"/>
              <w:bottom w:val="single" w:color="000000" w:sz="4" w:space="0"/>
              <w:right w:val="nil"/>
            </w:tcBorders>
            <w:vAlign w:val="center"/>
          </w:tcPr>
          <w:p>
            <w:pPr>
              <w:jc w:val="right"/>
              <w:rPr>
                <w:rFonts w:hint="eastAsia" w:ascii="宋体" w:hAnsi="宋体" w:eastAsia="宋体" w:cs="宋体"/>
                <w:sz w:val="20"/>
                <w:szCs w:val="20"/>
              </w:rPr>
            </w:pPr>
            <w:r>
              <w:rPr>
                <w:rFonts w:hint="eastAsia" w:ascii="宋体" w:hAnsi="宋体" w:eastAsia="宋体" w:cs="宋体"/>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28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预算单位</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科目编码</w:t>
            </w:r>
          </w:p>
        </w:tc>
        <w:tc>
          <w:tcPr>
            <w:tcW w:w="21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科目名称</w:t>
            </w:r>
          </w:p>
        </w:tc>
        <w:tc>
          <w:tcPr>
            <w:tcW w:w="26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项目名称</w:t>
            </w:r>
          </w:p>
        </w:tc>
        <w:tc>
          <w:tcPr>
            <w:tcW w:w="122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61" w:type="dxa"/>
            <w:tcBorders>
              <w:top w:val="single" w:color="000000"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sz w:val="20"/>
                <w:szCs w:val="20"/>
              </w:rPr>
            </w:pPr>
            <w:r>
              <w:t>深圳市罗湖区财政局</w:t>
            </w:r>
          </w:p>
        </w:tc>
        <w:tc>
          <w:tcPr>
            <w:tcW w:w="1323" w:type="dxa"/>
            <w:tcBorders>
              <w:top w:val="single" w:color="000000"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sz w:val="20"/>
                <w:szCs w:val="20"/>
              </w:rPr>
            </w:pPr>
          </w:p>
        </w:tc>
        <w:tc>
          <w:tcPr>
            <w:tcW w:w="2163" w:type="dxa"/>
            <w:tcBorders>
              <w:top w:val="single" w:color="000000"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sz w:val="20"/>
                <w:szCs w:val="20"/>
              </w:rPr>
            </w:pPr>
          </w:p>
        </w:tc>
        <w:tc>
          <w:tcPr>
            <w:tcW w:w="2633" w:type="dxa"/>
            <w:gridSpan w:val="2"/>
            <w:tcBorders>
              <w:top w:val="single" w:color="000000"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sz w:val="20"/>
                <w:szCs w:val="20"/>
              </w:rPr>
            </w:pPr>
          </w:p>
        </w:tc>
        <w:tc>
          <w:tcPr>
            <w:tcW w:w="1225" w:type="dxa"/>
            <w:tcBorders>
              <w:top w:val="single" w:color="000000" w:sz="4" w:space="0"/>
              <w:left w:val="single" w:color="000000" w:sz="4" w:space="0"/>
              <w:bottom w:val="single" w:color="auto" w:sz="4" w:space="0"/>
              <w:right w:val="single" w:color="000000" w:sz="4" w:space="0"/>
            </w:tcBorders>
            <w:vAlign w:val="center"/>
          </w:tcPr>
          <w:p>
            <w:pPr>
              <w:jc w:val="right"/>
              <w:rPr>
                <w:rFonts w:hint="default" w:ascii="宋体" w:hAnsi="宋体" w:eastAsia="宋体" w:cs="宋体"/>
                <w:sz w:val="20"/>
                <w:szCs w:val="20"/>
                <w:lang w:val="en-US" w:eastAsia="zh-CN"/>
              </w:rPr>
            </w:pPr>
            <w:r>
              <w:t>0</w:t>
            </w: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205" w:type="dxa"/>
            <w:gridSpan w:val="6"/>
            <w:tcBorders>
              <w:top w:val="single" w:color="auto" w:sz="4" w:space="0"/>
              <w:left w:val="nil"/>
              <w:bottom w:val="nil"/>
              <w:right w:val="nil"/>
            </w:tcBorders>
            <w:vAlign w:val="center"/>
          </w:tcPr>
          <w:p>
            <w:pPr>
              <w:jc w:val="left"/>
              <w:rPr>
                <w:rFonts w:hint="default"/>
                <w:lang w:val="en-US"/>
              </w:rPr>
            </w:pPr>
            <w:r>
              <w:rPr>
                <w:rFonts w:hint="eastAsia"/>
                <w:lang w:val="en-US" w:eastAsia="zh-CN"/>
              </w:rPr>
              <w:t>说明：本表无年度发生额</w:t>
            </w:r>
          </w:p>
        </w:tc>
      </w:tr>
    </w:tbl>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表.11</w:t>
      </w:r>
    </w:p>
    <w:p>
      <w:pPr>
        <w:jc w:val="center"/>
        <w:rPr>
          <w:rFonts w:hint="eastAsia"/>
          <w:b/>
          <w:bCs/>
          <w:sz w:val="32"/>
          <w:szCs w:val="32"/>
        </w:rPr>
      </w:pPr>
      <w:r>
        <w:rPr>
          <w:rFonts w:hint="eastAsia"/>
          <w:b/>
          <w:bCs/>
          <w:sz w:val="32"/>
          <w:szCs w:val="32"/>
        </w:rPr>
        <w:t>政府采购项目支出表</w:t>
      </w:r>
    </w:p>
    <w:p>
      <w:pPr>
        <w:jc w:val="center"/>
        <w:rPr>
          <w:rFonts w:hint="eastAsia"/>
          <w:b/>
          <w:bCs/>
          <w:sz w:val="20"/>
          <w:szCs w:val="20"/>
        </w:rPr>
      </w:pPr>
    </w:p>
    <w:tbl>
      <w:tblPr>
        <w:tblStyle w:val="10"/>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1995"/>
        <w:gridCol w:w="1140"/>
        <w:gridCol w:w="1155"/>
        <w:gridCol w:w="1080"/>
        <w:gridCol w:w="133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7455" w:type="dxa"/>
            <w:gridSpan w:val="5"/>
            <w:tcBorders>
              <w:top w:val="nil"/>
              <w:left w:val="nil"/>
              <w:bottom w:val="single" w:color="000000" w:sz="4" w:space="0"/>
              <w:right w:val="nil"/>
            </w:tcBorders>
            <w:vAlign w:val="center"/>
          </w:tcPr>
          <w:p>
            <w:pPr>
              <w:jc w:val="left"/>
              <w:rPr>
                <w:rFonts w:hint="eastAsia" w:ascii="宋体" w:hAnsi="宋体" w:eastAsia="宋体" w:cs="宋体"/>
                <w:sz w:val="20"/>
                <w:szCs w:val="20"/>
              </w:rPr>
            </w:pPr>
            <w:r>
              <w:rPr>
                <w:rFonts w:hint="eastAsia" w:ascii="宋体" w:hAnsi="宋体" w:eastAsia="宋体" w:cs="宋体"/>
                <w:sz w:val="20"/>
                <w:szCs w:val="20"/>
              </w:rPr>
              <w:t>单位名称：</w:t>
            </w:r>
            <w:r>
              <w:rPr>
                <w:rFonts w:hint="eastAsia" w:ascii="宋体" w:hAnsi="宋体" w:eastAsia="宋体" w:cs="宋体"/>
                <w:sz w:val="20"/>
                <w:szCs w:val="20"/>
                <w:lang w:eastAsia="zh-CN"/>
              </w:rPr>
              <w:t>深圳市罗湖区财政局</w:t>
            </w:r>
          </w:p>
        </w:tc>
        <w:tc>
          <w:tcPr>
            <w:tcW w:w="2730" w:type="dxa"/>
            <w:gridSpan w:val="2"/>
            <w:tcBorders>
              <w:top w:val="nil"/>
              <w:left w:val="nil"/>
              <w:bottom w:val="single" w:color="000000" w:sz="4" w:space="0"/>
              <w:right w:val="nil"/>
            </w:tcBorders>
            <w:vAlign w:val="center"/>
          </w:tcPr>
          <w:p>
            <w:pPr>
              <w:jc w:val="right"/>
              <w:rPr>
                <w:rFonts w:hint="eastAsia" w:ascii="宋体" w:hAnsi="宋体" w:eastAsia="宋体" w:cs="宋体"/>
                <w:sz w:val="20"/>
                <w:szCs w:val="20"/>
              </w:rPr>
            </w:pPr>
            <w:r>
              <w:rPr>
                <w:rFonts w:hint="eastAsia" w:ascii="宋体" w:hAnsi="宋体" w:eastAsia="宋体" w:cs="宋体"/>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20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采购项目</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采购品目</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服务年限</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实际</w:t>
            </w:r>
            <w:r>
              <w:rPr>
                <w:rFonts w:hint="eastAsia" w:ascii="宋体" w:hAnsi="宋体" w:cs="宋体"/>
                <w:sz w:val="20"/>
                <w:szCs w:val="20"/>
                <w:lang w:val="en-US" w:eastAsia="zh-CN"/>
              </w:rPr>
              <w:t>支付</w:t>
            </w:r>
            <w:r>
              <w:rPr>
                <w:rFonts w:hint="eastAsia" w:ascii="宋体" w:hAnsi="宋体" w:eastAsia="宋体" w:cs="宋体"/>
                <w:sz w:val="20"/>
                <w:szCs w:val="20"/>
              </w:rPr>
              <w:t>指标</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一年采购</w:t>
            </w:r>
            <w:r>
              <w:rPr>
                <w:rFonts w:hint="eastAsia" w:ascii="宋体" w:hAnsi="宋体" w:eastAsia="宋体" w:cs="宋体"/>
                <w:sz w:val="20"/>
                <w:szCs w:val="20"/>
              </w:rPr>
              <w:t>指标</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需求时间</w:t>
            </w: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sz w:val="20"/>
                <w:szCs w:val="20"/>
                <w:lang w:val="en-US" w:eastAsia="zh-CN"/>
              </w:rPr>
            </w:pPr>
            <w:r>
              <w:rPr>
                <w:rFonts w:hint="eastAsia" w:ascii="宋体" w:hAnsi="宋体" w:cs="宋体"/>
                <w:sz w:val="20"/>
                <w:szCs w:val="20"/>
                <w:lang w:val="en-US" w:eastAsia="zh-CN"/>
              </w:rPr>
              <w:t>“智慧财政”市区一体化系统实施项目</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预算金额在100万元以上（含100万元的其他服务）</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sz w:val="20"/>
                <w:szCs w:val="20"/>
                <w:lang w:val="en-US" w:eastAsia="zh-CN"/>
              </w:rPr>
            </w:pPr>
            <w:r>
              <w:rPr>
                <w:rFonts w:hint="eastAsia"/>
                <w:lang w:val="en-US" w:eastAsia="zh-CN"/>
              </w:rPr>
              <w:t>260</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sz w:val="20"/>
                <w:szCs w:val="20"/>
                <w:lang w:val="en-US" w:eastAsia="zh-CN"/>
              </w:rPr>
            </w:pPr>
            <w:r>
              <w:rPr>
                <w:rFonts w:hint="eastAsia"/>
                <w:lang w:val="en-US" w:eastAsia="zh-CN"/>
              </w:rPr>
              <w:t>260</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lang w:val="en-US" w:eastAsia="zh-CN"/>
              </w:rPr>
            </w:pPr>
            <w:r>
              <w:rPr>
                <w:color w:val="auto"/>
              </w:rPr>
              <w:t>2021-0</w:t>
            </w:r>
            <w:r>
              <w:rPr>
                <w:rFonts w:hint="eastAsia"/>
                <w:color w:val="auto"/>
                <w:lang w:val="en-US" w:eastAsia="zh-CN"/>
              </w:rPr>
              <w:t>2</w:t>
            </w: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color w:val="auto"/>
              </w:rPr>
              <w:t>服务期1年</w:t>
            </w:r>
          </w:p>
        </w:tc>
      </w:tr>
    </w:tbl>
    <w:p>
      <w:pPr>
        <w:rPr>
          <w:rFonts w:hint="eastAsia"/>
        </w:rPr>
      </w:pPr>
    </w:p>
    <w:p>
      <w:pPr>
        <w:rPr>
          <w:rFonts w:hint="eastAsia" w:ascii="宋体" w:hAnsi="宋体" w:eastAsia="宋体" w:cs="宋体"/>
          <w:sz w:val="20"/>
          <w:szCs w:val="20"/>
        </w:rPr>
      </w:pPr>
    </w:p>
    <w:p>
      <w:pPr>
        <w:jc w:val="left"/>
        <w:rPr>
          <w:rFonts w:hint="eastAsia" w:ascii="宋体" w:hAnsi="宋体" w:eastAsia="宋体" w:cs="宋体"/>
          <w:sz w:val="24"/>
          <w:szCs w:val="24"/>
        </w:rPr>
      </w:pPr>
      <w:r>
        <w:rPr>
          <w:rFonts w:hint="eastAsia" w:ascii="宋体" w:hAnsi="宋体" w:eastAsia="宋体" w:cs="宋体"/>
          <w:sz w:val="24"/>
          <w:szCs w:val="24"/>
        </w:rPr>
        <w:t>表.12</w:t>
      </w:r>
    </w:p>
    <w:p>
      <w:pPr>
        <w:jc w:val="center"/>
        <w:rPr>
          <w:rFonts w:hint="eastAsia"/>
          <w:b/>
          <w:bCs/>
          <w:sz w:val="32"/>
          <w:szCs w:val="32"/>
        </w:rPr>
      </w:pPr>
      <w:r>
        <w:rPr>
          <w:rFonts w:hint="eastAsia"/>
          <w:b/>
          <w:bCs/>
          <w:sz w:val="32"/>
          <w:szCs w:val="32"/>
          <w:lang w:val="en-US" w:eastAsia="zh-CN"/>
        </w:rPr>
        <w:t>一般公共预算</w:t>
      </w:r>
      <w:r>
        <w:rPr>
          <w:rFonts w:hint="eastAsia"/>
          <w:b/>
          <w:bCs/>
          <w:sz w:val="32"/>
          <w:szCs w:val="32"/>
        </w:rPr>
        <w:t>“三公”经</w:t>
      </w:r>
      <w:r>
        <w:rPr>
          <w:rFonts w:hint="eastAsia"/>
          <w:b/>
          <w:bCs/>
          <w:sz w:val="32"/>
          <w:szCs w:val="32"/>
          <w:lang w:val="en-US" w:eastAsia="zh-CN"/>
        </w:rPr>
        <w:t>费支出</w:t>
      </w:r>
      <w:r>
        <w:rPr>
          <w:rFonts w:hint="eastAsia"/>
          <w:b/>
          <w:bCs/>
          <w:sz w:val="32"/>
          <w:szCs w:val="32"/>
        </w:rPr>
        <w:t>表</w:t>
      </w:r>
    </w:p>
    <w:tbl>
      <w:tblPr>
        <w:tblStyle w:val="10"/>
        <w:tblW w:w="10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945"/>
        <w:gridCol w:w="1020"/>
        <w:gridCol w:w="1095"/>
        <w:gridCol w:w="1050"/>
        <w:gridCol w:w="1065"/>
        <w:gridCol w:w="109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6810" w:type="dxa"/>
            <w:gridSpan w:val="5"/>
            <w:tcBorders>
              <w:top w:val="nil"/>
              <w:left w:val="nil"/>
              <w:bottom w:val="single" w:color="000000" w:sz="4" w:space="0"/>
              <w:right w:val="nil"/>
            </w:tcBorders>
            <w:vAlign w:val="center"/>
          </w:tcPr>
          <w:p>
            <w:pPr>
              <w:jc w:val="left"/>
              <w:rPr>
                <w:rFonts w:hint="eastAsia" w:ascii="宋体" w:hAnsi="宋体" w:eastAsia="宋体" w:cs="宋体"/>
                <w:sz w:val="20"/>
                <w:szCs w:val="20"/>
              </w:rPr>
            </w:pPr>
            <w:r>
              <w:rPr>
                <w:rFonts w:hint="eastAsia" w:ascii="宋体" w:hAnsi="宋体" w:eastAsia="宋体" w:cs="宋体"/>
                <w:sz w:val="20"/>
                <w:szCs w:val="20"/>
              </w:rPr>
              <w:t>单位名称：</w:t>
            </w:r>
            <w:r>
              <w:rPr>
                <w:rFonts w:hint="eastAsia" w:ascii="宋体" w:hAnsi="宋体" w:eastAsia="宋体" w:cs="宋体"/>
                <w:sz w:val="20"/>
                <w:szCs w:val="20"/>
                <w:lang w:eastAsia="zh-CN"/>
              </w:rPr>
              <w:t>深圳市罗湖区财政局</w:t>
            </w:r>
          </w:p>
        </w:tc>
        <w:tc>
          <w:tcPr>
            <w:tcW w:w="3405" w:type="dxa"/>
            <w:gridSpan w:val="3"/>
            <w:tcBorders>
              <w:top w:val="nil"/>
              <w:left w:val="nil"/>
              <w:bottom w:val="single" w:color="000000" w:sz="4" w:space="0"/>
              <w:right w:val="nil"/>
            </w:tcBorders>
            <w:vAlign w:val="center"/>
          </w:tcPr>
          <w:p>
            <w:pPr>
              <w:jc w:val="right"/>
              <w:rPr>
                <w:rFonts w:hint="eastAsia" w:ascii="宋体" w:hAnsi="宋体" w:eastAsia="宋体" w:cs="宋体"/>
                <w:sz w:val="20"/>
                <w:szCs w:val="20"/>
              </w:rPr>
            </w:pPr>
            <w:r>
              <w:rPr>
                <w:rFonts w:hint="eastAsia" w:ascii="宋体" w:hAnsi="宋体" w:eastAsia="宋体" w:cs="宋体"/>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blHeader/>
          <w:jc w:val="center"/>
        </w:trPr>
        <w:tc>
          <w:tcPr>
            <w:tcW w:w="270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预算单位</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年度</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lang w:val="en-US" w:eastAsia="zh-CN"/>
              </w:rPr>
            </w:pPr>
            <w:r>
              <w:rPr>
                <w:rFonts w:hint="eastAsia"/>
                <w:lang w:val="en-US" w:eastAsia="zh-CN"/>
              </w:rPr>
              <w:t>总计</w:t>
            </w: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因公出国(境)费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公务接待费</w:t>
            </w:r>
          </w:p>
        </w:tc>
        <w:tc>
          <w:tcPr>
            <w:tcW w:w="340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2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小计</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公务用车购置费</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70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深圳市罗湖区财政局</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8.30</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2.00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6.30</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70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深圳市罗湖区财政局</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12.60</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2.00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10.60</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10.60</w:t>
            </w:r>
          </w:p>
        </w:tc>
      </w:tr>
    </w:tbl>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表.13</w:t>
      </w:r>
    </w:p>
    <w:p>
      <w:pPr>
        <w:jc w:val="center"/>
        <w:rPr>
          <w:rFonts w:hint="eastAsia"/>
          <w:b/>
          <w:bCs/>
          <w:sz w:val="32"/>
          <w:szCs w:val="32"/>
        </w:rPr>
      </w:pPr>
      <w:r>
        <w:rPr>
          <w:rFonts w:hint="eastAsia"/>
          <w:b/>
          <w:bCs/>
          <w:sz w:val="32"/>
          <w:szCs w:val="32"/>
        </w:rPr>
        <w:t>部门预算绩效管理项目情况表</w:t>
      </w:r>
    </w:p>
    <w:tbl>
      <w:tblPr>
        <w:tblStyle w:val="10"/>
        <w:tblW w:w="10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2880"/>
        <w:gridCol w:w="990"/>
        <w:gridCol w:w="1065"/>
        <w:gridCol w:w="69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7980" w:type="dxa"/>
            <w:gridSpan w:val="5"/>
            <w:tcBorders>
              <w:top w:val="nil"/>
              <w:left w:val="nil"/>
              <w:bottom w:val="single" w:color="000000" w:sz="4" w:space="0"/>
              <w:right w:val="nil"/>
            </w:tcBorders>
            <w:vAlign w:val="center"/>
          </w:tcPr>
          <w:p>
            <w:pPr>
              <w:jc w:val="left"/>
              <w:rPr>
                <w:rFonts w:hint="eastAsia" w:ascii="宋体" w:hAnsi="宋体" w:eastAsia="宋体" w:cs="宋体"/>
                <w:sz w:val="20"/>
                <w:szCs w:val="20"/>
              </w:rPr>
            </w:pPr>
            <w:r>
              <w:rPr>
                <w:rFonts w:hint="eastAsia" w:ascii="宋体" w:hAnsi="宋体" w:eastAsia="宋体" w:cs="宋体"/>
                <w:sz w:val="20"/>
                <w:szCs w:val="20"/>
              </w:rPr>
              <w:t>单位名称：</w:t>
            </w:r>
            <w:r>
              <w:rPr>
                <w:rFonts w:hint="eastAsia" w:ascii="宋体" w:hAnsi="宋体" w:eastAsia="宋体" w:cs="宋体"/>
                <w:sz w:val="20"/>
                <w:szCs w:val="20"/>
                <w:lang w:eastAsia="zh-CN"/>
              </w:rPr>
              <w:t>深圳市罗湖区财政局</w:t>
            </w:r>
            <w:r>
              <w:rPr>
                <w:rFonts w:hint="eastAsia" w:ascii="宋体" w:hAnsi="宋体" w:eastAsia="宋体" w:cs="宋体"/>
                <w:sz w:val="20"/>
                <w:szCs w:val="20"/>
              </w:rPr>
              <w:t xml:space="preserve">                                                                                         </w:t>
            </w:r>
          </w:p>
        </w:tc>
        <w:tc>
          <w:tcPr>
            <w:tcW w:w="2220" w:type="dxa"/>
            <w:tcBorders>
              <w:top w:val="nil"/>
              <w:left w:val="nil"/>
              <w:bottom w:val="single" w:color="000000" w:sz="4" w:space="0"/>
              <w:right w:val="nil"/>
            </w:tcBorders>
            <w:vAlign w:val="center"/>
          </w:tcPr>
          <w:p>
            <w:pPr>
              <w:jc w:val="right"/>
              <w:rPr>
                <w:rFonts w:hint="eastAsia" w:ascii="宋体" w:hAnsi="宋体" w:eastAsia="宋体" w:cs="宋体"/>
                <w:sz w:val="20"/>
                <w:szCs w:val="20"/>
              </w:rPr>
            </w:pPr>
            <w:r>
              <w:rPr>
                <w:rFonts w:hint="eastAsia" w:ascii="宋体" w:hAnsi="宋体" w:eastAsia="宋体" w:cs="宋体"/>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blHeader/>
          <w:jc w:val="center"/>
        </w:trPr>
        <w:tc>
          <w:tcPr>
            <w:tcW w:w="23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cs="宋体"/>
                <w:sz w:val="20"/>
                <w:szCs w:val="20"/>
                <w:lang w:val="en-US" w:eastAsia="zh-CN"/>
              </w:rPr>
              <w:t>预算</w:t>
            </w:r>
            <w:r>
              <w:rPr>
                <w:rFonts w:hint="eastAsia" w:ascii="宋体" w:hAnsi="宋体" w:eastAsia="宋体" w:cs="宋体"/>
                <w:sz w:val="20"/>
                <w:szCs w:val="20"/>
              </w:rPr>
              <w:t>单位</w:t>
            </w:r>
          </w:p>
        </w:tc>
        <w:tc>
          <w:tcPr>
            <w:tcW w:w="28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项目名称</w:t>
            </w:r>
          </w:p>
        </w:tc>
        <w:tc>
          <w:tcPr>
            <w:tcW w:w="274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预算金额</w:t>
            </w:r>
          </w:p>
        </w:tc>
        <w:tc>
          <w:tcPr>
            <w:tcW w:w="222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预算执行时间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23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p>
        </w:tc>
        <w:tc>
          <w:tcPr>
            <w:tcW w:w="28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合计</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lang w:val="en-US" w:eastAsia="zh-CN"/>
              </w:rPr>
              <w:t>政府预算拨款</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其他资金</w:t>
            </w:r>
          </w:p>
        </w:tc>
        <w:tc>
          <w:tcPr>
            <w:tcW w:w="2220"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2,534.08</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2,534.08</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国库业务管理经费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735.30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735.30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地方政府专项债券发行工作经费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88.00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88.00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合同后续监管经费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137.54</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137.54</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干部</w:t>
            </w:r>
            <w:r>
              <w:rPr>
                <w:rFonts w:hint="eastAsia"/>
                <w:lang w:val="en-US" w:eastAsia="zh-CN"/>
              </w:rPr>
              <w:t>健康管理</w:t>
            </w:r>
            <w:r>
              <w:t>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10.90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10.90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辅助性人力资源经费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262.18</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262.18</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离退休老干部活动经费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14.04</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14.04</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全区国有资产管理和内控管理工作经费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22.80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22.80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部门预算编制等印刷经费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29.07</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29.07</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购买法律服务经费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66.00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66.00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预算准备金</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70.00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70.00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政府投资项目管理工作经费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1.12</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1.12</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陆丰扶贫经费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30.60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30.60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项目库管理运维技术服务经费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37.17</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37.17</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“智慧财政”项目建设经费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295.00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295.00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财政监督和预算绩效管理工作经费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102.06</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102.06</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市财政、预算学会会费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0.75</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0.75</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基层党组织党建工作经费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5.87</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5.87</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档案管理经费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20.00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20.00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部门预算集中汇审及财政供养人员信息汇审经费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40.68</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40.68</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政府采购监督管理经费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8.60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8.60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 xml:space="preserve">  深圳市罗湖区财政局</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项目审核经费</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556.41</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r>
              <w:t>556.41</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r>
              <w:t>2021.01.01-2021.12.31</w:t>
            </w:r>
          </w:p>
        </w:tc>
      </w:tr>
    </w:tbl>
    <w:p>
      <w:pPr>
        <w:rPr>
          <w:rFonts w:hint="eastAsia" w:ascii="宋体" w:hAnsi="宋体"/>
          <w:bCs/>
          <w:szCs w:val="21"/>
          <w:lang w:val="en-US" w:eastAsia="zh-CN"/>
        </w:rPr>
      </w:pPr>
      <w:r>
        <w:rPr>
          <w:rFonts w:hint="eastAsia" w:ascii="宋体" w:hAnsi="宋体"/>
          <w:bCs/>
          <w:szCs w:val="21"/>
          <w:lang w:val="en-US" w:eastAsia="zh-CN"/>
        </w:rPr>
        <w:br w:type="page"/>
      </w:r>
    </w:p>
    <w:p>
      <w:pPr>
        <w:spacing w:line="240" w:lineRule="auto"/>
        <w:ind w:right="0"/>
        <w:rPr>
          <w:rFonts w:hint="default" w:ascii="宋体" w:hAnsi="宋体"/>
          <w:bCs/>
          <w:szCs w:val="21"/>
          <w:lang w:val="en-US" w:eastAsia="zh-CN"/>
        </w:rPr>
      </w:pPr>
    </w:p>
    <w:tbl>
      <w:tblPr>
        <w:tblStyle w:val="10"/>
        <w:tblpPr w:leftFromText="180" w:rightFromText="180" w:vertAnchor="page" w:horzAnchor="page" w:tblpX="1194" w:tblpY="1608"/>
        <w:tblOverlap w:val="never"/>
        <w:tblW w:w="9758"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Layout w:type="fixed"/>
        <w:tblCellMar>
          <w:top w:w="0" w:type="dxa"/>
          <w:left w:w="0" w:type="dxa"/>
          <w:bottom w:w="0" w:type="dxa"/>
          <w:right w:w="0" w:type="dxa"/>
        </w:tblCellMar>
      </w:tblPr>
      <w:tblGrid>
        <w:gridCol w:w="1958"/>
        <w:gridCol w:w="1760"/>
        <w:gridCol w:w="1683"/>
        <w:gridCol w:w="2003"/>
        <w:gridCol w:w="235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Layout w:type="fixed"/>
          <w:tblCellMar>
            <w:top w:w="0" w:type="dxa"/>
            <w:left w:w="0" w:type="dxa"/>
            <w:bottom w:w="0" w:type="dxa"/>
            <w:right w:w="0" w:type="dxa"/>
          </w:tblCellMar>
        </w:tblPrEx>
        <w:trPr>
          <w:trHeight w:val="360" w:hRule="atLeast"/>
        </w:trPr>
        <w:tc>
          <w:tcPr>
            <w:tcW w:w="9758" w:type="dxa"/>
            <w:gridSpan w:val="5"/>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sz w:val="24"/>
                <w:szCs w:val="24"/>
                <w:lang w:val="en-US" w:eastAsia="zh-CN"/>
              </w:rPr>
              <w:t>表</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834" w:hRule="atLeast"/>
        </w:trPr>
        <w:tc>
          <w:tcPr>
            <w:tcW w:w="9758" w:type="dxa"/>
            <w:gridSpan w:val="5"/>
            <w:tcBorders>
              <w:top w:val="nil"/>
              <w:left w:val="nil"/>
              <w:bottom w:val="single" w:color="000000" w:sz="4" w:space="0"/>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r>
              <w:rPr>
                <w:rFonts w:hint="default"/>
                <w:b/>
                <w:bCs/>
                <w:sz w:val="32"/>
                <w:szCs w:val="32"/>
                <w:lang w:val="en-US" w:eastAsia="zh-CN"/>
              </w:rPr>
              <w:t>部门整体支出绩效目标表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499" w:hRule="atLeast"/>
        </w:trPr>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部门名称</w:t>
            </w:r>
          </w:p>
        </w:tc>
        <w:tc>
          <w:tcPr>
            <w:tcW w:w="3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深圳市罗湖区财政局</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负责人</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彭世平</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499" w:hRule="atLeast"/>
        </w:trPr>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填报人</w:t>
            </w:r>
          </w:p>
        </w:tc>
        <w:tc>
          <w:tcPr>
            <w:tcW w:w="344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李新旺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联系方式</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25,666,575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499" w:hRule="atLeast"/>
        </w:trPr>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部门总体资金情况（万元）</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资金总额：</w:t>
            </w:r>
          </w:p>
        </w:tc>
        <w:tc>
          <w:tcPr>
            <w:tcW w:w="60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5,026.40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499"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60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2,492.32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499"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60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2,534.08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499"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w:t>
            </w:r>
          </w:p>
        </w:tc>
        <w:tc>
          <w:tcPr>
            <w:tcW w:w="60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default" w:ascii="宋体" w:hAnsi="宋体" w:cs="宋体"/>
                <w:i w:val="0"/>
                <w:color w:val="000000"/>
                <w:sz w:val="21"/>
                <w:szCs w:val="21"/>
                <w:u w:val="no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578" w:hRule="atLeast"/>
        </w:trPr>
        <w:tc>
          <w:tcPr>
            <w:tcW w:w="1958"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部门职能概述</w:t>
            </w:r>
          </w:p>
        </w:tc>
        <w:tc>
          <w:tcPr>
            <w:tcW w:w="780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贯彻执行国家、省、市关于财政、税收、行政事业单位国有资产管理、会计管理、政府采购等方面的方针政策、法律法规规章和有关制度，制定区相关实施办法和制度。拟订我区有关财税政策、规划及财政预算管理制制度并组织实施。2.负责本级财政收支管理。3.负责实施财政国库管理制度。4.负责监管区属机关事业单位财务活动。5.负责本区预算绩效管理工作。6.负责监管政府采购活动。7.负责管理本区地方政府债务。8.负责政府投资项目资金和财务管理。9.管理本区会计事务工作。10.全区政府合同监管工作。</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641" w:hRule="atLeast"/>
        </w:trPr>
        <w:tc>
          <w:tcPr>
            <w:tcW w:w="19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部门总体</w:t>
            </w:r>
          </w:p>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绩效目标</w:t>
            </w:r>
          </w:p>
        </w:tc>
        <w:tc>
          <w:tcPr>
            <w:tcW w:w="780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通过及时完成各项工作，确保财政资金安全高效，提高财政性资金运行效率和使用效益，提升被评价单位履职效能及内部管理水平，保证政府集中采购合同签订质量，提高政府采购廉政建设水平，保障国有资产不流失。</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一级指标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二级指标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具体指标（指标内容、指标值）</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(产出指标一)</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数量指标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实行财政国库集中支付单位数量：≥290家</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(产出指标一)</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质量指标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实现国库集中支付单位覆盖率：100%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(产出指标二)</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数量指标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账表账表一致性检查单位数量：10家</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(产出指标二)</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质量指标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账表一致性检查工作覆盖率：100%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(产出指标三)</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数量指标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专项债券实施方案制定完成率：100%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(产出指标三)</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质量指标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专项债券实施方案审核通过率：100%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(产出指标四)</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数量指标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辅助性人员保障人数:21人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(产出指标四)</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质量指标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辅助性人员资质达标率：100%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(产出指标五)</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数量指标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合同履约检查的数量：65个</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(产出指标五)</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质量指标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通知采购单位督促供应商整改的通知率：≥90%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(产出指标六)</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数量指标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绩效评价工作完成率：100%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(产出指标六)</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质量指标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被评价单位对评估或评价建议采纳率：80%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(产出指标七)</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数量指标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系统运维工作完成率：100%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(产出指标七)</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质量指标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系统正常使用率：100%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(产出指标八)</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数量指标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政府集中采购合同核准的数量：400个</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(产出指标八)</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质量指标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通知采购单位对合同不符合采购文件进行修改的通知率 ：90%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(产出指标九)</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数量指标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协助各单位完成内控报告工作完成率：100%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(产出指标九)</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质量指标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内控报告合格率：100%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(产出指标十)</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数量指标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司法鉴定项目数量：≥3个</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(产出指标十)</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质量指标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立案案件办结率：100%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(产出指标一十一)</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数量指标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行政事业单位国有资产报告审核工作完成率：100%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(产出指标一十一)</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质量指标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国有资产报告报数据准确率：100%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(产出指标一十二)</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数量指标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专项审计检查开展次数≥2次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(产出指标一十二)</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质量指标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完成上级部门要求的重点检查单位比例：100%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经济效益指标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市下达债券额度利用率:100%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经济效益指标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非税收入已付征收率：100%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社会效益指标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资金使用效益情况:有效提高</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社会效益指标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各业务科室辅助性工作完成及时率：100%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社会效益指标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政府采购质量：有所提高</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社会效益指标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被评价单位履职效能及内部管理水平：有所提升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社会效益指标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政府集中采购合同签订质量：有所提高</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社会效益指标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政府采购廉政建设水平：有所提高</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社会效益指标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保障国有资产不流失：有效保障</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生态效益指标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不适用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可持续影响指标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资金安全监管机制健全性:健全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可持续影响指标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内部控制工作机制健全性：健全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可持续影响指标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政府采购监管有效性：有效</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满意度指标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受训人员满意度：≥90%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满意度指标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部门决算编审单位满意度:≥90%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满意度指标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服务科室满意度：≥90%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满意度指标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被评价单位满意度：≥90%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绩效指标(核心职能)</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r>
              <w:t>满意度指标</w:t>
            </w: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i w:val="0"/>
                <w:color w:val="000000"/>
                <w:sz w:val="21"/>
                <w:szCs w:val="21"/>
                <w:u w:val="none"/>
              </w:rPr>
            </w:pPr>
            <w:r>
              <w:t>检查单位满意度：≥90%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397" w:hRule="atLeast"/>
        </w:trPr>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lang w:val="en-US" w:eastAsia="zh-CN"/>
              </w:rPr>
            </w:pPr>
            <w:r>
              <w:t>其他说明的问题</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p>
        </w:tc>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i w:val="0"/>
                <w:color w:val="000000"/>
                <w:sz w:val="21"/>
                <w:szCs w:val="21"/>
                <w:u w:val="none"/>
              </w:rPr>
            </w:pPr>
          </w:p>
        </w:tc>
      </w:tr>
    </w:tbl>
    <w:p/>
    <w:p/>
    <w:p>
      <w:pPr>
        <w:rPr>
          <w:rFonts w:hint="eastAsia" w:ascii="宋体" w:hAnsi="宋体" w:eastAsia="宋体" w:cs="宋体"/>
          <w:sz w:val="24"/>
          <w:szCs w:val="24"/>
          <w:lang w:val="en-US" w:eastAsia="zh-CN"/>
        </w:rPr>
      </w:pPr>
    </w:p>
    <w:p>
      <w:pPr>
        <w:rPr>
          <w:rFonts w:hint="default"/>
          <w:lang w:val="en-US"/>
        </w:rPr>
      </w:pPr>
      <w:r>
        <w:rPr>
          <w:rFonts w:hint="eastAsia" w:ascii="宋体" w:hAnsi="宋体" w:eastAsia="宋体" w:cs="宋体"/>
          <w:sz w:val="24"/>
          <w:szCs w:val="24"/>
          <w:lang w:val="en-US" w:eastAsia="zh-CN"/>
        </w:rPr>
        <w:t>表</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p>
    <w:tbl>
      <w:tblPr>
        <w:tblStyle w:val="10"/>
        <w:tblW w:w="9756" w:type="dxa"/>
        <w:tblInd w:w="-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69"/>
        <w:gridCol w:w="1787"/>
        <w:gridCol w:w="1748"/>
        <w:gridCol w:w="1954"/>
        <w:gridCol w:w="1216"/>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6" w:hRule="atLeast"/>
        </w:trPr>
        <w:tc>
          <w:tcPr>
            <w:tcW w:w="9756"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9756"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国库业务管理经费</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45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资金总额</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（万元）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735.30</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735.30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曾裕星</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25666570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80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通过项目的实施，及时缴纳银行手续费，确保银行账户正常使用、财政资金安全高效，确保财政性资金及时支付及清算，提高财政性资金运行效率和使用效益，规范财政性资金银行支付清算行为。顺利完成全区国库集中支付业务；完成金财系统、非税及票据系统等系统的运维支撑工作，保障国库业务高效规范运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实行财政国库集中支付单位数量</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账表一致性检查单位数量</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实行部门决算工作单位数量</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实现国库集中支付单位覆盖率</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账表一致性检查工作覆盖率</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部门决算编制数据准确率</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45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1、资金拨付按每季度及时拨付； 2、系统运维2021年全年工作日； 3、部门决算于2021年12月前完成。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资金使用效益情况</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资金安全监管机制健全性</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受检查单位满意度</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预算单位及业务科室满意度</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部门决算编审单位满意度</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bl>
    <w:p/>
    <w:p/>
    <w:tbl>
      <w:tblPr>
        <w:tblStyle w:val="10"/>
        <w:tblW w:w="9782" w:type="dxa"/>
        <w:tblInd w:w="-5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04"/>
        <w:gridCol w:w="1683"/>
        <w:gridCol w:w="1682"/>
        <w:gridCol w:w="1957"/>
        <w:gridCol w:w="1004"/>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项目审核经费</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42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556.41</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556.41</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汤洁平</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25163602</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5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目标1：保障财政资金及非财政性国有资金安全；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目标2：规范政府及非财政性国有资金投资行为；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目标3：督促中介机构提高审核质量；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目标4：提高建设资金的使用效益。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全年预计完成协审项目个数，出具审核报告个数。</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全年预计协审项目完成率</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42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第一季度预计完成10个，第二季度预计完成15个项目，第三季度预计完成15个项目，第四季度预计完成20个项目。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保障财政资金及非财政性国有资金安全</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一、规范政府及非财政性国有资金投资行为；二、监督建设单位及中介机构按照国家及地方相关法规对建设工程进行预算、结算和竣工决算进行编制或审核，提高建设资金的使用效益。</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督促中介机构提高审核质量，有效提高建设资金的使用效益。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督促提高中介机构审核质量。</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有效督促。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核实资产价值，节省财政资金。</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有效服务。</w:t>
            </w:r>
          </w:p>
        </w:tc>
      </w:tr>
    </w:tbl>
    <w:p/>
    <w:tbl>
      <w:tblPr>
        <w:tblStyle w:val="10"/>
        <w:tblW w:w="9822"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98"/>
        <w:gridCol w:w="1898"/>
        <w:gridCol w:w="1911"/>
        <w:gridCol w:w="1559"/>
        <w:gridCol w:w="1076"/>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“智慧财政”项目建设经费</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38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295.00</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295.00</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曾裕星</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25666570</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6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根据深财信〔2020〕4号文件精神，确保符合规范和标准的系统于2021年5月底前实现全区全覆盖，做好智慧财政与全国预算管理数据汇总系统的对接和数据上报。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实现全区预算单位智慧财政市区一体化系统上线。</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实现全区预算单位覆盖率。</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38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按进度支付。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通过项目的实施，提高财政资金的监督和管理，提高财政资金的使用效率。</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确保资金及时到位，增加资金使用效率。</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使用系统的预算单位满意度</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bl>
    <w:p/>
    <w:tbl>
      <w:tblPr>
        <w:tblStyle w:val="10"/>
        <w:tblW w:w="9808" w:type="dxa"/>
        <w:tblInd w:w="-6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64"/>
        <w:gridCol w:w="1874"/>
        <w:gridCol w:w="1887"/>
        <w:gridCol w:w="1600"/>
        <w:gridCol w:w="1002"/>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3" w:hRule="atLeast"/>
        </w:trPr>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辅助性人力资源经费</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38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262.18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262.18</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李新旺</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25666575</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61" w:hRule="atLeast"/>
        </w:trPr>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6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通过及时发放辅助性人员工资，有效提高我局辅助性人员的工作积极性，确保各项辅助性事务顺利完成。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辅助性人员保障人数</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辅助性人员经费发放准确率</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38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每月及时发放辅助性人员工作。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辅助性事务完成及时率</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辅助性人员满意度</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bl>
    <w:p/>
    <w:tbl>
      <w:tblPr>
        <w:tblStyle w:val="10"/>
        <w:tblW w:w="9782" w:type="dxa"/>
        <w:tblInd w:w="-6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07"/>
        <w:gridCol w:w="1784"/>
        <w:gridCol w:w="2081"/>
        <w:gridCol w:w="1645"/>
        <w:gridCol w:w="1029"/>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合同后续监管经费</w:t>
            </w: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37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137.54</w:t>
            </w: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137.54</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高宇红</w:t>
            </w: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25666674</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5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对项目的合同履约情况组织监督检查，力争经确定能检查的2021年金额1000万以上的集中采购项目抽查率达到50%。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预计完成合同履约检查的数量</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合同检查类别</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3类或以上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经确定能检查的2019年金额一千万以上的集中采购项目抽检率</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通知采购单位督促供应商整改的通知率</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06" w:hRule="atLeast"/>
        </w:trPr>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37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第一季度：5个</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第二季度: 10个</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第三季度：15个</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第四季度：35个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政府采购质量</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规范政府合同履约行为</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逐步规范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被检查单位投诉次数</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≤5个</w:t>
            </w:r>
          </w:p>
        </w:tc>
      </w:tr>
    </w:tbl>
    <w:p/>
    <w:tbl>
      <w:tblPr>
        <w:tblStyle w:val="10"/>
        <w:tblW w:w="9851" w:type="dxa"/>
        <w:tblInd w:w="-5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31"/>
        <w:gridCol w:w="1849"/>
        <w:gridCol w:w="1863"/>
        <w:gridCol w:w="1580"/>
        <w:gridCol w:w="989"/>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财政监督和预算绩效管理工作经费</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40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102.06</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102.06</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9"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郭叶琳</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25666895</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7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目标1：组织全区开展预算绩效管理工作，不断增强预算单位的绩效意识，强化支出责任，推动各预算单位树立“花钱问效、无效问责”的绩效管理理念；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目标2：按时保质完成财政绩效评价和事前绩效评估任务；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目标3：开展预算绩效培训，提高全区各预算单位预算绩效意识和业务水平。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目标4：监督财税法规、政策、制度以及财经纪律的执行情况；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目标5：开展我区会计信息质量及代理记账执业质量监督检查工作；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目标6：根据上级部门统一部署，开展财政专项检查工作。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事前绩效评估项目数</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重点绩效评价项目数</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预算绩效管理培训开展次数</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监督检查工作开展次数</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出具监督检查报告份数</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被评价单位对评估或评价建议采纳率</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培训单位覆盖率</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完成上级部门要求的自查自纠单位比例</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完成上级部门要求的重点检查单位比例</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单位整改落实比例</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40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1.上半年：开展重点绩效评价工作；下半年：完成重点绩效评价工作和事前绩效评估工作并出具报告，开展一次培训工作。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2.按照上级部门统一部署和时间要求，按时完成年度各项财政监督检查任务。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被评价单位履职效能及内部管理水平</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被评价单位资金使用效益</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单位会计信息质量</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财政监督检查工作力度</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有所增强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受训人员满意度</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被评价单位满意度</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财政监督检查投诉率</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bl>
    <w:p/>
    <w:tbl>
      <w:tblPr>
        <w:tblStyle w:val="10"/>
        <w:tblW w:w="9860" w:type="dxa"/>
        <w:tblInd w:w="-6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74"/>
        <w:gridCol w:w="1766"/>
        <w:gridCol w:w="1690"/>
        <w:gridCol w:w="1596"/>
        <w:gridCol w:w="1208"/>
        <w:gridCol w:w="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地方政府专项债券发行工作经费</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4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88.00</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钟芬</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25666920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7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目标：根据专项债券发行有关工作要求，制定《实施方案》并聘请财务、法律、评级专业机构对《实施方案》开展专项评价，确保我区2021年地方政府专项债券发行成功。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0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专项债券实施方案制定完成率</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财务评估报告完成率</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专项债券实施方案审核通过率</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财务评估报告规范性</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4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市财政局债券发行完毕后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市下达债券额度利用率</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财务评估报告使用单位满意度</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bl>
    <w:p/>
    <w:p/>
    <w:tbl>
      <w:tblPr>
        <w:tblStyle w:val="10"/>
        <w:tblW w:w="9864" w:type="dxa"/>
        <w:tblInd w:w="-6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44"/>
        <w:gridCol w:w="1849"/>
        <w:gridCol w:w="1863"/>
        <w:gridCol w:w="1580"/>
        <w:gridCol w:w="1068"/>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预算准备金</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40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70.00</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李新旺</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25666371</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7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应付突发事件，应急工作的补充，费用支出的调剂补充，以备资金缺口。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资金到位率</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资金支出合规率</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40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全年按照规定，严格用款。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机关工作开展情况</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资金使用科室满意度</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bl>
    <w:p/>
    <w:tbl>
      <w:tblPr>
        <w:tblStyle w:val="10"/>
        <w:tblW w:w="9878"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58"/>
        <w:gridCol w:w="2042"/>
        <w:gridCol w:w="1683"/>
        <w:gridCol w:w="1567"/>
        <w:gridCol w:w="1146"/>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购买法律服务经费</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3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李新旺</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25666575</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7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通过聘请专业法律机构协助政府集中采购合同的初核工作，进一步规范采购单位的合同签订行为。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1、合同备案核准500个；</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2、合同修改信息核实1000个。</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对不符合项一次性告知采购单位率</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通知采购单位对合同不符合采购文件进行修改的通知率</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3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采购单位上传合同后三个工作日内反馈审核意见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政府集中采购合同签订质量</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规范集中采购合同签订行为</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逐步规范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采购单位满意度</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bl>
    <w:p/>
    <w:tbl>
      <w:tblPr>
        <w:tblStyle w:val="10"/>
        <w:tblW w:w="9873" w:type="dxa"/>
        <w:tblInd w:w="-6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14"/>
        <w:gridCol w:w="1814"/>
        <w:gridCol w:w="1827"/>
        <w:gridCol w:w="1549"/>
        <w:gridCol w:w="970"/>
        <w:gridCol w:w="1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部门预算集中汇审及财政供养人员信息汇审经费</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41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40.68</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40.68</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刘识泓</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25666720</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75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目标1：按时完成编报2021年度财政供给单位人员信息工作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目标2：通过集中汇审培训：一、保障了各单位预算项目的编报及时性，提高了财政预算编制的效率；二、有效提升填报信息的准确性。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培训会</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全区财政供养人员数据</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41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全面保障财政供养人员经费</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预算单位满意度</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bl>
    <w:p/>
    <w:tbl>
      <w:tblPr>
        <w:tblStyle w:val="10"/>
        <w:tblW w:w="9684" w:type="dxa"/>
        <w:tblInd w:w="-6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14"/>
        <w:gridCol w:w="1814"/>
        <w:gridCol w:w="1732"/>
        <w:gridCol w:w="1644"/>
        <w:gridCol w:w="1096"/>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项目库管理运维技术服务经费</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37.17</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37.17</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刘识泓</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25666720</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57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通过及时完成项目库运维及协助部门预算编制工作，实现项目管理信息化，有效保障部门预算编制工作正常开展。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项目库运维工作完成率</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部门预算编制协助工作完成率</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项目库正常运行率</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故障排除率</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及时响应系统故障；2021年底前完成部门预算编制协助工作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部门预算编制工作开展情况</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项目管理信息化建设</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预算单位满意度</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bl>
    <w:p/>
    <w:tbl>
      <w:tblPr>
        <w:tblStyle w:val="10"/>
        <w:tblW w:w="9705"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48"/>
        <w:gridCol w:w="1635"/>
        <w:gridCol w:w="1852"/>
        <w:gridCol w:w="1644"/>
        <w:gridCol w:w="1121"/>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陆丰扶贫经费</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4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30.60</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30.60</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李新旺</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25666575</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55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为落实中央扶贫办的精准帮扶要求，按时达到帮扶对象早日脱贫，支持驻村干部积极响应号召，对扶贫工作的开展提供有力保障。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扶贫工作完成率</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扶贫补助经费发放准确率</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4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按照工作计划，及时开展扶贫工作。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扶贫工作开展情况</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扶贫对象满意度</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bl>
    <w:p/>
    <w:tbl>
      <w:tblPr>
        <w:tblStyle w:val="10"/>
        <w:tblW w:w="9744" w:type="dxa"/>
        <w:tblInd w:w="-6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45"/>
        <w:gridCol w:w="1864"/>
        <w:gridCol w:w="1761"/>
        <w:gridCol w:w="1709"/>
        <w:gridCol w:w="1191"/>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部门预算编制等印刷经费</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38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29.07</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29.07</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刘识泓</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25666720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4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通过印制《2022年预算编制工作指南》《罗湖区2021年部门预算（草案）》，实现指导各预算单位编制部门预算，有效保障部门预算编制工作正常开展。印刷培训资料，加强合同履约监督管理宣传力度。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部门预算编制协助工作完成率</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部门预算编制正常运行率</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故障排除率</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38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2021年底前完成部门预算编制工作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部门预算编制工作开展情况</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指导性文件</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预算单位满意度</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r>
    </w:tbl>
    <w:p/>
    <w:tbl>
      <w:tblPr>
        <w:tblStyle w:val="10"/>
        <w:tblW w:w="9783" w:type="dxa"/>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85"/>
        <w:gridCol w:w="1833"/>
        <w:gridCol w:w="1787"/>
        <w:gridCol w:w="1626"/>
        <w:gridCol w:w="1087"/>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全区国有资产管理和内控管理工作经费</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3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22.80</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22.80</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王晓颖</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25666817</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5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国有资产管理工作：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目标1：进一步夯实行政事业性国有资产报告的数据基础，确保辖区行政事业单位及时更新国有资产信息，每月按时完成国有资产月报工作、报送资产情况。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目标2：加强国有资产监督管理，实现动态监督，完善国有资产监督管理机制。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内控管理工作：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目标1：确保辖区行政事业单位全面完成内部控制建设工作，深入推进单位加强内部控制体系建设。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目标2：统筹开展内控工作，指导单位完善内部控制制度、加强制度实施力度，提升单位内部治理水平，规范内部权力运行，促进依法行政。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行政事业单位国有资产年报审核及内控报告汇总梳理单位数量</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国有资产月报汇总梳理</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公共基础设施资产的梳理统计数量</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协助各单位完成内控报告工作完成率</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相关培训开展次数</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国有资产报告数据准确率</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内控报告合格率</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3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1.每月15日前按时完成行政事业性国有资产月报；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2.2021年4月完成行政事业性国有资产年报工作。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3.2021年4月完成全区内控报告汇总并上报市财政局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保障国有资产不流失</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提高各行政事业单位履职能力</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国有资产监督管理机制健全性</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内部控制工作机制健全性</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行政事业单位满意度</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bl>
    <w:p/>
    <w:tbl>
      <w:tblPr>
        <w:tblStyle w:val="10"/>
        <w:tblW w:w="9904" w:type="dxa"/>
        <w:tblInd w:w="-6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84"/>
        <w:gridCol w:w="1849"/>
        <w:gridCol w:w="1863"/>
        <w:gridCol w:w="1580"/>
        <w:gridCol w:w="1107"/>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档案管理经费</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40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林海权</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25666371</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7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完成2016至2020年档案整理归档工作；做好本局档案的收集、整理、保管、鉴定和统计工作；协助各科室做好文件材料的整理和立卷归档工作。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整理档案年份数量</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提供专业、有效的技术服务，使我单位档案管理更加规范。</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40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在合同规定时间内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保证档案管理规范化</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档案管理科室满意度</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bl>
    <w:p/>
    <w:tbl>
      <w:tblPr>
        <w:tblStyle w:val="10"/>
        <w:tblW w:w="9965" w:type="dxa"/>
        <w:tblInd w:w="-6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97"/>
        <w:gridCol w:w="1817"/>
        <w:gridCol w:w="1831"/>
        <w:gridCol w:w="1552"/>
        <w:gridCol w:w="1173"/>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离退休老干部活动经费</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41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14.04</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李新旺</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25666575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7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通过及时完成离退休老干部慰问活动，有效提升离退休老干部幸福感。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离退休老干部慰问人数</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离退休老干部慰问覆盖率</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41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根据慰问工作安排，及时开展慰问工作。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离退休老干部幸福感</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离退休老干部满意度</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bl>
    <w:p/>
    <w:tbl>
      <w:tblPr>
        <w:tblStyle w:val="10"/>
        <w:tblW w:w="10005" w:type="dxa"/>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92"/>
        <w:gridCol w:w="1902"/>
        <w:gridCol w:w="1728"/>
        <w:gridCol w:w="1811"/>
        <w:gridCol w:w="1017"/>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干部健康管理经费</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40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10.90</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李新旺</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25666575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7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目标1：表示对离退休老干部的尊重、关心和爱护，让离退休干部健康愉快地度过节日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目标2：以老干部喜闻乐见芳方式开展丰富多彩的文体娱乐活动，丰富退休老干部的文化生活。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目标3：重视干部慰问、学习工作，提升干部获得感，进一步加强队伍建设。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目标4：开展干部人员疗养活动，提升荣誉感和幸福感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干部人员保障人数</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健康管理活动完成率</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健康管理对象覆盖率</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40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全年按计划推进关心关爱干部工作。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不适用 </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不适用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重视干部慰问、学习工作，提升干部幸福感、荣誉感、获得感，进一步加强队伍建设。</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有效保障离退休干部生活质量</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不适用 </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不适用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不适用 </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不适用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离退休老干部对健康管理工作满意度</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bl>
    <w:p/>
    <w:p/>
    <w:p/>
    <w:tbl>
      <w:tblPr>
        <w:tblStyle w:val="10"/>
        <w:tblW w:w="9965" w:type="dxa"/>
        <w:tblInd w:w="-6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20"/>
        <w:gridCol w:w="1829"/>
        <w:gridCol w:w="1843"/>
        <w:gridCol w:w="1563"/>
        <w:gridCol w:w="1128"/>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政府采购监督管理经费</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40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杜菁柯</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25666075</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7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1.加大政府采购监督管理力度，降低廉政风险，提高政府采购透明度。2.严肃查处各种违法违纪案件，保持查办案件高压态势，形成有力震慑。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法律专家论证次数</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司法鉴定次数</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进口设备专家论证次数</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立案案件办结率</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40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其他案件办理时限≤3月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投诉办理时限≤30工作日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政府采购廉政建设水平</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加大政府采购监管力度，营造阳光透明公平公正采购氛围</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行政执法决定被行政复议</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行政执法决定被行政诉讼</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≤3次</w:t>
            </w:r>
          </w:p>
        </w:tc>
      </w:tr>
    </w:tbl>
    <w:p/>
    <w:tbl>
      <w:tblPr>
        <w:tblStyle w:val="10"/>
        <w:tblW w:w="9939" w:type="dxa"/>
        <w:tblInd w:w="-6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60"/>
        <w:gridCol w:w="1790"/>
        <w:gridCol w:w="1802"/>
        <w:gridCol w:w="1529"/>
        <w:gridCol w:w="1028"/>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基层党组织党建工作经费</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41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5.87</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5.87</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李新旺</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25666575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7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通过及时完成党建活动，有效提高党员凝聚力。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党建工作完成率</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党建活动参与率</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41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按照工作计划，及时开展党建活动。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党建工作完成情况</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党员满意度</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bl>
    <w:p/>
    <w:tbl>
      <w:tblPr>
        <w:tblStyle w:val="10"/>
        <w:tblW w:w="9970" w:type="dxa"/>
        <w:tblInd w:w="-6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17"/>
        <w:gridCol w:w="1857"/>
        <w:gridCol w:w="1871"/>
        <w:gridCol w:w="1587"/>
        <w:gridCol w:w="993"/>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3" w:hRule="atLeast"/>
        </w:trPr>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政府投资项目管理工作经费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40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3" w:hRule="atLeast"/>
        </w:trPr>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（万元）</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9" w:hRule="atLeast"/>
        </w:trPr>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王镇彬</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25666363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8" w:hRule="atLeast"/>
        </w:trPr>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75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按程序要求组织专家完成《PPP项目物有所值评估报告》及《PPP项目财政承受能力论证报告》（以下简称“两评报告”）评审工作。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2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8" w:hRule="atLeast"/>
        </w:trPr>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1：组织评审场次</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8" w:hRule="atLeast"/>
        </w:trPr>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2：参与评审专家人数</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18" w:hRule="atLeast"/>
        </w:trPr>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专家评审意见采纳率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36" w:hRule="atLeast"/>
        </w:trPr>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40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组织PPP领域相关专家参加“两评报告”的评审工作，一般每场评审会时间为一天。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0" w:hRule="atLeast"/>
        </w:trPr>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1" w:hRule="atLeast"/>
        </w:trPr>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评审结果反馈</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通过财政部信息系统审核。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1" w:hRule="atLeast"/>
        </w:trPr>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1" w:hRule="atLeast"/>
        </w:trPr>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8" w:hRule="atLeast"/>
        </w:trPr>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区PPP项目实施机构满意度</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bl>
    <w:p/>
    <w:tbl>
      <w:tblPr>
        <w:tblStyle w:val="10"/>
        <w:tblW w:w="9966" w:type="dxa"/>
        <w:tblInd w:w="-6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87"/>
        <w:gridCol w:w="1821"/>
        <w:gridCol w:w="1692"/>
        <w:gridCol w:w="1699"/>
        <w:gridCol w:w="1067"/>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市财政、预算学会会费</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42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深圳市罗湖区财政局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资金总额（万元）</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0.75</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其中：财政拨款</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0.75</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项目联系人</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李新旺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25666575</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项目属性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项目绩效目标</w:t>
            </w:r>
          </w:p>
        </w:tc>
        <w:tc>
          <w:tcPr>
            <w:tcW w:w="77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通过及时缴纳市财政、预算学会会费，保证市财政、预算学会、会计学会会费缴纳准确率达100%，有效保障我局市财政、预算学会参会资格。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市财政、预算学会会费缴纳完成率</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市财政、预算学会会费缴纳准确率</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工作时效</w:t>
            </w:r>
          </w:p>
        </w:tc>
        <w:tc>
          <w:tcPr>
            <w:tcW w:w="42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及时缴纳市财政、预算学会会费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市财政、预算学会参会资格</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rPr>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会员单位满意度</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bl>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0E4A"/>
    <w:rsid w:val="000F1DA7"/>
    <w:rsid w:val="001510F2"/>
    <w:rsid w:val="00153384"/>
    <w:rsid w:val="0018156C"/>
    <w:rsid w:val="001952A3"/>
    <w:rsid w:val="00256B21"/>
    <w:rsid w:val="002763B4"/>
    <w:rsid w:val="00312654"/>
    <w:rsid w:val="003D7534"/>
    <w:rsid w:val="003E2AD3"/>
    <w:rsid w:val="003F0A31"/>
    <w:rsid w:val="0040670D"/>
    <w:rsid w:val="004D3D27"/>
    <w:rsid w:val="00544DB7"/>
    <w:rsid w:val="00565B24"/>
    <w:rsid w:val="00577725"/>
    <w:rsid w:val="00581D8A"/>
    <w:rsid w:val="00671EDC"/>
    <w:rsid w:val="006740E7"/>
    <w:rsid w:val="006C58D6"/>
    <w:rsid w:val="00732989"/>
    <w:rsid w:val="00747376"/>
    <w:rsid w:val="007A4997"/>
    <w:rsid w:val="007A7FE1"/>
    <w:rsid w:val="00862AFF"/>
    <w:rsid w:val="008A302E"/>
    <w:rsid w:val="009B41CF"/>
    <w:rsid w:val="00A74C75"/>
    <w:rsid w:val="00AA0265"/>
    <w:rsid w:val="00B31B44"/>
    <w:rsid w:val="00C4304F"/>
    <w:rsid w:val="00CC54A5"/>
    <w:rsid w:val="00CD2BC9"/>
    <w:rsid w:val="00D77015"/>
    <w:rsid w:val="00DC7DD7"/>
    <w:rsid w:val="00E111B6"/>
    <w:rsid w:val="00E43810"/>
    <w:rsid w:val="00E51CF6"/>
    <w:rsid w:val="00FB4879"/>
    <w:rsid w:val="00FC446B"/>
    <w:rsid w:val="01107D30"/>
    <w:rsid w:val="01144274"/>
    <w:rsid w:val="01811738"/>
    <w:rsid w:val="01892F39"/>
    <w:rsid w:val="018C106D"/>
    <w:rsid w:val="019B2F3F"/>
    <w:rsid w:val="0229595C"/>
    <w:rsid w:val="027E3612"/>
    <w:rsid w:val="02861DFF"/>
    <w:rsid w:val="02A326CE"/>
    <w:rsid w:val="02C47B87"/>
    <w:rsid w:val="02E15068"/>
    <w:rsid w:val="02F539F7"/>
    <w:rsid w:val="033575FD"/>
    <w:rsid w:val="03372778"/>
    <w:rsid w:val="033869C4"/>
    <w:rsid w:val="03433F1F"/>
    <w:rsid w:val="035315FB"/>
    <w:rsid w:val="03562F3A"/>
    <w:rsid w:val="035D786C"/>
    <w:rsid w:val="035E4815"/>
    <w:rsid w:val="03B80DCF"/>
    <w:rsid w:val="03FB40E6"/>
    <w:rsid w:val="040261F8"/>
    <w:rsid w:val="0410755E"/>
    <w:rsid w:val="04297D8F"/>
    <w:rsid w:val="0443457B"/>
    <w:rsid w:val="047C5F9F"/>
    <w:rsid w:val="04CA2CA7"/>
    <w:rsid w:val="04D83360"/>
    <w:rsid w:val="0551680E"/>
    <w:rsid w:val="05751056"/>
    <w:rsid w:val="057C0D1A"/>
    <w:rsid w:val="05A54056"/>
    <w:rsid w:val="06177B4B"/>
    <w:rsid w:val="06292F3E"/>
    <w:rsid w:val="062A1D09"/>
    <w:rsid w:val="06374A49"/>
    <w:rsid w:val="068764BF"/>
    <w:rsid w:val="06933DA2"/>
    <w:rsid w:val="06A54CB1"/>
    <w:rsid w:val="06D43947"/>
    <w:rsid w:val="071962E1"/>
    <w:rsid w:val="07C13B64"/>
    <w:rsid w:val="07E42A2D"/>
    <w:rsid w:val="07FA13D9"/>
    <w:rsid w:val="082D160A"/>
    <w:rsid w:val="08396E8C"/>
    <w:rsid w:val="08623BE7"/>
    <w:rsid w:val="08735502"/>
    <w:rsid w:val="08881920"/>
    <w:rsid w:val="08D44C01"/>
    <w:rsid w:val="08F066DF"/>
    <w:rsid w:val="092507AB"/>
    <w:rsid w:val="094F260D"/>
    <w:rsid w:val="099302EC"/>
    <w:rsid w:val="09A575E8"/>
    <w:rsid w:val="09CC5A81"/>
    <w:rsid w:val="0A392B5D"/>
    <w:rsid w:val="0A776393"/>
    <w:rsid w:val="0A783892"/>
    <w:rsid w:val="0A790BA0"/>
    <w:rsid w:val="0ABE2809"/>
    <w:rsid w:val="0B010ED6"/>
    <w:rsid w:val="0B086C17"/>
    <w:rsid w:val="0B0C41B8"/>
    <w:rsid w:val="0B671B18"/>
    <w:rsid w:val="0B6E6CAC"/>
    <w:rsid w:val="0BCC0BC3"/>
    <w:rsid w:val="0BFB4C75"/>
    <w:rsid w:val="0C3639E5"/>
    <w:rsid w:val="0C5A0F99"/>
    <w:rsid w:val="0CCF526F"/>
    <w:rsid w:val="0D323811"/>
    <w:rsid w:val="0D9F6B07"/>
    <w:rsid w:val="0DAB618D"/>
    <w:rsid w:val="0DB922BF"/>
    <w:rsid w:val="0DC91C83"/>
    <w:rsid w:val="0DD36EB1"/>
    <w:rsid w:val="0E1075D2"/>
    <w:rsid w:val="0E270016"/>
    <w:rsid w:val="0E4D6C03"/>
    <w:rsid w:val="0E5976A9"/>
    <w:rsid w:val="0EC3234E"/>
    <w:rsid w:val="0ECB407E"/>
    <w:rsid w:val="0ED56848"/>
    <w:rsid w:val="0F071FD9"/>
    <w:rsid w:val="0F241CE9"/>
    <w:rsid w:val="0F2C22CD"/>
    <w:rsid w:val="0F321268"/>
    <w:rsid w:val="0F330A59"/>
    <w:rsid w:val="0F54642F"/>
    <w:rsid w:val="0F604A08"/>
    <w:rsid w:val="0F7B4091"/>
    <w:rsid w:val="0F977BE6"/>
    <w:rsid w:val="101A1C66"/>
    <w:rsid w:val="102944F2"/>
    <w:rsid w:val="106F3E0A"/>
    <w:rsid w:val="109D7D24"/>
    <w:rsid w:val="10F06B3C"/>
    <w:rsid w:val="10F835F7"/>
    <w:rsid w:val="115D0E82"/>
    <w:rsid w:val="11605F0B"/>
    <w:rsid w:val="11947D5A"/>
    <w:rsid w:val="11994D9F"/>
    <w:rsid w:val="11C45701"/>
    <w:rsid w:val="11D83DC6"/>
    <w:rsid w:val="11EB7FF5"/>
    <w:rsid w:val="12210BA2"/>
    <w:rsid w:val="123E1D64"/>
    <w:rsid w:val="124654C1"/>
    <w:rsid w:val="125A6E2F"/>
    <w:rsid w:val="12702BFD"/>
    <w:rsid w:val="12A3212E"/>
    <w:rsid w:val="12CA5E2B"/>
    <w:rsid w:val="13492633"/>
    <w:rsid w:val="13E575A2"/>
    <w:rsid w:val="13E8066D"/>
    <w:rsid w:val="14027742"/>
    <w:rsid w:val="14030BB5"/>
    <w:rsid w:val="141E3CB9"/>
    <w:rsid w:val="14403AD4"/>
    <w:rsid w:val="147777CD"/>
    <w:rsid w:val="147E1A83"/>
    <w:rsid w:val="1481413E"/>
    <w:rsid w:val="14831F9E"/>
    <w:rsid w:val="149038CC"/>
    <w:rsid w:val="14BC3DAF"/>
    <w:rsid w:val="14BD03D1"/>
    <w:rsid w:val="14C545BB"/>
    <w:rsid w:val="14F86287"/>
    <w:rsid w:val="150C6DAA"/>
    <w:rsid w:val="151E7E1B"/>
    <w:rsid w:val="15231BC4"/>
    <w:rsid w:val="155F1315"/>
    <w:rsid w:val="157C3E3B"/>
    <w:rsid w:val="158A2E40"/>
    <w:rsid w:val="159051A3"/>
    <w:rsid w:val="15E314B8"/>
    <w:rsid w:val="162E076B"/>
    <w:rsid w:val="16622809"/>
    <w:rsid w:val="16920B0D"/>
    <w:rsid w:val="16A57F23"/>
    <w:rsid w:val="16CC204E"/>
    <w:rsid w:val="16FE2BC1"/>
    <w:rsid w:val="174650EA"/>
    <w:rsid w:val="175D73CD"/>
    <w:rsid w:val="17775004"/>
    <w:rsid w:val="17A333F3"/>
    <w:rsid w:val="17A45B80"/>
    <w:rsid w:val="17A70154"/>
    <w:rsid w:val="17C55E38"/>
    <w:rsid w:val="17DB7705"/>
    <w:rsid w:val="183F39E5"/>
    <w:rsid w:val="18510377"/>
    <w:rsid w:val="189049BB"/>
    <w:rsid w:val="18962CD5"/>
    <w:rsid w:val="18F83A28"/>
    <w:rsid w:val="19D867ED"/>
    <w:rsid w:val="19FA6E89"/>
    <w:rsid w:val="1A140059"/>
    <w:rsid w:val="1A28265A"/>
    <w:rsid w:val="1A621844"/>
    <w:rsid w:val="1A786A25"/>
    <w:rsid w:val="1ABB68A4"/>
    <w:rsid w:val="1AD150D6"/>
    <w:rsid w:val="1B413862"/>
    <w:rsid w:val="1B772F95"/>
    <w:rsid w:val="1B9F7331"/>
    <w:rsid w:val="1BFC382E"/>
    <w:rsid w:val="1C4A586A"/>
    <w:rsid w:val="1C68279E"/>
    <w:rsid w:val="1C8D7AD1"/>
    <w:rsid w:val="1CE7241B"/>
    <w:rsid w:val="1CED0FDB"/>
    <w:rsid w:val="1CFF4C4D"/>
    <w:rsid w:val="1D1F5E1E"/>
    <w:rsid w:val="1D612214"/>
    <w:rsid w:val="1D7B123C"/>
    <w:rsid w:val="1DA94419"/>
    <w:rsid w:val="1DC8042C"/>
    <w:rsid w:val="1DEF4EDF"/>
    <w:rsid w:val="1E191D3E"/>
    <w:rsid w:val="1E3C1505"/>
    <w:rsid w:val="1E4F3E26"/>
    <w:rsid w:val="1E5742C6"/>
    <w:rsid w:val="1E5E2E06"/>
    <w:rsid w:val="1E7A2B44"/>
    <w:rsid w:val="1E847EDF"/>
    <w:rsid w:val="1EA97A17"/>
    <w:rsid w:val="1EC50909"/>
    <w:rsid w:val="1ED43218"/>
    <w:rsid w:val="1ED9173D"/>
    <w:rsid w:val="1EEF7486"/>
    <w:rsid w:val="1EF4435A"/>
    <w:rsid w:val="1F15385F"/>
    <w:rsid w:val="1F2C3DD2"/>
    <w:rsid w:val="1F7069AD"/>
    <w:rsid w:val="1F821936"/>
    <w:rsid w:val="1F8A2C9F"/>
    <w:rsid w:val="201E1F2C"/>
    <w:rsid w:val="20441126"/>
    <w:rsid w:val="20461AEA"/>
    <w:rsid w:val="20525D90"/>
    <w:rsid w:val="208A3682"/>
    <w:rsid w:val="21201A4D"/>
    <w:rsid w:val="21322B82"/>
    <w:rsid w:val="214A2FA2"/>
    <w:rsid w:val="214D6D58"/>
    <w:rsid w:val="221229E8"/>
    <w:rsid w:val="221C4CD6"/>
    <w:rsid w:val="22547612"/>
    <w:rsid w:val="227577F9"/>
    <w:rsid w:val="229E1EAF"/>
    <w:rsid w:val="22AD18F0"/>
    <w:rsid w:val="22BC083D"/>
    <w:rsid w:val="23374114"/>
    <w:rsid w:val="235571ED"/>
    <w:rsid w:val="236F6C78"/>
    <w:rsid w:val="23726152"/>
    <w:rsid w:val="237D5590"/>
    <w:rsid w:val="23C1413E"/>
    <w:rsid w:val="23EC0FCD"/>
    <w:rsid w:val="23F74934"/>
    <w:rsid w:val="240A6C7B"/>
    <w:rsid w:val="2421041D"/>
    <w:rsid w:val="245015E2"/>
    <w:rsid w:val="245D5D6C"/>
    <w:rsid w:val="246368C3"/>
    <w:rsid w:val="248C0ECE"/>
    <w:rsid w:val="248C26B2"/>
    <w:rsid w:val="24C21206"/>
    <w:rsid w:val="24C34D9A"/>
    <w:rsid w:val="24C67A5F"/>
    <w:rsid w:val="250411EA"/>
    <w:rsid w:val="251F79B8"/>
    <w:rsid w:val="252906E2"/>
    <w:rsid w:val="252E45B3"/>
    <w:rsid w:val="25834F93"/>
    <w:rsid w:val="258F584C"/>
    <w:rsid w:val="25B62E55"/>
    <w:rsid w:val="25C9127A"/>
    <w:rsid w:val="25D27060"/>
    <w:rsid w:val="25D558F8"/>
    <w:rsid w:val="260D454E"/>
    <w:rsid w:val="26102A1C"/>
    <w:rsid w:val="262943E3"/>
    <w:rsid w:val="26644006"/>
    <w:rsid w:val="267D117E"/>
    <w:rsid w:val="26871C36"/>
    <w:rsid w:val="26A230CB"/>
    <w:rsid w:val="26CC40A4"/>
    <w:rsid w:val="26F42ABC"/>
    <w:rsid w:val="271A7C30"/>
    <w:rsid w:val="272410C4"/>
    <w:rsid w:val="273021D9"/>
    <w:rsid w:val="273D0CC4"/>
    <w:rsid w:val="274A7229"/>
    <w:rsid w:val="276723AF"/>
    <w:rsid w:val="277D6D79"/>
    <w:rsid w:val="278B7B72"/>
    <w:rsid w:val="278E5B16"/>
    <w:rsid w:val="27974C88"/>
    <w:rsid w:val="27E316AD"/>
    <w:rsid w:val="27F50FBC"/>
    <w:rsid w:val="27FE41FD"/>
    <w:rsid w:val="281A2078"/>
    <w:rsid w:val="28222615"/>
    <w:rsid w:val="284B1033"/>
    <w:rsid w:val="287E5C0C"/>
    <w:rsid w:val="290C23B7"/>
    <w:rsid w:val="291861A9"/>
    <w:rsid w:val="294370E4"/>
    <w:rsid w:val="294D3777"/>
    <w:rsid w:val="298C0187"/>
    <w:rsid w:val="29D4405A"/>
    <w:rsid w:val="29DA4502"/>
    <w:rsid w:val="29F53B8F"/>
    <w:rsid w:val="29FB6DF0"/>
    <w:rsid w:val="2A8049AF"/>
    <w:rsid w:val="2A820A61"/>
    <w:rsid w:val="2A970C6A"/>
    <w:rsid w:val="2AA02EE8"/>
    <w:rsid w:val="2AB21EE7"/>
    <w:rsid w:val="2AE52191"/>
    <w:rsid w:val="2AEC1D58"/>
    <w:rsid w:val="2B154B12"/>
    <w:rsid w:val="2B250AB0"/>
    <w:rsid w:val="2B5A51DE"/>
    <w:rsid w:val="2B680B40"/>
    <w:rsid w:val="2B683A69"/>
    <w:rsid w:val="2B753E65"/>
    <w:rsid w:val="2B937A8B"/>
    <w:rsid w:val="2C27659A"/>
    <w:rsid w:val="2C3338B2"/>
    <w:rsid w:val="2C3D06C8"/>
    <w:rsid w:val="2C893124"/>
    <w:rsid w:val="2CBE151C"/>
    <w:rsid w:val="2CC462A1"/>
    <w:rsid w:val="2CE075BB"/>
    <w:rsid w:val="2D3B7B73"/>
    <w:rsid w:val="2D57464A"/>
    <w:rsid w:val="2D7F389B"/>
    <w:rsid w:val="2D88430A"/>
    <w:rsid w:val="2DB2776C"/>
    <w:rsid w:val="2DF65188"/>
    <w:rsid w:val="2DFA1ABE"/>
    <w:rsid w:val="2E0317B8"/>
    <w:rsid w:val="2E25509F"/>
    <w:rsid w:val="2E405D7B"/>
    <w:rsid w:val="2E754D04"/>
    <w:rsid w:val="2E7C2E21"/>
    <w:rsid w:val="2EA838AD"/>
    <w:rsid w:val="2EFA27C2"/>
    <w:rsid w:val="2F5E3370"/>
    <w:rsid w:val="2F872FE0"/>
    <w:rsid w:val="2FE43950"/>
    <w:rsid w:val="2FEC445E"/>
    <w:rsid w:val="2FF72042"/>
    <w:rsid w:val="30877F3C"/>
    <w:rsid w:val="308E51AB"/>
    <w:rsid w:val="30A17976"/>
    <w:rsid w:val="312C53F0"/>
    <w:rsid w:val="31876A37"/>
    <w:rsid w:val="31A06148"/>
    <w:rsid w:val="31BA07DA"/>
    <w:rsid w:val="31F0703B"/>
    <w:rsid w:val="32907292"/>
    <w:rsid w:val="329C26A4"/>
    <w:rsid w:val="32B43CC2"/>
    <w:rsid w:val="32C370DD"/>
    <w:rsid w:val="32E5627F"/>
    <w:rsid w:val="330A65E2"/>
    <w:rsid w:val="335F3555"/>
    <w:rsid w:val="336A79D4"/>
    <w:rsid w:val="337E480F"/>
    <w:rsid w:val="339A2DEE"/>
    <w:rsid w:val="33A91649"/>
    <w:rsid w:val="33F752CA"/>
    <w:rsid w:val="341A4B3D"/>
    <w:rsid w:val="344C6854"/>
    <w:rsid w:val="34665BC7"/>
    <w:rsid w:val="349240EA"/>
    <w:rsid w:val="349635FD"/>
    <w:rsid w:val="34AE5555"/>
    <w:rsid w:val="34FF7D0F"/>
    <w:rsid w:val="356B3538"/>
    <w:rsid w:val="35B52BFE"/>
    <w:rsid w:val="35C668C5"/>
    <w:rsid w:val="35E2195F"/>
    <w:rsid w:val="36351A32"/>
    <w:rsid w:val="364978D1"/>
    <w:rsid w:val="3673106E"/>
    <w:rsid w:val="36EF1F35"/>
    <w:rsid w:val="374A36F7"/>
    <w:rsid w:val="37787505"/>
    <w:rsid w:val="37961928"/>
    <w:rsid w:val="37AC7EC5"/>
    <w:rsid w:val="37D74452"/>
    <w:rsid w:val="3825360D"/>
    <w:rsid w:val="38401D7E"/>
    <w:rsid w:val="384B700D"/>
    <w:rsid w:val="38514B56"/>
    <w:rsid w:val="38AE300B"/>
    <w:rsid w:val="38DA6869"/>
    <w:rsid w:val="38EF0846"/>
    <w:rsid w:val="38F9634D"/>
    <w:rsid w:val="3929748A"/>
    <w:rsid w:val="39435374"/>
    <w:rsid w:val="397F297A"/>
    <w:rsid w:val="39890676"/>
    <w:rsid w:val="398C6B5D"/>
    <w:rsid w:val="398E3E8C"/>
    <w:rsid w:val="39C56AA5"/>
    <w:rsid w:val="39E703DF"/>
    <w:rsid w:val="3A026BB8"/>
    <w:rsid w:val="3A2C3380"/>
    <w:rsid w:val="3A437D5F"/>
    <w:rsid w:val="3A440AAA"/>
    <w:rsid w:val="3A6C1F2A"/>
    <w:rsid w:val="3A986670"/>
    <w:rsid w:val="3A9D4785"/>
    <w:rsid w:val="3AC64BDE"/>
    <w:rsid w:val="3AD34E8F"/>
    <w:rsid w:val="3AE44737"/>
    <w:rsid w:val="3AEB1AED"/>
    <w:rsid w:val="3B3328A2"/>
    <w:rsid w:val="3B730274"/>
    <w:rsid w:val="3B89001B"/>
    <w:rsid w:val="3B9A283F"/>
    <w:rsid w:val="3BB34626"/>
    <w:rsid w:val="3BBD60B9"/>
    <w:rsid w:val="3BEE4A82"/>
    <w:rsid w:val="3C306599"/>
    <w:rsid w:val="3C4240AE"/>
    <w:rsid w:val="3C4A7048"/>
    <w:rsid w:val="3C596580"/>
    <w:rsid w:val="3C65358C"/>
    <w:rsid w:val="3C834994"/>
    <w:rsid w:val="3C9447A5"/>
    <w:rsid w:val="3CBE5162"/>
    <w:rsid w:val="3CD45AEC"/>
    <w:rsid w:val="3CDB2412"/>
    <w:rsid w:val="3CED1138"/>
    <w:rsid w:val="3D031E7B"/>
    <w:rsid w:val="3D1A4BBE"/>
    <w:rsid w:val="3D2B54CE"/>
    <w:rsid w:val="3D4B42C0"/>
    <w:rsid w:val="3D631F98"/>
    <w:rsid w:val="3D9139C0"/>
    <w:rsid w:val="3D9328DA"/>
    <w:rsid w:val="3DE5055E"/>
    <w:rsid w:val="3DF77961"/>
    <w:rsid w:val="3E2652C8"/>
    <w:rsid w:val="3E4320DB"/>
    <w:rsid w:val="3E60578C"/>
    <w:rsid w:val="3ED237B2"/>
    <w:rsid w:val="3F7102EA"/>
    <w:rsid w:val="3F7F4158"/>
    <w:rsid w:val="3F910CE1"/>
    <w:rsid w:val="3FD7210F"/>
    <w:rsid w:val="3FF026DB"/>
    <w:rsid w:val="403952A5"/>
    <w:rsid w:val="40454F93"/>
    <w:rsid w:val="406917A7"/>
    <w:rsid w:val="407B171F"/>
    <w:rsid w:val="409B61EB"/>
    <w:rsid w:val="409D3035"/>
    <w:rsid w:val="40B01C27"/>
    <w:rsid w:val="40F30692"/>
    <w:rsid w:val="40F43379"/>
    <w:rsid w:val="40F85877"/>
    <w:rsid w:val="40FE39D4"/>
    <w:rsid w:val="412B0F12"/>
    <w:rsid w:val="41510B77"/>
    <w:rsid w:val="41537C8F"/>
    <w:rsid w:val="415C7CFF"/>
    <w:rsid w:val="41C21331"/>
    <w:rsid w:val="41C4290A"/>
    <w:rsid w:val="41DE19BB"/>
    <w:rsid w:val="41E1642D"/>
    <w:rsid w:val="41FA722A"/>
    <w:rsid w:val="42675EED"/>
    <w:rsid w:val="431E43DF"/>
    <w:rsid w:val="434130D4"/>
    <w:rsid w:val="4352483D"/>
    <w:rsid w:val="435315BE"/>
    <w:rsid w:val="435D21F5"/>
    <w:rsid w:val="43684EE4"/>
    <w:rsid w:val="439A6E1B"/>
    <w:rsid w:val="43A500F3"/>
    <w:rsid w:val="43CD7379"/>
    <w:rsid w:val="44013867"/>
    <w:rsid w:val="440533EE"/>
    <w:rsid w:val="44897B07"/>
    <w:rsid w:val="44A33124"/>
    <w:rsid w:val="44B73148"/>
    <w:rsid w:val="44ED2789"/>
    <w:rsid w:val="44F52D24"/>
    <w:rsid w:val="45481BA1"/>
    <w:rsid w:val="459A21A3"/>
    <w:rsid w:val="45C417E4"/>
    <w:rsid w:val="45CE2C45"/>
    <w:rsid w:val="45E825C0"/>
    <w:rsid w:val="4645355D"/>
    <w:rsid w:val="46B41DED"/>
    <w:rsid w:val="46C84785"/>
    <w:rsid w:val="46C944E7"/>
    <w:rsid w:val="46D47396"/>
    <w:rsid w:val="47230470"/>
    <w:rsid w:val="475F3EF2"/>
    <w:rsid w:val="47930F71"/>
    <w:rsid w:val="47A057B8"/>
    <w:rsid w:val="47AE6FAD"/>
    <w:rsid w:val="47C82624"/>
    <w:rsid w:val="47C82F8B"/>
    <w:rsid w:val="47D03509"/>
    <w:rsid w:val="48EF71F3"/>
    <w:rsid w:val="49081764"/>
    <w:rsid w:val="496B1016"/>
    <w:rsid w:val="49B83D9B"/>
    <w:rsid w:val="49EC7D17"/>
    <w:rsid w:val="4A12418F"/>
    <w:rsid w:val="4A4900DB"/>
    <w:rsid w:val="4A4A5651"/>
    <w:rsid w:val="4A781C9D"/>
    <w:rsid w:val="4A7E4919"/>
    <w:rsid w:val="4A9768E2"/>
    <w:rsid w:val="4A9C243D"/>
    <w:rsid w:val="4AE6364B"/>
    <w:rsid w:val="4AEC240B"/>
    <w:rsid w:val="4AF056EA"/>
    <w:rsid w:val="4B1344CE"/>
    <w:rsid w:val="4B157ABF"/>
    <w:rsid w:val="4B166E95"/>
    <w:rsid w:val="4B1C226E"/>
    <w:rsid w:val="4B4D3197"/>
    <w:rsid w:val="4BA61CAB"/>
    <w:rsid w:val="4BE6560C"/>
    <w:rsid w:val="4BE913AA"/>
    <w:rsid w:val="4BFD176D"/>
    <w:rsid w:val="4C191DB6"/>
    <w:rsid w:val="4C6129E4"/>
    <w:rsid w:val="4C746D9D"/>
    <w:rsid w:val="4C8B7213"/>
    <w:rsid w:val="4C8E2575"/>
    <w:rsid w:val="4C9E52E0"/>
    <w:rsid w:val="4CAA0B30"/>
    <w:rsid w:val="4CB31C43"/>
    <w:rsid w:val="4CB36AB7"/>
    <w:rsid w:val="4CB6665C"/>
    <w:rsid w:val="4CE275D1"/>
    <w:rsid w:val="4CEC6A6B"/>
    <w:rsid w:val="4CFB2A0D"/>
    <w:rsid w:val="4D001847"/>
    <w:rsid w:val="4D037C53"/>
    <w:rsid w:val="4D183E29"/>
    <w:rsid w:val="4D1B1FC5"/>
    <w:rsid w:val="4D1B5270"/>
    <w:rsid w:val="4D7A3080"/>
    <w:rsid w:val="4D9F57BB"/>
    <w:rsid w:val="4DF31374"/>
    <w:rsid w:val="4DF81EC6"/>
    <w:rsid w:val="4E1374E8"/>
    <w:rsid w:val="4E3C65BD"/>
    <w:rsid w:val="4E4E5413"/>
    <w:rsid w:val="4E5F5710"/>
    <w:rsid w:val="4E682C61"/>
    <w:rsid w:val="4E9833A3"/>
    <w:rsid w:val="4EB001FF"/>
    <w:rsid w:val="4ED96D7D"/>
    <w:rsid w:val="4EF56D84"/>
    <w:rsid w:val="4F0662D2"/>
    <w:rsid w:val="4F264027"/>
    <w:rsid w:val="4F4458FC"/>
    <w:rsid w:val="4FB37813"/>
    <w:rsid w:val="4FDE1EDF"/>
    <w:rsid w:val="4FFE48F9"/>
    <w:rsid w:val="5021186B"/>
    <w:rsid w:val="503F3AEF"/>
    <w:rsid w:val="50501FC6"/>
    <w:rsid w:val="5095250C"/>
    <w:rsid w:val="509D7AFE"/>
    <w:rsid w:val="50A707A2"/>
    <w:rsid w:val="50B715D0"/>
    <w:rsid w:val="50EC7E33"/>
    <w:rsid w:val="51172D68"/>
    <w:rsid w:val="511E2ECF"/>
    <w:rsid w:val="512A6150"/>
    <w:rsid w:val="51415E32"/>
    <w:rsid w:val="519B3D1A"/>
    <w:rsid w:val="51AC0AF9"/>
    <w:rsid w:val="522641BF"/>
    <w:rsid w:val="52367A51"/>
    <w:rsid w:val="527144A7"/>
    <w:rsid w:val="527A79A1"/>
    <w:rsid w:val="52817100"/>
    <w:rsid w:val="52C4436F"/>
    <w:rsid w:val="52D232D6"/>
    <w:rsid w:val="53093EDD"/>
    <w:rsid w:val="531477AD"/>
    <w:rsid w:val="532A41E5"/>
    <w:rsid w:val="5339795E"/>
    <w:rsid w:val="53822376"/>
    <w:rsid w:val="538723AC"/>
    <w:rsid w:val="53BC0805"/>
    <w:rsid w:val="53CD59B5"/>
    <w:rsid w:val="53CF33E1"/>
    <w:rsid w:val="53E105D6"/>
    <w:rsid w:val="541B6996"/>
    <w:rsid w:val="546A0711"/>
    <w:rsid w:val="548E7D0D"/>
    <w:rsid w:val="5536202E"/>
    <w:rsid w:val="555844A3"/>
    <w:rsid w:val="557F6187"/>
    <w:rsid w:val="55CA131B"/>
    <w:rsid w:val="563560B4"/>
    <w:rsid w:val="563D5D47"/>
    <w:rsid w:val="56DF63C8"/>
    <w:rsid w:val="56F50FAD"/>
    <w:rsid w:val="57006FB1"/>
    <w:rsid w:val="5708003A"/>
    <w:rsid w:val="571F1A47"/>
    <w:rsid w:val="5758427C"/>
    <w:rsid w:val="576B25C9"/>
    <w:rsid w:val="57D046C2"/>
    <w:rsid w:val="57DA6E90"/>
    <w:rsid w:val="57DC6CB3"/>
    <w:rsid w:val="57E84B28"/>
    <w:rsid w:val="57FF4A40"/>
    <w:rsid w:val="58525C5F"/>
    <w:rsid w:val="587D5837"/>
    <w:rsid w:val="588F2A55"/>
    <w:rsid w:val="58B305A6"/>
    <w:rsid w:val="58F72175"/>
    <w:rsid w:val="59093DA2"/>
    <w:rsid w:val="5940560B"/>
    <w:rsid w:val="5949556A"/>
    <w:rsid w:val="59513039"/>
    <w:rsid w:val="596F662B"/>
    <w:rsid w:val="59876317"/>
    <w:rsid w:val="59DC6E44"/>
    <w:rsid w:val="59F179E4"/>
    <w:rsid w:val="5A06201E"/>
    <w:rsid w:val="5A610C3C"/>
    <w:rsid w:val="5A6E175E"/>
    <w:rsid w:val="5A784907"/>
    <w:rsid w:val="5ABF347F"/>
    <w:rsid w:val="5ABF4E88"/>
    <w:rsid w:val="5ACC3C94"/>
    <w:rsid w:val="5ADB143C"/>
    <w:rsid w:val="5ADB661C"/>
    <w:rsid w:val="5ADF3764"/>
    <w:rsid w:val="5B12569B"/>
    <w:rsid w:val="5B303452"/>
    <w:rsid w:val="5B40377B"/>
    <w:rsid w:val="5B6120FD"/>
    <w:rsid w:val="5B676EE5"/>
    <w:rsid w:val="5B8942D0"/>
    <w:rsid w:val="5B8A7E3F"/>
    <w:rsid w:val="5B957C2A"/>
    <w:rsid w:val="5BA3349F"/>
    <w:rsid w:val="5BB32222"/>
    <w:rsid w:val="5BB66900"/>
    <w:rsid w:val="5BD840E6"/>
    <w:rsid w:val="5BDF6DE6"/>
    <w:rsid w:val="5C1F6559"/>
    <w:rsid w:val="5C26365E"/>
    <w:rsid w:val="5C2C178A"/>
    <w:rsid w:val="5C3174FB"/>
    <w:rsid w:val="5D11520A"/>
    <w:rsid w:val="5D5832D9"/>
    <w:rsid w:val="5D767394"/>
    <w:rsid w:val="5D99797A"/>
    <w:rsid w:val="5DB66E69"/>
    <w:rsid w:val="5DBC3BE6"/>
    <w:rsid w:val="5DC1688E"/>
    <w:rsid w:val="5DF53D86"/>
    <w:rsid w:val="5E350D1C"/>
    <w:rsid w:val="5E3C5DC6"/>
    <w:rsid w:val="5EBF6538"/>
    <w:rsid w:val="5F2C71D5"/>
    <w:rsid w:val="5F4A70E9"/>
    <w:rsid w:val="5F742D22"/>
    <w:rsid w:val="5F825C68"/>
    <w:rsid w:val="5F9D6A48"/>
    <w:rsid w:val="5FC57F4C"/>
    <w:rsid w:val="5FDB0C85"/>
    <w:rsid w:val="601863BE"/>
    <w:rsid w:val="60381DCE"/>
    <w:rsid w:val="60575E9A"/>
    <w:rsid w:val="60953E67"/>
    <w:rsid w:val="609837FF"/>
    <w:rsid w:val="60BA799F"/>
    <w:rsid w:val="60C936E1"/>
    <w:rsid w:val="60EE4E53"/>
    <w:rsid w:val="610D75DD"/>
    <w:rsid w:val="614C2AB9"/>
    <w:rsid w:val="617908E1"/>
    <w:rsid w:val="618D7825"/>
    <w:rsid w:val="618F3F40"/>
    <w:rsid w:val="61D0502F"/>
    <w:rsid w:val="61D313D2"/>
    <w:rsid w:val="61DA2B23"/>
    <w:rsid w:val="61DA4F38"/>
    <w:rsid w:val="61EC7299"/>
    <w:rsid w:val="62052D4F"/>
    <w:rsid w:val="62117982"/>
    <w:rsid w:val="6235144C"/>
    <w:rsid w:val="624746E3"/>
    <w:rsid w:val="62504870"/>
    <w:rsid w:val="62890157"/>
    <w:rsid w:val="62A36C5C"/>
    <w:rsid w:val="62CC5190"/>
    <w:rsid w:val="62E019D4"/>
    <w:rsid w:val="630C2F7C"/>
    <w:rsid w:val="631D45CB"/>
    <w:rsid w:val="631F308A"/>
    <w:rsid w:val="633D60DA"/>
    <w:rsid w:val="6352489B"/>
    <w:rsid w:val="63A9732E"/>
    <w:rsid w:val="63E8388B"/>
    <w:rsid w:val="64093A61"/>
    <w:rsid w:val="6421300B"/>
    <w:rsid w:val="642A2A51"/>
    <w:rsid w:val="642B5D96"/>
    <w:rsid w:val="643E316C"/>
    <w:rsid w:val="644A6ECD"/>
    <w:rsid w:val="646C6926"/>
    <w:rsid w:val="6473092B"/>
    <w:rsid w:val="64D117BA"/>
    <w:rsid w:val="64DD7699"/>
    <w:rsid w:val="64FA57D8"/>
    <w:rsid w:val="64FA687F"/>
    <w:rsid w:val="65272B2A"/>
    <w:rsid w:val="658666F0"/>
    <w:rsid w:val="659D6275"/>
    <w:rsid w:val="65F143ED"/>
    <w:rsid w:val="664D41AA"/>
    <w:rsid w:val="666F1E21"/>
    <w:rsid w:val="66E35EC6"/>
    <w:rsid w:val="66F067E5"/>
    <w:rsid w:val="66FE6354"/>
    <w:rsid w:val="67151783"/>
    <w:rsid w:val="671C0BAB"/>
    <w:rsid w:val="67806AD9"/>
    <w:rsid w:val="67A25AD0"/>
    <w:rsid w:val="67AA4B28"/>
    <w:rsid w:val="67E67594"/>
    <w:rsid w:val="681A6337"/>
    <w:rsid w:val="681D7E77"/>
    <w:rsid w:val="6824432C"/>
    <w:rsid w:val="683F170F"/>
    <w:rsid w:val="68731C87"/>
    <w:rsid w:val="6876256D"/>
    <w:rsid w:val="688E7F68"/>
    <w:rsid w:val="68917E7E"/>
    <w:rsid w:val="68953DD1"/>
    <w:rsid w:val="68A70BBB"/>
    <w:rsid w:val="68D23F32"/>
    <w:rsid w:val="68E12911"/>
    <w:rsid w:val="68E52309"/>
    <w:rsid w:val="68F73AA8"/>
    <w:rsid w:val="692A4E45"/>
    <w:rsid w:val="695E28F2"/>
    <w:rsid w:val="69803354"/>
    <w:rsid w:val="698E7A80"/>
    <w:rsid w:val="69951227"/>
    <w:rsid w:val="6996392F"/>
    <w:rsid w:val="69991539"/>
    <w:rsid w:val="69A17842"/>
    <w:rsid w:val="69A80F0A"/>
    <w:rsid w:val="69B906D4"/>
    <w:rsid w:val="69B97849"/>
    <w:rsid w:val="69BE0889"/>
    <w:rsid w:val="69E27574"/>
    <w:rsid w:val="6A750479"/>
    <w:rsid w:val="6A8F167A"/>
    <w:rsid w:val="6AB40BBC"/>
    <w:rsid w:val="6AB726B6"/>
    <w:rsid w:val="6AE060A5"/>
    <w:rsid w:val="6AE7210B"/>
    <w:rsid w:val="6AEC7546"/>
    <w:rsid w:val="6AED0E27"/>
    <w:rsid w:val="6B1A1CEB"/>
    <w:rsid w:val="6B1E3ACA"/>
    <w:rsid w:val="6B222B11"/>
    <w:rsid w:val="6B885367"/>
    <w:rsid w:val="6B9F79A1"/>
    <w:rsid w:val="6BA01635"/>
    <w:rsid w:val="6BA45E33"/>
    <w:rsid w:val="6BFD61D2"/>
    <w:rsid w:val="6BFF2C84"/>
    <w:rsid w:val="6C0B30F5"/>
    <w:rsid w:val="6C443FFF"/>
    <w:rsid w:val="6CA04647"/>
    <w:rsid w:val="6CAF7207"/>
    <w:rsid w:val="6CBF3993"/>
    <w:rsid w:val="6CE70CB3"/>
    <w:rsid w:val="6CEC3299"/>
    <w:rsid w:val="6CEE0AE0"/>
    <w:rsid w:val="6DA229E8"/>
    <w:rsid w:val="6DA91007"/>
    <w:rsid w:val="6DBF4D2C"/>
    <w:rsid w:val="6DD61193"/>
    <w:rsid w:val="6E2258FC"/>
    <w:rsid w:val="6E6848CD"/>
    <w:rsid w:val="6E8048B4"/>
    <w:rsid w:val="6EB16E26"/>
    <w:rsid w:val="6EB63D16"/>
    <w:rsid w:val="6ED8747F"/>
    <w:rsid w:val="6EE75AAC"/>
    <w:rsid w:val="6EF158A1"/>
    <w:rsid w:val="6F293D99"/>
    <w:rsid w:val="6F3446B5"/>
    <w:rsid w:val="6F59172A"/>
    <w:rsid w:val="7064702D"/>
    <w:rsid w:val="707A0765"/>
    <w:rsid w:val="707F7774"/>
    <w:rsid w:val="709A14CF"/>
    <w:rsid w:val="709E4834"/>
    <w:rsid w:val="709F7F7F"/>
    <w:rsid w:val="70CA37B8"/>
    <w:rsid w:val="70D0292E"/>
    <w:rsid w:val="710A687D"/>
    <w:rsid w:val="713C2867"/>
    <w:rsid w:val="714C59D6"/>
    <w:rsid w:val="71550432"/>
    <w:rsid w:val="7186336D"/>
    <w:rsid w:val="71974B00"/>
    <w:rsid w:val="71981C0C"/>
    <w:rsid w:val="71AE0BEF"/>
    <w:rsid w:val="71E01006"/>
    <w:rsid w:val="71ED6135"/>
    <w:rsid w:val="72015456"/>
    <w:rsid w:val="7247778C"/>
    <w:rsid w:val="724F1CB9"/>
    <w:rsid w:val="727D0E8B"/>
    <w:rsid w:val="728C6B04"/>
    <w:rsid w:val="728D07C3"/>
    <w:rsid w:val="7295760B"/>
    <w:rsid w:val="729976C5"/>
    <w:rsid w:val="73375D3D"/>
    <w:rsid w:val="7361550C"/>
    <w:rsid w:val="73733555"/>
    <w:rsid w:val="73796134"/>
    <w:rsid w:val="738B127B"/>
    <w:rsid w:val="73A66264"/>
    <w:rsid w:val="73C4244E"/>
    <w:rsid w:val="73D903F0"/>
    <w:rsid w:val="7441202D"/>
    <w:rsid w:val="744446D0"/>
    <w:rsid w:val="74A35710"/>
    <w:rsid w:val="74D1751C"/>
    <w:rsid w:val="751A3CE0"/>
    <w:rsid w:val="755233F1"/>
    <w:rsid w:val="757804BD"/>
    <w:rsid w:val="75781630"/>
    <w:rsid w:val="75BE4D90"/>
    <w:rsid w:val="762A44FD"/>
    <w:rsid w:val="762D79D0"/>
    <w:rsid w:val="767B27BF"/>
    <w:rsid w:val="767F47A4"/>
    <w:rsid w:val="76B83064"/>
    <w:rsid w:val="76F32BB1"/>
    <w:rsid w:val="76FA2BDF"/>
    <w:rsid w:val="77013BF6"/>
    <w:rsid w:val="77570EF6"/>
    <w:rsid w:val="7783609C"/>
    <w:rsid w:val="77B8621E"/>
    <w:rsid w:val="78051D12"/>
    <w:rsid w:val="785B4527"/>
    <w:rsid w:val="7895316D"/>
    <w:rsid w:val="78D71E7B"/>
    <w:rsid w:val="78E933FF"/>
    <w:rsid w:val="78F44EC8"/>
    <w:rsid w:val="792D329C"/>
    <w:rsid w:val="7934267F"/>
    <w:rsid w:val="79384630"/>
    <w:rsid w:val="793D2637"/>
    <w:rsid w:val="795B6048"/>
    <w:rsid w:val="796F1849"/>
    <w:rsid w:val="797360D6"/>
    <w:rsid w:val="797B3D7B"/>
    <w:rsid w:val="799143CA"/>
    <w:rsid w:val="799402F6"/>
    <w:rsid w:val="79AA0637"/>
    <w:rsid w:val="79BD5946"/>
    <w:rsid w:val="7A1B072D"/>
    <w:rsid w:val="7A2C60AC"/>
    <w:rsid w:val="7A2F3B1F"/>
    <w:rsid w:val="7A50048D"/>
    <w:rsid w:val="7A614C00"/>
    <w:rsid w:val="7A6A5547"/>
    <w:rsid w:val="7A7B7EF3"/>
    <w:rsid w:val="7A821EFD"/>
    <w:rsid w:val="7AB431D7"/>
    <w:rsid w:val="7AE43C24"/>
    <w:rsid w:val="7B541BCD"/>
    <w:rsid w:val="7B845C11"/>
    <w:rsid w:val="7BDD72AC"/>
    <w:rsid w:val="7BF25F3B"/>
    <w:rsid w:val="7BF9047E"/>
    <w:rsid w:val="7C1C2FEA"/>
    <w:rsid w:val="7C253E2F"/>
    <w:rsid w:val="7C3D2824"/>
    <w:rsid w:val="7C4112FE"/>
    <w:rsid w:val="7C726496"/>
    <w:rsid w:val="7C7A6E72"/>
    <w:rsid w:val="7C8D5DD9"/>
    <w:rsid w:val="7C9743A2"/>
    <w:rsid w:val="7CE87E12"/>
    <w:rsid w:val="7D306F5F"/>
    <w:rsid w:val="7DB31966"/>
    <w:rsid w:val="7DB32427"/>
    <w:rsid w:val="7DD65327"/>
    <w:rsid w:val="7E2B3A21"/>
    <w:rsid w:val="7E4B3F99"/>
    <w:rsid w:val="7E514710"/>
    <w:rsid w:val="7E671AA2"/>
    <w:rsid w:val="7E8838DE"/>
    <w:rsid w:val="7E960C82"/>
    <w:rsid w:val="7EA81112"/>
    <w:rsid w:val="7EE319A0"/>
    <w:rsid w:val="7EEE586D"/>
    <w:rsid w:val="7F3022CC"/>
    <w:rsid w:val="7F48599A"/>
    <w:rsid w:val="7F584817"/>
    <w:rsid w:val="7F690124"/>
    <w:rsid w:val="7F7724CD"/>
    <w:rsid w:val="7F8000CE"/>
    <w:rsid w:val="7F830C09"/>
    <w:rsid w:val="7FE374E1"/>
    <w:rsid w:val="7FF627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5"/>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Lines="0" w:beforeAutospacing="1" w:after="100" w:afterLines="0" w:afterAutospacing="1"/>
      <w:jc w:val="left"/>
    </w:pPr>
    <w:rPr>
      <w:rFonts w:ascii="Calibri" w:hAnsi="Calibri"/>
      <w:kern w:val="0"/>
      <w:sz w:val="24"/>
    </w:rPr>
  </w:style>
  <w:style w:type="table" w:styleId="11">
    <w:name w:val="Table Grid"/>
    <w:basedOn w:val="10"/>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qFormat/>
    <w:uiPriority w:val="0"/>
  </w:style>
  <w:style w:type="paragraph" w:customStyle="1" w:styleId="14">
    <w:name w:val="Char"/>
    <w:basedOn w:val="1"/>
    <w:qFormat/>
    <w:uiPriority w:val="0"/>
    <w:rPr>
      <w:szCs w:val="20"/>
    </w:rPr>
  </w:style>
  <w:style w:type="character" w:customStyle="1" w:styleId="15">
    <w:name w:val="标题 3 Char"/>
    <w:link w:val="4"/>
    <w:qFormat/>
    <w:uiPriority w:val="0"/>
    <w:rPr>
      <w:b/>
      <w:sz w:val="32"/>
    </w:rPr>
  </w:style>
  <w:style w:type="character" w:customStyle="1" w:styleId="16">
    <w:name w:val="font41"/>
    <w:basedOn w:val="12"/>
    <w:qFormat/>
    <w:uiPriority w:val="0"/>
    <w:rPr>
      <w:rFonts w:hint="eastAsia" w:ascii="宋体" w:hAnsi="宋体" w:eastAsia="宋体" w:cs="宋体"/>
      <w:color w:val="000000"/>
      <w:sz w:val="20"/>
      <w:szCs w:val="20"/>
      <w:u w:val="none"/>
    </w:rPr>
  </w:style>
  <w:style w:type="character" w:customStyle="1" w:styleId="17">
    <w:name w:val="font21"/>
    <w:basedOn w:val="12"/>
    <w:qFormat/>
    <w:uiPriority w:val="0"/>
    <w:rPr>
      <w:rFonts w:hint="eastAsia" w:ascii="宋体" w:hAnsi="宋体" w:eastAsia="宋体" w:cs="宋体"/>
      <w:color w:val="000000"/>
      <w:sz w:val="20"/>
      <w:szCs w:val="20"/>
      <w:u w:val="none"/>
    </w:rPr>
  </w:style>
  <w:style w:type="character" w:customStyle="1" w:styleId="18">
    <w:name w:val="font01"/>
    <w:basedOn w:val="12"/>
    <w:qFormat/>
    <w:uiPriority w:val="0"/>
    <w:rPr>
      <w:rFonts w:hint="eastAsia" w:ascii="宋体" w:hAnsi="宋体" w:eastAsia="宋体" w:cs="宋体"/>
      <w:color w:val="FF0000"/>
      <w:sz w:val="20"/>
      <w:szCs w:val="20"/>
      <w:u w:val="none"/>
    </w:rPr>
  </w:style>
  <w:style w:type="character" w:customStyle="1" w:styleId="19">
    <w:name w:val="font1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jade</Company>
  <Pages>16</Pages>
  <Words>733</Words>
  <Characters>4182</Characters>
  <Lines>34</Lines>
  <Paragraphs>9</Paragraphs>
  <TotalTime>22</TotalTime>
  <ScaleCrop>false</ScaleCrop>
  <LinksUpToDate>false</LinksUpToDate>
  <CharactersWithSpaces>4906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2017-12-14T15:51:00Z</dcterms:created>
  <dc:creator>卢虹义</dc:creator>
  <cp:lastModifiedBy>未知</cp:lastModifiedBy>
  <cp:lastPrinted>2015-12-11T09:20:00Z</cp:lastPrinted>
  <dcterms:modified xsi:type="dcterms:W3CDTF">2022-06-02T09:12:06Z</dcterms:modified>
  <dc:title>关于下发2014年部门预算格式的请示</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