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3F4" w:rsidRPr="00244F98" w:rsidRDefault="008713F4" w:rsidP="008713F4">
      <w:pPr>
        <w:spacing w:line="600" w:lineRule="exact"/>
        <w:rPr>
          <w:rFonts w:ascii="仿宋_GB2312" w:eastAsia="仿宋_GB2312"/>
          <w:sz w:val="32"/>
          <w:szCs w:val="32"/>
        </w:rPr>
      </w:pPr>
      <w:r w:rsidRPr="00244F98">
        <w:rPr>
          <w:rFonts w:ascii="黑体" w:eastAsia="黑体" w:hAnsi="黑体" w:hint="eastAsia"/>
          <w:sz w:val="32"/>
          <w:szCs w:val="32"/>
        </w:rPr>
        <w:t>附件</w:t>
      </w:r>
    </w:p>
    <w:p w:rsidR="008713F4" w:rsidRPr="00244F98" w:rsidRDefault="008713F4" w:rsidP="008713F4">
      <w:pPr>
        <w:spacing w:beforeLines="100" w:before="312" w:afterLines="100" w:after="312"/>
        <w:jc w:val="center"/>
        <w:rPr>
          <w:sz w:val="44"/>
          <w:szCs w:val="44"/>
        </w:rPr>
      </w:pPr>
      <w:r w:rsidRPr="00244F98">
        <w:rPr>
          <w:rFonts w:hint="eastAsia"/>
          <w:sz w:val="44"/>
          <w:szCs w:val="44"/>
        </w:rPr>
        <w:t>罗湖区基层公共服务综合平台建设意见任务分解表</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817"/>
        <w:gridCol w:w="539"/>
        <w:gridCol w:w="329"/>
        <w:gridCol w:w="6096"/>
        <w:gridCol w:w="2699"/>
        <w:gridCol w:w="2120"/>
        <w:gridCol w:w="2846"/>
      </w:tblGrid>
      <w:tr w:rsidR="008713F4" w:rsidRPr="00244F98" w:rsidTr="00D5146A">
        <w:trPr>
          <w:tblHeader/>
          <w:jc w:val="center"/>
        </w:trPr>
        <w:tc>
          <w:tcPr>
            <w:tcW w:w="1685" w:type="dxa"/>
            <w:gridSpan w:val="3"/>
            <w:vAlign w:val="center"/>
          </w:tcPr>
          <w:p w:rsidR="008713F4" w:rsidRPr="00244F98" w:rsidRDefault="008713F4" w:rsidP="00D5146A">
            <w:pPr>
              <w:spacing w:line="240" w:lineRule="exact"/>
              <w:jc w:val="center"/>
              <w:rPr>
                <w:rFonts w:ascii="黑体" w:eastAsia="黑体" w:hAnsi="黑体"/>
                <w:color w:val="000000"/>
                <w:sz w:val="18"/>
                <w:szCs w:val="18"/>
              </w:rPr>
            </w:pPr>
            <w:r w:rsidRPr="00244F98">
              <w:rPr>
                <w:rFonts w:ascii="黑体" w:eastAsia="黑体" w:hAnsi="黑体" w:hint="eastAsia"/>
                <w:sz w:val="18"/>
                <w:szCs w:val="18"/>
              </w:rPr>
              <w:t>工作任务</w:t>
            </w:r>
          </w:p>
        </w:tc>
        <w:tc>
          <w:tcPr>
            <w:tcW w:w="6096" w:type="dxa"/>
            <w:vAlign w:val="center"/>
          </w:tcPr>
          <w:p w:rsidR="008713F4" w:rsidRPr="00244F98" w:rsidRDefault="008713F4" w:rsidP="00D5146A">
            <w:pPr>
              <w:spacing w:line="240" w:lineRule="exact"/>
              <w:jc w:val="center"/>
              <w:rPr>
                <w:rFonts w:ascii="黑体" w:eastAsia="黑体" w:hAnsi="黑体"/>
                <w:sz w:val="18"/>
                <w:szCs w:val="18"/>
              </w:rPr>
            </w:pPr>
            <w:r w:rsidRPr="00244F98">
              <w:rPr>
                <w:rFonts w:ascii="黑体" w:eastAsia="黑体" w:hAnsi="黑体" w:hint="eastAsia"/>
                <w:color w:val="000000"/>
                <w:sz w:val="18"/>
                <w:szCs w:val="18"/>
              </w:rPr>
              <w:t>具体任务</w:t>
            </w:r>
          </w:p>
        </w:tc>
        <w:tc>
          <w:tcPr>
            <w:tcW w:w="2699" w:type="dxa"/>
            <w:vAlign w:val="center"/>
          </w:tcPr>
          <w:p w:rsidR="008713F4" w:rsidRPr="00244F98" w:rsidRDefault="008713F4" w:rsidP="00D5146A">
            <w:pPr>
              <w:spacing w:line="240" w:lineRule="exact"/>
              <w:jc w:val="center"/>
              <w:rPr>
                <w:rFonts w:ascii="黑体" w:eastAsia="黑体" w:hAnsi="黑体"/>
                <w:sz w:val="18"/>
                <w:szCs w:val="18"/>
              </w:rPr>
            </w:pPr>
            <w:r w:rsidRPr="00244F98">
              <w:rPr>
                <w:rFonts w:ascii="黑体" w:eastAsia="黑体" w:hAnsi="黑体" w:hint="eastAsia"/>
                <w:color w:val="000000"/>
                <w:sz w:val="18"/>
                <w:szCs w:val="18"/>
              </w:rPr>
              <w:t>工作进度要求</w:t>
            </w:r>
          </w:p>
        </w:tc>
        <w:tc>
          <w:tcPr>
            <w:tcW w:w="2120" w:type="dxa"/>
            <w:vAlign w:val="center"/>
          </w:tcPr>
          <w:p w:rsidR="008713F4" w:rsidRPr="00244F98" w:rsidRDefault="008713F4" w:rsidP="00D5146A">
            <w:pPr>
              <w:spacing w:line="240" w:lineRule="exact"/>
              <w:jc w:val="center"/>
              <w:rPr>
                <w:rFonts w:ascii="黑体" w:eastAsia="黑体" w:hAnsi="黑体"/>
                <w:strike/>
                <w:color w:val="000000"/>
                <w:sz w:val="18"/>
                <w:szCs w:val="18"/>
              </w:rPr>
            </w:pPr>
            <w:r w:rsidRPr="00244F98">
              <w:rPr>
                <w:rFonts w:ascii="黑体" w:eastAsia="黑体" w:hAnsi="黑体" w:hint="eastAsia"/>
                <w:color w:val="000000"/>
                <w:sz w:val="18"/>
                <w:szCs w:val="18"/>
              </w:rPr>
              <w:t>牵头单位</w:t>
            </w:r>
          </w:p>
        </w:tc>
        <w:tc>
          <w:tcPr>
            <w:tcW w:w="2846" w:type="dxa"/>
          </w:tcPr>
          <w:p w:rsidR="008713F4" w:rsidRPr="00244F98" w:rsidRDefault="008713F4" w:rsidP="00D5146A">
            <w:pPr>
              <w:spacing w:line="240" w:lineRule="exact"/>
              <w:jc w:val="center"/>
              <w:rPr>
                <w:rFonts w:ascii="黑体" w:eastAsia="黑体" w:hAnsi="黑体"/>
                <w:color w:val="000000"/>
                <w:sz w:val="18"/>
                <w:szCs w:val="18"/>
              </w:rPr>
            </w:pPr>
            <w:r w:rsidRPr="00244F98">
              <w:rPr>
                <w:rFonts w:ascii="黑体" w:eastAsia="黑体" w:hAnsi="黑体" w:hint="eastAsia"/>
                <w:color w:val="000000"/>
                <w:sz w:val="18"/>
                <w:szCs w:val="18"/>
              </w:rPr>
              <w:t>责任单位</w:t>
            </w:r>
          </w:p>
        </w:tc>
      </w:tr>
      <w:tr w:rsidR="008713F4" w:rsidRPr="00244F98" w:rsidTr="00D5146A">
        <w:trPr>
          <w:trHeight w:val="492"/>
          <w:jc w:val="center"/>
        </w:trPr>
        <w:tc>
          <w:tcPr>
            <w:tcW w:w="817" w:type="dxa"/>
            <w:vMerge w:val="restart"/>
            <w:vAlign w:val="center"/>
          </w:tcPr>
          <w:p w:rsidR="008713F4" w:rsidRPr="00244F98" w:rsidRDefault="008713F4" w:rsidP="00D5146A">
            <w:pPr>
              <w:spacing w:line="24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一、人员配备</w:t>
            </w:r>
          </w:p>
        </w:tc>
        <w:tc>
          <w:tcPr>
            <w:tcW w:w="868" w:type="dxa"/>
            <w:gridSpan w:val="2"/>
            <w:vAlign w:val="center"/>
          </w:tcPr>
          <w:p w:rsidR="008713F4" w:rsidRPr="00244F98" w:rsidRDefault="008713F4" w:rsidP="00D5146A">
            <w:pPr>
              <w:spacing w:line="24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1</w:t>
            </w:r>
          </w:p>
        </w:tc>
        <w:tc>
          <w:tcPr>
            <w:tcW w:w="6096" w:type="dxa"/>
            <w:vAlign w:val="center"/>
          </w:tcPr>
          <w:p w:rsidR="008713F4" w:rsidRPr="00244F98" w:rsidRDefault="008713F4" w:rsidP="00D5146A">
            <w:pPr>
              <w:spacing w:line="240" w:lineRule="exact"/>
              <w:rPr>
                <w:rFonts w:ascii="仿宋_GB2312" w:eastAsia="仿宋_GB2312" w:hAnsi="宋体"/>
                <w:color w:val="000000"/>
                <w:sz w:val="18"/>
                <w:szCs w:val="18"/>
              </w:rPr>
            </w:pPr>
            <w:r w:rsidRPr="00244F98">
              <w:rPr>
                <w:rFonts w:ascii="仿宋_GB2312" w:eastAsia="仿宋_GB2312" w:hAnsi="宋体" w:hint="eastAsia"/>
                <w:color w:val="000000"/>
                <w:sz w:val="18"/>
                <w:szCs w:val="18"/>
              </w:rPr>
              <w:t>公共服务实施部门委托授权区公共服务管理部门实施审批工作的，应由区公共服务管理部门配备的在编专职工作人员完成，人员编制应予以保障。</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trHeight w:val="2684"/>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868" w:type="dxa"/>
            <w:gridSpan w:val="2"/>
            <w:vMerge w:val="restart"/>
            <w:vAlign w:val="center"/>
          </w:tcPr>
          <w:p w:rsidR="008713F4" w:rsidRPr="00244F98" w:rsidRDefault="008713F4" w:rsidP="00D5146A">
            <w:pPr>
              <w:spacing w:line="24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2</w:t>
            </w:r>
          </w:p>
        </w:tc>
        <w:tc>
          <w:tcPr>
            <w:tcW w:w="6096" w:type="dxa"/>
            <w:vMerge w:val="restart"/>
            <w:vAlign w:val="center"/>
          </w:tcPr>
          <w:p w:rsidR="008713F4" w:rsidRPr="00244F98" w:rsidRDefault="008713F4" w:rsidP="00D5146A">
            <w:pPr>
              <w:spacing w:line="240" w:lineRule="exact"/>
              <w:rPr>
                <w:rFonts w:ascii="仿宋_GB2312" w:eastAsia="仿宋_GB2312" w:hAnsi="宋体"/>
                <w:color w:val="000000"/>
                <w:sz w:val="18"/>
                <w:szCs w:val="18"/>
              </w:rPr>
            </w:pPr>
            <w:r w:rsidRPr="00244F98">
              <w:rPr>
                <w:rFonts w:ascii="仿宋_GB2312" w:eastAsia="仿宋_GB2312" w:hAnsi="宋体" w:hint="eastAsia"/>
                <w:sz w:val="18"/>
                <w:szCs w:val="18"/>
              </w:rPr>
              <w:t>公共服务实施部门</w:t>
            </w:r>
            <w:r w:rsidRPr="00244F98">
              <w:rPr>
                <w:rFonts w:ascii="仿宋_GB2312" w:eastAsia="仿宋_GB2312" w:hAnsi="宋体" w:hint="eastAsia"/>
                <w:color w:val="000000"/>
                <w:sz w:val="18"/>
                <w:szCs w:val="18"/>
              </w:rPr>
              <w:t>派驻专职工作人员完成未授权的审批工作。委托行政服务大厅（公共服务中心）审批决定的事项，应出具授权委托书、提供区别用章部门的行政审批专用印章。</w:t>
            </w:r>
          </w:p>
        </w:tc>
        <w:tc>
          <w:tcPr>
            <w:tcW w:w="2699" w:type="dxa"/>
            <w:tcBorders>
              <w:bottom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tcBorders>
              <w:bottom w:val="single" w:sz="4" w:space="0" w:color="auto"/>
            </w:tcBorders>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color w:val="000000"/>
                <w:sz w:val="18"/>
                <w:szCs w:val="18"/>
              </w:rPr>
            </w:pPr>
            <w:r w:rsidRPr="00244F98">
              <w:rPr>
                <w:rFonts w:ascii="仿宋_GB2312" w:eastAsia="仿宋_GB2312" w:hAnsi="宋体" w:hint="eastAsia"/>
                <w:sz w:val="18"/>
                <w:szCs w:val="18"/>
              </w:rPr>
              <w:t xml:space="preserve">区委（政府）办 </w:t>
            </w:r>
          </w:p>
        </w:tc>
        <w:tc>
          <w:tcPr>
            <w:tcW w:w="2846" w:type="dxa"/>
            <w:tcBorders>
              <w:bottom w:val="single" w:sz="4" w:space="0" w:color="auto"/>
            </w:tcBorders>
          </w:tcPr>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区法制办</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区委组织部</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市市场和质量监管罗湖局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区卫计局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区民政局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区人力资源局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罗湖社保分局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区文体局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区房屋租赁管理局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color w:val="000000"/>
                <w:sz w:val="18"/>
                <w:szCs w:val="18"/>
              </w:rPr>
              <w:t>罗湖地税分局</w:t>
            </w:r>
          </w:p>
        </w:tc>
      </w:tr>
      <w:tr w:rsidR="008713F4" w:rsidRPr="00244F98" w:rsidTr="00D5146A">
        <w:trPr>
          <w:trHeight w:val="2001"/>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868" w:type="dxa"/>
            <w:gridSpan w:val="2"/>
            <w:vMerge/>
            <w:vAlign w:val="center"/>
          </w:tcPr>
          <w:p w:rsidR="008713F4" w:rsidRPr="00244F98" w:rsidRDefault="008713F4" w:rsidP="00D5146A">
            <w:pPr>
              <w:spacing w:line="240" w:lineRule="exact"/>
              <w:jc w:val="center"/>
              <w:rPr>
                <w:rFonts w:ascii="仿宋_GB2312" w:eastAsia="仿宋_GB2312" w:hAnsi="宋体"/>
                <w:color w:val="000000"/>
                <w:sz w:val="18"/>
                <w:szCs w:val="18"/>
              </w:rPr>
            </w:pPr>
          </w:p>
        </w:tc>
        <w:tc>
          <w:tcPr>
            <w:tcW w:w="6096"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2699" w:type="dxa"/>
            <w:tcBorders>
              <w:top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2017年10月底前完成</w:t>
            </w:r>
          </w:p>
        </w:tc>
        <w:tc>
          <w:tcPr>
            <w:tcW w:w="2120" w:type="dxa"/>
            <w:tcBorders>
              <w:top w:val="single" w:sz="4" w:space="0" w:color="auto"/>
            </w:tcBorders>
            <w:vAlign w:val="center"/>
          </w:tcPr>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p>
        </w:tc>
        <w:tc>
          <w:tcPr>
            <w:tcW w:w="2846" w:type="dxa"/>
            <w:tcBorders>
              <w:top w:val="single" w:sz="4" w:space="0" w:color="auto"/>
            </w:tcBorders>
          </w:tcPr>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区法制办</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sz w:val="18"/>
                <w:szCs w:val="18"/>
              </w:rPr>
              <w:t>市</w:t>
            </w:r>
            <w:r w:rsidRPr="00244F98">
              <w:rPr>
                <w:rFonts w:ascii="仿宋_GB2312" w:eastAsia="仿宋_GB2312" w:hAnsi="宋体" w:hint="eastAsia"/>
                <w:color w:val="000000"/>
                <w:sz w:val="18"/>
                <w:szCs w:val="18"/>
              </w:rPr>
              <w:t>规划国土委罗湖局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区教育局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罗湖公安分局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区住建局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罗湖地税分局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color w:val="000000"/>
                <w:sz w:val="18"/>
                <w:szCs w:val="18"/>
              </w:rPr>
              <w:t>区城管局</w:t>
            </w:r>
          </w:p>
        </w:tc>
      </w:tr>
      <w:tr w:rsidR="008713F4" w:rsidRPr="00244F98" w:rsidTr="00D5146A">
        <w:trPr>
          <w:trHeight w:val="785"/>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868" w:type="dxa"/>
            <w:gridSpan w:val="2"/>
            <w:vAlign w:val="center"/>
          </w:tcPr>
          <w:p w:rsidR="008713F4" w:rsidRPr="00244F98" w:rsidRDefault="008713F4" w:rsidP="00D5146A">
            <w:pPr>
              <w:spacing w:line="24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3</w:t>
            </w:r>
          </w:p>
        </w:tc>
        <w:tc>
          <w:tcPr>
            <w:tcW w:w="6096" w:type="dxa"/>
            <w:vAlign w:val="center"/>
          </w:tcPr>
          <w:p w:rsidR="008713F4" w:rsidRPr="00244F98" w:rsidRDefault="008713F4" w:rsidP="00D5146A">
            <w:pPr>
              <w:spacing w:line="240" w:lineRule="exact"/>
              <w:rPr>
                <w:rFonts w:ascii="仿宋_GB2312" w:eastAsia="仿宋_GB2312" w:hAnsi="宋体"/>
                <w:bCs/>
                <w:color w:val="000000"/>
                <w:sz w:val="18"/>
                <w:szCs w:val="18"/>
              </w:rPr>
            </w:pPr>
            <w:r w:rsidRPr="00244F98">
              <w:rPr>
                <w:rFonts w:ascii="仿宋_GB2312" w:eastAsia="仿宋_GB2312" w:hAnsi="宋体" w:hint="eastAsia"/>
                <w:bCs/>
                <w:color w:val="000000"/>
                <w:sz w:val="18"/>
                <w:szCs w:val="18"/>
              </w:rPr>
              <w:t>尽快制定综合窗口工作人员的入口、出口及待遇标准。</w:t>
            </w:r>
          </w:p>
          <w:p w:rsidR="008713F4" w:rsidRPr="00244F98" w:rsidRDefault="008713F4" w:rsidP="00D5146A">
            <w:pPr>
              <w:spacing w:line="240" w:lineRule="exact"/>
              <w:rPr>
                <w:rFonts w:ascii="仿宋_GB2312" w:eastAsia="仿宋_GB2312" w:hAnsi="宋体"/>
                <w:color w:val="000000"/>
                <w:sz w:val="18"/>
                <w:szCs w:val="18"/>
              </w:rPr>
            </w:pPr>
          </w:p>
        </w:tc>
        <w:tc>
          <w:tcPr>
            <w:tcW w:w="2699" w:type="dxa"/>
            <w:vAlign w:val="center"/>
          </w:tcPr>
          <w:p w:rsidR="008713F4" w:rsidRPr="00244F98" w:rsidRDefault="008713F4" w:rsidP="00D5146A">
            <w:pPr>
              <w:spacing w:line="240" w:lineRule="exact"/>
              <w:rPr>
                <w:rFonts w:ascii="仿宋_GB2312" w:eastAsia="仿宋_GB2312" w:hAnsi="宋体"/>
                <w:color w:val="000000"/>
                <w:sz w:val="18"/>
                <w:szCs w:val="18"/>
              </w:rPr>
            </w:pPr>
            <w:r w:rsidRPr="00244F98">
              <w:rPr>
                <w:rFonts w:ascii="仿宋_GB2312" w:eastAsia="仿宋_GB2312" w:hAnsi="宋体" w:hint="eastAsia"/>
                <w:color w:val="000000"/>
                <w:sz w:val="18"/>
                <w:szCs w:val="18"/>
              </w:rPr>
              <w:t>2016年12月底前完成</w:t>
            </w:r>
          </w:p>
        </w:tc>
        <w:tc>
          <w:tcPr>
            <w:tcW w:w="2120" w:type="dxa"/>
            <w:vAlign w:val="center"/>
          </w:tcPr>
          <w:p w:rsidR="008713F4" w:rsidRPr="00244F98" w:rsidRDefault="008713F4" w:rsidP="00D5146A">
            <w:pPr>
              <w:spacing w:line="24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区财政局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color w:val="000000"/>
                <w:sz w:val="18"/>
                <w:szCs w:val="18"/>
              </w:rPr>
              <w:t>区人力资源局</w:t>
            </w:r>
          </w:p>
        </w:tc>
        <w:tc>
          <w:tcPr>
            <w:tcW w:w="2846" w:type="dxa"/>
          </w:tcPr>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区财政局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区人力资源局</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区委（政府）办</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区政府采购中心</w:t>
            </w:r>
          </w:p>
          <w:p w:rsidR="008713F4" w:rsidRPr="00244F98" w:rsidRDefault="008713F4" w:rsidP="00D5146A">
            <w:pPr>
              <w:spacing w:line="22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各街道办事处</w:t>
            </w:r>
          </w:p>
        </w:tc>
      </w:tr>
      <w:tr w:rsidR="008713F4" w:rsidRPr="00244F98" w:rsidTr="00D5146A">
        <w:trPr>
          <w:trHeight w:val="785"/>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868" w:type="dxa"/>
            <w:gridSpan w:val="2"/>
            <w:vAlign w:val="center"/>
          </w:tcPr>
          <w:p w:rsidR="008713F4" w:rsidRPr="00244F98" w:rsidRDefault="008713F4" w:rsidP="00D5146A">
            <w:pPr>
              <w:spacing w:line="24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4</w:t>
            </w:r>
          </w:p>
        </w:tc>
        <w:tc>
          <w:tcPr>
            <w:tcW w:w="6096" w:type="dxa"/>
            <w:vAlign w:val="center"/>
          </w:tcPr>
          <w:p w:rsidR="008713F4" w:rsidRPr="00244F98" w:rsidRDefault="008713F4" w:rsidP="00D5146A">
            <w:pPr>
              <w:spacing w:line="240" w:lineRule="exact"/>
              <w:rPr>
                <w:rFonts w:ascii="仿宋_GB2312" w:eastAsia="仿宋_GB2312" w:hAnsi="宋体"/>
                <w:bCs/>
                <w:color w:val="000000"/>
                <w:sz w:val="18"/>
                <w:szCs w:val="18"/>
              </w:rPr>
            </w:pPr>
            <w:r w:rsidRPr="00244F98">
              <w:rPr>
                <w:rFonts w:ascii="仿宋_GB2312" w:eastAsia="仿宋_GB2312" w:hAnsi="宋体" w:hint="eastAsia"/>
                <w:bCs/>
                <w:color w:val="000000"/>
                <w:sz w:val="18"/>
                <w:szCs w:val="18"/>
              </w:rPr>
              <w:t>区公共服务管理部门通过政府购买服务形式招聘区公共服务中心综合窗口工作人员。</w:t>
            </w:r>
          </w:p>
        </w:tc>
        <w:tc>
          <w:tcPr>
            <w:tcW w:w="2699" w:type="dxa"/>
            <w:vAlign w:val="center"/>
          </w:tcPr>
          <w:p w:rsidR="008713F4" w:rsidRPr="00244F98" w:rsidRDefault="008713F4" w:rsidP="00D5146A">
            <w:pPr>
              <w:spacing w:line="240" w:lineRule="exact"/>
              <w:rPr>
                <w:rFonts w:ascii="仿宋_GB2312" w:eastAsia="仿宋_GB2312" w:hAnsi="宋体"/>
                <w:color w:val="000000"/>
                <w:sz w:val="18"/>
                <w:szCs w:val="18"/>
              </w:rPr>
            </w:pPr>
            <w:r w:rsidRPr="00244F98">
              <w:rPr>
                <w:rFonts w:ascii="仿宋_GB2312" w:eastAsia="仿宋_GB2312" w:hAnsi="宋体" w:hint="eastAsia"/>
                <w:color w:val="000000"/>
                <w:sz w:val="18"/>
                <w:szCs w:val="18"/>
              </w:rPr>
              <w:t>2016年8月底前完成全面实施阶段综合窗口工作人员进驻，2017年10月底前完成深化阶段综合窗口工作人员进驻</w:t>
            </w:r>
          </w:p>
        </w:tc>
        <w:tc>
          <w:tcPr>
            <w:tcW w:w="2120" w:type="dxa"/>
            <w:vAlign w:val="center"/>
          </w:tcPr>
          <w:p w:rsidR="008713F4" w:rsidRPr="00244F98" w:rsidRDefault="008713F4" w:rsidP="00D5146A">
            <w:pPr>
              <w:spacing w:line="24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区委（政府）办</w:t>
            </w:r>
          </w:p>
        </w:tc>
        <w:tc>
          <w:tcPr>
            <w:tcW w:w="2846" w:type="dxa"/>
          </w:tcPr>
          <w:p w:rsidR="008713F4" w:rsidRPr="00244F98" w:rsidRDefault="008713F4" w:rsidP="00D5146A">
            <w:pPr>
              <w:spacing w:line="240" w:lineRule="exact"/>
              <w:jc w:val="center"/>
              <w:rPr>
                <w:rFonts w:ascii="仿宋_GB2312" w:eastAsia="仿宋_GB2312" w:hAnsi="宋体"/>
                <w:color w:val="000000"/>
                <w:sz w:val="18"/>
                <w:szCs w:val="18"/>
              </w:rPr>
            </w:pPr>
          </w:p>
          <w:p w:rsidR="008713F4" w:rsidRPr="00244F98" w:rsidRDefault="008713F4" w:rsidP="00D5146A">
            <w:pPr>
              <w:spacing w:line="24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区委（政府）办</w:t>
            </w:r>
          </w:p>
        </w:tc>
      </w:tr>
      <w:tr w:rsidR="008713F4" w:rsidRPr="00244F98" w:rsidTr="00D5146A">
        <w:trPr>
          <w:trHeight w:val="340"/>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868" w:type="dxa"/>
            <w:gridSpan w:val="2"/>
            <w:vAlign w:val="center"/>
          </w:tcPr>
          <w:p w:rsidR="008713F4" w:rsidRPr="00244F98" w:rsidRDefault="008713F4" w:rsidP="00D5146A">
            <w:pPr>
              <w:spacing w:line="240" w:lineRule="exact"/>
              <w:jc w:val="center"/>
              <w:rPr>
                <w:rFonts w:ascii="仿宋_GB2312" w:eastAsia="仿宋_GB2312" w:hAnsi="宋体"/>
                <w:color w:val="000000"/>
                <w:sz w:val="18"/>
                <w:szCs w:val="18"/>
              </w:rPr>
            </w:pPr>
            <w:r w:rsidRPr="00244F98">
              <w:rPr>
                <w:rFonts w:ascii="仿宋_GB2312" w:eastAsia="仿宋_GB2312" w:hAnsi="宋体" w:hint="eastAsia"/>
                <w:color w:val="000000"/>
                <w:sz w:val="18"/>
                <w:szCs w:val="18"/>
              </w:rPr>
              <w:t>5</w:t>
            </w:r>
          </w:p>
        </w:tc>
        <w:tc>
          <w:tcPr>
            <w:tcW w:w="6096" w:type="dxa"/>
            <w:vAlign w:val="center"/>
          </w:tcPr>
          <w:p w:rsidR="008713F4" w:rsidRPr="00244F98" w:rsidRDefault="008713F4" w:rsidP="00D5146A">
            <w:pPr>
              <w:spacing w:line="240" w:lineRule="exact"/>
              <w:rPr>
                <w:rFonts w:ascii="仿宋_GB2312" w:eastAsia="仿宋_GB2312" w:hAnsi="宋体"/>
                <w:color w:val="000000"/>
                <w:sz w:val="18"/>
                <w:szCs w:val="18"/>
              </w:rPr>
            </w:pPr>
            <w:r w:rsidRPr="00244F98">
              <w:rPr>
                <w:rFonts w:ascii="仿宋_GB2312" w:eastAsia="仿宋_GB2312" w:hAnsi="宋体" w:hint="eastAsia"/>
                <w:color w:val="000000"/>
                <w:sz w:val="18"/>
                <w:szCs w:val="18"/>
              </w:rPr>
              <w:t>在相关政策未出台前，街道公共服务管理部门、社区公共服务站根据各自实际情况，可通过整合现有工作人员，解决综合窗口工作人员问题。在相关政策出台后，鼓励通过购买服务方式解决，待遇参照区行政服务大厅（公共服务中心）综合窗口工作人员标准。</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区人力资源局</w:t>
            </w:r>
          </w:p>
        </w:tc>
      </w:tr>
      <w:tr w:rsidR="008713F4" w:rsidRPr="00244F98" w:rsidTr="00D5146A">
        <w:trPr>
          <w:trHeight w:val="637"/>
          <w:jc w:val="center"/>
        </w:trPr>
        <w:tc>
          <w:tcPr>
            <w:tcW w:w="817" w:type="dxa"/>
            <w:vMerge w:val="restart"/>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二、场所建设</w:t>
            </w: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tc>
        <w:tc>
          <w:tcPr>
            <w:tcW w:w="868" w:type="dxa"/>
            <w:gridSpan w:val="2"/>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6</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参照深圳市标准化指导性技术文件《行政服务大厅建设规范》（编号：SZDB/Z 177-2016），统筹现有政务服务机构和场所作为公共服务中心。行政服务大厅应统一名称、标识，采用市行政服务大厅统一LOGO。建筑布局、服务设施严格按照建设意见要求实施。</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tc>
      </w:tr>
      <w:tr w:rsidR="008713F4" w:rsidRPr="00244F98" w:rsidTr="00D5146A">
        <w:trPr>
          <w:trHeight w:val="508"/>
          <w:jc w:val="center"/>
        </w:trPr>
        <w:tc>
          <w:tcPr>
            <w:tcW w:w="817" w:type="dxa"/>
            <w:vMerge/>
            <w:vAlign w:val="center"/>
          </w:tcPr>
          <w:p w:rsidR="008713F4" w:rsidRPr="00244F98" w:rsidRDefault="008713F4" w:rsidP="00D5146A">
            <w:pPr>
              <w:spacing w:line="240" w:lineRule="exact"/>
              <w:jc w:val="right"/>
              <w:rPr>
                <w:rFonts w:ascii="仿宋_GB2312" w:eastAsia="仿宋_GB2312" w:hAnsi="宋体"/>
                <w:sz w:val="18"/>
                <w:szCs w:val="18"/>
              </w:rPr>
            </w:pPr>
          </w:p>
        </w:tc>
        <w:tc>
          <w:tcPr>
            <w:tcW w:w="868" w:type="dxa"/>
            <w:gridSpan w:val="2"/>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7</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83个社区公共服务站因地制宜，在原社区工作站或党群服务中心的基础上，参照《广东省社区（村）公共服务站建设指导设计样式》建设社区公共服务站。每个社区公共服务站综合窗口数量不少于2个。</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tc>
      </w:tr>
      <w:tr w:rsidR="008713F4" w:rsidRPr="00244F98" w:rsidTr="00D5146A">
        <w:trPr>
          <w:trHeight w:val="1200"/>
          <w:jc w:val="center"/>
        </w:trPr>
        <w:tc>
          <w:tcPr>
            <w:tcW w:w="817" w:type="dxa"/>
            <w:vMerge/>
            <w:vAlign w:val="center"/>
          </w:tcPr>
          <w:p w:rsidR="008713F4" w:rsidRPr="00244F98" w:rsidRDefault="008713F4" w:rsidP="00D5146A">
            <w:pPr>
              <w:spacing w:line="240" w:lineRule="exact"/>
              <w:jc w:val="right"/>
              <w:rPr>
                <w:rFonts w:ascii="仿宋_GB2312" w:eastAsia="仿宋_GB2312" w:hAnsi="宋体"/>
                <w:sz w:val="18"/>
                <w:szCs w:val="18"/>
              </w:rPr>
            </w:pPr>
          </w:p>
        </w:tc>
        <w:tc>
          <w:tcPr>
            <w:tcW w:w="868" w:type="dxa"/>
            <w:gridSpan w:val="2"/>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8</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推动公共服务自助终端进大厅、进街道、进社区，行政服务大厅（公共服务中心）、社区公共服务站应在本级服务场所明显位置或人员密集场所设置公共服务自助终端，努力推动自助办理替代人工服务，最大限度方便申请人查阅办事指南、办理业务等。</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区委（政府）办公室</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区委（政府）办公室</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r>
      <w:tr w:rsidR="008713F4" w:rsidRPr="00244F98" w:rsidTr="00D5146A">
        <w:trPr>
          <w:trHeight w:val="1098"/>
          <w:jc w:val="center"/>
        </w:trPr>
        <w:tc>
          <w:tcPr>
            <w:tcW w:w="817" w:type="dxa"/>
            <w:vMerge w:val="restart"/>
            <w:vAlign w:val="center"/>
          </w:tcPr>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三、业务运行</w:t>
            </w: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三、业务运行</w:t>
            </w: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tc>
        <w:tc>
          <w:tcPr>
            <w:tcW w:w="868" w:type="dxa"/>
            <w:gridSpan w:val="2"/>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lastRenderedPageBreak/>
              <w:t>9</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行政服务大厅（公共服务中心）、社区公共服务站创新服务方式，精简办事流程, 积极探索所有社区事项，街道均能受理；试点推广“通办通取”的服务方式，逐步实现同一事项全区通办。</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restart"/>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预约、引导与取号</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10</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行政服务大厅（公共服务中心）、社区公共服务站依托全市统一的网上预约系统，为申请人提供网上预约服务。</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tc>
      </w:tr>
      <w:tr w:rsidR="008713F4" w:rsidRPr="00244F98" w:rsidTr="00D5146A">
        <w:trPr>
          <w:jc w:val="center"/>
        </w:trPr>
        <w:tc>
          <w:tcPr>
            <w:tcW w:w="817" w:type="dxa"/>
            <w:vMerge/>
            <w:vAlign w:val="center"/>
          </w:tcPr>
          <w:p w:rsidR="008713F4" w:rsidRPr="00244F98" w:rsidRDefault="008713F4" w:rsidP="00D5146A">
            <w:pPr>
              <w:spacing w:line="240" w:lineRule="exact"/>
              <w:jc w:val="righ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11</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行政服务大厅（公共服务中心）、社区公共服务站结合业务开展情况，在大厅现场配备一定数量的工作人员引导申请人办理服务事项，并协助申请人填写申请表单、注册开通全市统一的身份认证账号、市民个人网页或企业专属网页。</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tc>
      </w:tr>
      <w:tr w:rsidR="008713F4" w:rsidRPr="00244F98" w:rsidTr="00D5146A">
        <w:trPr>
          <w:jc w:val="center"/>
        </w:trPr>
        <w:tc>
          <w:tcPr>
            <w:tcW w:w="817" w:type="dxa"/>
            <w:vMerge/>
            <w:vAlign w:val="center"/>
          </w:tcPr>
          <w:p w:rsidR="008713F4" w:rsidRPr="00244F98" w:rsidRDefault="008713F4" w:rsidP="00D5146A">
            <w:pPr>
              <w:spacing w:line="240" w:lineRule="exact"/>
              <w:jc w:val="right"/>
              <w:rPr>
                <w:rFonts w:ascii="仿宋_GB2312" w:eastAsia="仿宋_GB2312" w:hAnsi="宋体"/>
                <w:sz w:val="18"/>
                <w:szCs w:val="18"/>
              </w:rPr>
            </w:pPr>
          </w:p>
        </w:tc>
        <w:tc>
          <w:tcPr>
            <w:tcW w:w="539" w:type="dxa"/>
            <w:tcBorders>
              <w:bottom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咨询</w:t>
            </w:r>
          </w:p>
        </w:tc>
        <w:tc>
          <w:tcPr>
            <w:tcW w:w="329" w:type="dxa"/>
            <w:tcBorders>
              <w:bottom w:val="single" w:sz="4" w:space="0" w:color="auto"/>
            </w:tcBorders>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12</w:t>
            </w:r>
          </w:p>
        </w:tc>
        <w:tc>
          <w:tcPr>
            <w:tcW w:w="6096" w:type="dxa"/>
            <w:tcBorders>
              <w:bottom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区、街道公共服务管理部门完善行政服务大厅基础设施，设置工作人员人员</w:t>
            </w:r>
            <w:r w:rsidRPr="00244F98">
              <w:rPr>
                <w:rFonts w:ascii="仿宋_GB2312" w:eastAsia="仿宋_GB2312" w:hAnsi="宋体" w:hint="eastAsia"/>
                <w:sz w:val="18"/>
                <w:szCs w:val="18"/>
              </w:rPr>
              <w:lastRenderedPageBreak/>
              <w:t>对申请人引导办理事项、提供咨询。有条件的社区公共服务站可参照执行。</w:t>
            </w:r>
          </w:p>
        </w:tc>
        <w:tc>
          <w:tcPr>
            <w:tcW w:w="2699" w:type="dxa"/>
            <w:tcBorders>
              <w:bottom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lastRenderedPageBreak/>
              <w:t>2016年10月底前完成</w:t>
            </w:r>
          </w:p>
        </w:tc>
        <w:tc>
          <w:tcPr>
            <w:tcW w:w="2120" w:type="dxa"/>
            <w:tcBorders>
              <w:bottom w:val="single" w:sz="4" w:space="0" w:color="auto"/>
            </w:tcBorders>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lastRenderedPageBreak/>
              <w:t>各街道办事处</w:t>
            </w:r>
          </w:p>
        </w:tc>
        <w:tc>
          <w:tcPr>
            <w:tcW w:w="2846" w:type="dxa"/>
            <w:tcBorders>
              <w:bottom w:val="single" w:sz="4" w:space="0" w:color="auto"/>
            </w:tcBorders>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lastRenderedPageBreak/>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lastRenderedPageBreak/>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tc>
      </w:tr>
      <w:tr w:rsidR="008713F4" w:rsidRPr="00244F98" w:rsidTr="00D5146A">
        <w:trPr>
          <w:trHeight w:val="1207"/>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restart"/>
            <w:tcBorders>
              <w:top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业务受理</w:t>
            </w: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tc>
        <w:tc>
          <w:tcPr>
            <w:tcW w:w="329" w:type="dxa"/>
            <w:tcBorders>
              <w:top w:val="single" w:sz="4" w:space="0" w:color="auto"/>
            </w:tcBorders>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13</w:t>
            </w:r>
          </w:p>
        </w:tc>
        <w:tc>
          <w:tcPr>
            <w:tcW w:w="6096" w:type="dxa"/>
            <w:tcBorders>
              <w:top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行政服务大厅（公共服务中心）、社区公共服务站以公共服务权责清单和受理样本为依据，对申请材料是否齐全进行形式审查，如公共服务中心工作人员对申请材料把握不准，可要求公共服务实施部门派人及时指导。按照前台一口受理、后台分工协办的原则，窗口工作人员对申请人提交的申办材料进行统一登记和分类处理， 并向申请人出具收件回执 。</w:t>
            </w:r>
          </w:p>
        </w:tc>
        <w:tc>
          <w:tcPr>
            <w:tcW w:w="2699" w:type="dxa"/>
            <w:tcBorders>
              <w:top w:val="single" w:sz="4" w:space="0" w:color="auto"/>
              <w:bottom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tcBorders>
              <w:top w:val="single" w:sz="4" w:space="0" w:color="auto"/>
            </w:tcBorders>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Borders>
              <w:top w:val="single" w:sz="4" w:space="0" w:color="auto"/>
            </w:tcBorders>
          </w:tcPr>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区法制办</w:t>
            </w:r>
          </w:p>
        </w:tc>
      </w:tr>
      <w:tr w:rsidR="008713F4" w:rsidRPr="00244F98" w:rsidTr="00D5146A">
        <w:trPr>
          <w:trHeight w:val="1367"/>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14</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不属于行政服务大厅（公共服务中心）、社区公共服务站受理范围，应不予收件，并一次性告知申请人原因。申请材料与公共服务权责清单不相符的，行政服务大厅（公共服务中心）、社区公共服务站应一次性将公共服务权责清单内容告知申请人。</w:t>
            </w:r>
          </w:p>
        </w:tc>
        <w:tc>
          <w:tcPr>
            <w:tcW w:w="2699" w:type="dxa"/>
            <w:tcBorders>
              <w:top w:val="single" w:sz="4" w:space="0" w:color="auto"/>
              <w:bottom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区法制办</w:t>
            </w:r>
          </w:p>
        </w:tc>
      </w:tr>
      <w:tr w:rsidR="008713F4" w:rsidRPr="00244F98" w:rsidTr="00D5146A">
        <w:trPr>
          <w:trHeight w:val="833"/>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15</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申请人可通过网上申请，并选择邮寄方式提交申请材料的，由行政服务大厅（公共服务中心）、社区公共服务站进行签收。</w:t>
            </w:r>
          </w:p>
        </w:tc>
        <w:tc>
          <w:tcPr>
            <w:tcW w:w="2699" w:type="dxa"/>
            <w:tcBorders>
              <w:top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tc>
      </w:tr>
      <w:tr w:rsidR="008713F4" w:rsidRPr="00244F98" w:rsidTr="00D5146A">
        <w:trPr>
          <w:trHeight w:val="870"/>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16</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行政服务大厅（公共服务中心）、社区公共服务站及时将纸质材料转交公共服务实施部门，电子材料通过公共服务综合信息系统实时传送，所有材料清单经公共服务实施部门核对后通过公共服务综合平台信息系统签收。</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tc>
      </w:tr>
      <w:tr w:rsidR="008713F4" w:rsidRPr="00244F98" w:rsidTr="00D5146A">
        <w:trPr>
          <w:trHeight w:val="1272"/>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17</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原则上由公共服务实施部门委托行政服务大厅（公共服务中心）、社区公共服务站代为办理，或由行政服务大厅（公共服务中心）、社区公共服务站直接办理即办件，即由行政服务大厅（公共服务中心）、社区公共服务站负责接收申请材料、审查审批、发放证件。</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区法制办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tc>
      </w:tr>
      <w:tr w:rsidR="008713F4" w:rsidRPr="00244F98" w:rsidTr="00D5146A">
        <w:trPr>
          <w:trHeight w:val="1272"/>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18</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因法律法规等原因限制暂无法实施委托的，按照“前台统一受理，后台同步办理”的原则，由行政服务大厅（公共服务中心）、社区公共服务站统一受理, 公共服务实施部门后台同步办理。</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区法制办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tc>
      </w:tr>
      <w:tr w:rsidR="008713F4" w:rsidRPr="00244F98" w:rsidTr="00D5146A">
        <w:trPr>
          <w:trHeight w:val="576"/>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restart"/>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决定</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19</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公共服务实施部门或受委托的区行政服务大厅在收件后根据公共服务事项的类别转由部门审批或转由后台审批，并依法按规定时限完成审查、审批、决定和出具决定书。</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r>
      <w:tr w:rsidR="008713F4" w:rsidRPr="00244F98" w:rsidTr="00D5146A">
        <w:trPr>
          <w:trHeight w:val="596"/>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20</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社区公共服务站依法按规定时限完成进驻事项的受理、审查及出具相关文书。</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tc>
      </w:tr>
      <w:tr w:rsidR="008713F4" w:rsidRPr="00244F98" w:rsidTr="00D5146A">
        <w:trPr>
          <w:trHeight w:val="936"/>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21</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需要多个公共服务实施部门前后置审批的，各部门应分别在规定时间内完成，并将结果上传至公共服务综合平台信息系统。需要多个部门开展并联审批的，牵头部门会同有关部门按照有关规定完成，并将审批结果上传至公共服务综合平台信息系统。</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区法制办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证件交接</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22</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实施部门完成事项审批后，应严格依照“一门式受理”政务服务要求，及时将证件或审批结果反馈至受理的行政服务大厅（公共服务中心）、社区公共服务站。行政服务大厅（公共服务中心）、社区公共服务站收到审批结果，经核对无误后进行登记造册。</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r>
      <w:tr w:rsidR="008713F4" w:rsidRPr="00244F98" w:rsidTr="00D5146A">
        <w:trPr>
          <w:jc w:val="center"/>
        </w:trPr>
        <w:tc>
          <w:tcPr>
            <w:tcW w:w="817" w:type="dxa"/>
            <w:vMerge/>
            <w:vAlign w:val="center"/>
          </w:tcPr>
          <w:p w:rsidR="008713F4" w:rsidRPr="00244F98" w:rsidRDefault="008713F4" w:rsidP="00D5146A">
            <w:pPr>
              <w:spacing w:line="240" w:lineRule="exact"/>
              <w:jc w:val="center"/>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结果送达</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23</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审批结果由行政服务大厅（公共服务中心）、社区公共服务站送达至申请人。</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ind w:firstLineChars="200" w:firstLine="360"/>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tc>
      </w:tr>
      <w:tr w:rsidR="008713F4" w:rsidRPr="00244F98" w:rsidTr="00D5146A">
        <w:trPr>
          <w:trHeight w:val="1632"/>
          <w:jc w:val="center"/>
        </w:trPr>
        <w:tc>
          <w:tcPr>
            <w:tcW w:w="817" w:type="dxa"/>
            <w:vMerge w:val="restart"/>
            <w:vAlign w:val="center"/>
          </w:tcPr>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四、运行管理</w:t>
            </w: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四、运行管理</w:t>
            </w: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四、运行管理</w:t>
            </w:r>
          </w:p>
          <w:p w:rsidR="008713F4" w:rsidRPr="00244F98" w:rsidRDefault="008713F4" w:rsidP="00D5146A">
            <w:pPr>
              <w:spacing w:line="240" w:lineRule="exact"/>
              <w:jc w:val="center"/>
              <w:rPr>
                <w:rFonts w:ascii="仿宋_GB2312" w:eastAsia="仿宋_GB2312" w:hAnsi="宋体"/>
                <w:sz w:val="18"/>
                <w:szCs w:val="18"/>
              </w:rPr>
            </w:pPr>
          </w:p>
        </w:tc>
        <w:tc>
          <w:tcPr>
            <w:tcW w:w="539" w:type="dxa"/>
            <w:vMerge w:val="restart"/>
            <w:vAlign w:val="center"/>
          </w:tcPr>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进驻事项</w:t>
            </w: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进驻事项</w:t>
            </w:r>
          </w:p>
        </w:tc>
        <w:tc>
          <w:tcPr>
            <w:tcW w:w="329" w:type="dxa"/>
            <w:vMerge w:val="restart"/>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lastRenderedPageBreak/>
              <w:t>24</w:t>
            </w:r>
          </w:p>
        </w:tc>
        <w:tc>
          <w:tcPr>
            <w:tcW w:w="6096" w:type="dxa"/>
            <w:vMerge w:val="restart"/>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各有关部门应严格“应进必进”的要求，按照《深圳市各区、街道行政审批服务事项通用目录》，组织公共服务事项在各级行政服务大厅（公共服务中心）的分级分类进驻。未列入该目录的行政许可和公共服务事项，按照“一门式受理”工作要求进驻行政服务大厅（公共服务中心）。</w:t>
            </w:r>
          </w:p>
        </w:tc>
        <w:tc>
          <w:tcPr>
            <w:tcW w:w="2699" w:type="dxa"/>
            <w:tcBorders>
              <w:bottom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tcBorders>
              <w:bottom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 xml:space="preserve">       </w:t>
            </w: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tc>
        <w:tc>
          <w:tcPr>
            <w:tcW w:w="2846" w:type="dxa"/>
            <w:tcBorders>
              <w:bottom w:val="single" w:sz="4" w:space="0" w:color="auto"/>
            </w:tcBorders>
          </w:tcPr>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区委组织部</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市市场和质量监管罗湖局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区卫计局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区人力资源局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罗湖社保分局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区文体局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区房屋租赁管理局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罗湖地税分局</w:t>
            </w:r>
          </w:p>
        </w:tc>
      </w:tr>
      <w:tr w:rsidR="008713F4" w:rsidRPr="00244F98" w:rsidTr="00D5146A">
        <w:trPr>
          <w:trHeight w:val="462"/>
          <w:jc w:val="center"/>
        </w:trPr>
        <w:tc>
          <w:tcPr>
            <w:tcW w:w="817" w:type="dxa"/>
            <w:vMerge/>
            <w:vAlign w:val="center"/>
          </w:tcPr>
          <w:p w:rsidR="008713F4" w:rsidRPr="00244F98" w:rsidRDefault="008713F4" w:rsidP="00D5146A">
            <w:pPr>
              <w:spacing w:line="240" w:lineRule="exact"/>
              <w:jc w:val="center"/>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Merge/>
            <w:vAlign w:val="center"/>
          </w:tcPr>
          <w:p w:rsidR="008713F4" w:rsidRPr="00244F98" w:rsidRDefault="008713F4" w:rsidP="00D5146A">
            <w:pPr>
              <w:spacing w:line="240" w:lineRule="exact"/>
              <w:jc w:val="center"/>
              <w:rPr>
                <w:rFonts w:ascii="仿宋_GB2312" w:eastAsia="仿宋_GB2312" w:hAnsi="宋体"/>
                <w:sz w:val="18"/>
                <w:szCs w:val="18"/>
              </w:rPr>
            </w:pPr>
          </w:p>
        </w:tc>
        <w:tc>
          <w:tcPr>
            <w:tcW w:w="6096"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2699" w:type="dxa"/>
            <w:tcBorders>
              <w:top w:val="single" w:sz="4" w:space="0" w:color="auto"/>
            </w:tcBorders>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2017年10月底前完成</w:t>
            </w:r>
          </w:p>
        </w:tc>
        <w:tc>
          <w:tcPr>
            <w:tcW w:w="2120" w:type="dxa"/>
            <w:tcBorders>
              <w:top w:val="single" w:sz="4" w:space="0" w:color="auto"/>
            </w:tcBorders>
            <w:vAlign w:val="center"/>
          </w:tcPr>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tc>
        <w:tc>
          <w:tcPr>
            <w:tcW w:w="2846" w:type="dxa"/>
            <w:tcBorders>
              <w:top w:val="single" w:sz="4" w:space="0" w:color="auto"/>
            </w:tcBorders>
          </w:tcPr>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市规划国土委罗湖局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区教育局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罗湖公安分局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区住建局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罗湖地税分局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区城管局</w:t>
            </w:r>
          </w:p>
          <w:p w:rsidR="008713F4" w:rsidRPr="00244F98" w:rsidRDefault="008713F4" w:rsidP="00D5146A">
            <w:pPr>
              <w:spacing w:line="22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trHeight w:val="702"/>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25</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社区公共服务站进驻事项目录由区编办会同区民政局制定，各街道办事处负责组织公共服务事项进驻社区公共服务站。</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tc>
      </w:tr>
      <w:tr w:rsidR="008713F4" w:rsidRPr="00244F98" w:rsidTr="00D5146A">
        <w:trPr>
          <w:trHeight w:val="1711"/>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26</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实施部门会同区编办、公共服务管理部门，全面梳理进驻行政服务大厅（公共服务中心）的公共服务事项，原则上应将公共服务权责清单所列事项分级全部纳入行政服务大厅（公共服务中心）、社区服务站办理。</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区法制办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27</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依托权责清单管理系统进行公共服务事项的新增、变更、取消、审查以及目录管理和办事指南、业务手册编制等管理活动。</w:t>
            </w:r>
          </w:p>
        </w:tc>
        <w:tc>
          <w:tcPr>
            <w:tcW w:w="269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区法制办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r>
      <w:tr w:rsidR="008713F4" w:rsidRPr="00244F98" w:rsidTr="00D5146A">
        <w:trPr>
          <w:trHeight w:val="2823"/>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28</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党建、市场和质量监管、卫生计生、民政、人力资源和社会保障、文化体育、流动人口和出租屋（含私人房屋租赁税）等事项纳入行政服务大厅（公共服务中心）综合窗口统一受理。</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 xml:space="preserve">    </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 xml:space="preserve">       各街道办事处</w:t>
            </w:r>
          </w:p>
          <w:p w:rsidR="008713F4" w:rsidRPr="00244F98" w:rsidRDefault="008713F4" w:rsidP="00D5146A">
            <w:pPr>
              <w:spacing w:line="240" w:lineRule="exact"/>
              <w:jc w:val="center"/>
              <w:rPr>
                <w:rFonts w:ascii="仿宋_GB2312" w:eastAsia="仿宋_GB2312" w:hAnsi="宋体"/>
                <w:sz w:val="18"/>
                <w:szCs w:val="18"/>
              </w:rPr>
            </w:pP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区委组织部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市市场和质量监管罗湖局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区卫计局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区人力资源局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罗湖社保分局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区文体局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区房屋租赁管理局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罗湖地税分局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29</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规划国土、教育、公安、住建、地税、城市管理等事项纳入行政服务大厅（公共服务中心）综合窗口统一受理。</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2017年10月底前完成</w:t>
            </w:r>
          </w:p>
        </w:tc>
        <w:tc>
          <w:tcPr>
            <w:tcW w:w="2120"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 xml:space="preserve">      </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市规划国土委罗湖局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区教育局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罗湖公安分局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区住建局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罗湖地税分局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区城管局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30</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街道职责范围内面向基层群众的公共服务事项纳入街道公共服务中心综合窗口统一受理，其中，区驻街道和街道直属单位的各项业务整合进入街道公共服务中心，实行综合窗口统一受理。</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 年9 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31</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公安等相关单位在街道的派出机构，原则上将其服务事项纳入公共服务中心综合窗口统一受理，并做好相关人员的培训和业务系统的对接工作。</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2017年 12 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公安等相关单位</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公安等相关单位</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32</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社区公共服务站设立综合窗口，集中办理社区自身承担的公共服务事项，受理或代办区、街道职责范围内公共服务事项。</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 年9 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trHeight w:val="1548"/>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33</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面向基层、量大面广的公共服务事项，最大限度下放至街道、社区办理，逐步实现所有涉及自然人的公共服务事项在街道、社区平台办理。区编办梳理出未罗列在《深圳市各区、街道行政审批服务事项）通用目录》，而我区已实际下放街道、社区受理的事项，并提供办事指南、业务流程及业务手册。</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2016年10月15日前完成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各街道办事处（各社区工作站）</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tc>
      </w:tr>
      <w:tr w:rsidR="008713F4" w:rsidRPr="00244F98" w:rsidTr="00D5146A">
        <w:trPr>
          <w:trHeight w:val="1285"/>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34</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事项因涉密、场地限制等原因，不能在行政服务大厅（公共服务中心）办理的，由公共服务实施部门提出实施意见，经政务服务管理机构审核后报区政府决定，未进驻各行政服务大厅（公共服务中心）事项，原则上采用全市统一公共服务综合平台信息系统完成业务受理。</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trHeight w:val="1280"/>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标准化外部办事流程</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35</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事项由区编办牵头要求区级公共服务实施部门统一编制标准化的办事流程图、办事指南和业务手册。区编办、区公共服务管理部门指导行政服务大厅(公共服务中心）、社区公共服务站开展办理事项各要素的统一标准化、规范化工作。</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2016年10月15日前完成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标准化办事内控规程</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36</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明确区、街道、社区办理公共服务业务的内控规程,将办事规程逐一标准化。对于逾期没有办结的业务,引入电子监察机制、服务评价机制,有关部门可按规定及时追责,业务申请人可对服务人员、办事效率进行评分,评分结果纳入绩效考核内容。</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 年 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区监察局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区编办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区民政局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区监察局</w:t>
            </w:r>
          </w:p>
        </w:tc>
      </w:tr>
      <w:tr w:rsidR="008713F4" w:rsidRPr="00244F98" w:rsidTr="00D5146A">
        <w:trPr>
          <w:trHeight w:val="419"/>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restart"/>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进驻部门管理</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37</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公共服务实施部门视业务类型、业务量等情况，派驻与工作要求相符合的工作人员进驻行政服务大厅（公共服务中心），开展审批服务所必需的相关工作。</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 年 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tc>
      </w:tr>
      <w:tr w:rsidR="008713F4" w:rsidRPr="00244F98" w:rsidTr="00D5146A">
        <w:trPr>
          <w:trHeight w:val="710"/>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38</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各街道办事处整合内部工作人员，为街道行政服务大厅(公共服务中心）开展受理、审批工作，提供必要保障。</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 年 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区人力资源局</w:t>
            </w:r>
          </w:p>
        </w:tc>
      </w:tr>
      <w:tr w:rsidR="008713F4" w:rsidRPr="00244F98" w:rsidTr="00D5146A">
        <w:trPr>
          <w:trHeight w:val="779"/>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39</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公共服务管理部门根据业务情况合理设置办公区，对后台人员进行优化整合，为各公共服务实施部门的现场审批提供必要保障。</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tc>
      </w:tr>
      <w:tr w:rsidR="008713F4" w:rsidRPr="00244F98" w:rsidTr="00D5146A">
        <w:trPr>
          <w:trHeight w:val="650"/>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40</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公共服务管理部门建立健全对进驻部门和工作人员考评激励机制，通过制定科学合理的考评工作体系，促使基层公共服务各项工作更加高效、有序运行。</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trHeight w:val="842"/>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restart"/>
            <w:vAlign w:val="center"/>
          </w:tcPr>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窗口人员管理</w:t>
            </w: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41</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公共服务管理部门根据公共服务的需要，科学测算综合窗口前台受理人员、引导员、出证窗口人员所需数量。</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trHeight w:val="981"/>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42</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公共服务管理部门合理搭配窗口工作人员的学历结构、年龄结构和职务结构,新招聘的窗口工作人员年龄须在 45 岁以下、学历须在本科（含在职、自考等）或本科以上，或具有相当于本科学历或本科以上的职称。</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2016年9月底前完成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trHeight w:val="1043"/>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43</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公共服务管理部门会同公共服务实施部门定期对窗口工作人员进行行政审批、公共服务理论和业务技能培训。</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r>
      <w:tr w:rsidR="008713F4" w:rsidRPr="00244F98" w:rsidTr="00D5146A">
        <w:trPr>
          <w:trHeight w:val="926"/>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44</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区公共服务管理部门统一制定综合窗口人员规范着装、工作流程、服务礼仪和行为，严格遵守相关纪律要求，并统一安排服务时间和服务标准。</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tc>
      </w:tr>
      <w:tr w:rsidR="008713F4" w:rsidRPr="00244F98" w:rsidTr="00D5146A">
        <w:trPr>
          <w:trHeight w:val="825"/>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45</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在现有窗口工作人员完成“应进必进”事项进驻及业务培训后，公共服务管理部门可视具体情况统筹窗口的撤销、合并或保留。</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r>
      <w:tr w:rsidR="008713F4" w:rsidRPr="00244F98" w:rsidTr="00D5146A">
        <w:trPr>
          <w:trHeight w:val="538"/>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46</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公共服务管理部门建立健全综合窗口工作考评考核制度。</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trHeight w:val="721"/>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47</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做好行政服务大厅（公共服务中心）、社区公共服务站综合窗口工作人员的经费保障工作。</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tc>
      </w:tr>
      <w:tr w:rsidR="008713F4" w:rsidRPr="00244F98" w:rsidTr="00D5146A">
        <w:trPr>
          <w:trHeight w:val="1354"/>
          <w:jc w:val="center"/>
        </w:trPr>
        <w:tc>
          <w:tcPr>
            <w:tcW w:w="817" w:type="dxa"/>
            <w:vMerge w:val="restart"/>
            <w:vAlign w:val="center"/>
          </w:tcPr>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五、信息化</w:t>
            </w: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五、信</w:t>
            </w:r>
            <w:r w:rsidRPr="00244F98">
              <w:rPr>
                <w:rFonts w:ascii="仿宋_GB2312" w:eastAsia="仿宋_GB2312" w:hAnsi="宋体" w:hint="eastAsia"/>
                <w:sz w:val="18"/>
                <w:szCs w:val="18"/>
              </w:rPr>
              <w:lastRenderedPageBreak/>
              <w:t>息化</w:t>
            </w:r>
          </w:p>
          <w:p w:rsidR="008713F4" w:rsidRPr="00244F98" w:rsidRDefault="008713F4" w:rsidP="00D5146A">
            <w:pPr>
              <w:spacing w:line="240" w:lineRule="exact"/>
              <w:jc w:val="center"/>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lastRenderedPageBreak/>
              <w:t>公共服务综合平台信息系统应用</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48</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公共服务综合平台信息系统上线后，逐步替换或对接原有公共服务综合平台信息系统，不再单独建设公共服务综合平台信息系统。</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tc>
        <w:tc>
          <w:tcPr>
            <w:tcW w:w="2846"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trHeight w:val="1330"/>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网上办事</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49</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统筹推进网上办事大厅建设和公共服务综合平台信息系统应用，公共服务综合平台信息系统办理事项的外网申报应统一纳入网上办事大厅，公共服务实施部门原则上不再单独设置外网申报平台和入口。</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tc>
      </w:tr>
      <w:tr w:rsidR="008713F4" w:rsidRPr="00244F98" w:rsidTr="00D5146A">
        <w:trPr>
          <w:trHeight w:val="1121"/>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手机APP应用</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50</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积极推进公共服务综合平台信息系统手机版应用，不断优化审批材料和流程，实现手机预审、申报和审批，配合市做好机关手机APP集成、单点登录、微信工作平台和智能服务等工作，不再单独建设公共服务综合平台信息系统手机版。</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p>
        </w:tc>
      </w:tr>
      <w:tr w:rsidR="008713F4" w:rsidRPr="00244F98" w:rsidTr="00D5146A">
        <w:trPr>
          <w:trHeight w:val="1704"/>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系统对接</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51</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鼓励公共服务实施部门使用公共服务综合平台信息系统进行审批办理，未使用该系统的，要做好与审批业务系统的对接。区信息中心负责公共服务综合平台信息系统与区审批业务系统对接，系统对接要及时、可靠、有效，保证公共服务业务的实时顺畅。区财政局应做好经费保障。</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区财政局</w:t>
            </w:r>
          </w:p>
        </w:tc>
      </w:tr>
      <w:tr w:rsidR="008713F4" w:rsidRPr="00244F98" w:rsidTr="00D5146A">
        <w:trPr>
          <w:trHeight w:val="977"/>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数字大厅</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52</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行政服务大厅加强数字化、智能化建设实现内部事项智能管理、公共服务信息智能推送和智能查询、服务满意度智能评价。</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trHeight w:val="1458"/>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应用推广</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53</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区公共服务管理部门和公共服务实施部门加强引导申请人应用网上办事，推进网上办事大厅和跨部门协同办理平台开发建设和功能完善，改造升级公共服务实施部门业务系统，不断提升公共服务数据挖掘应用。</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区信息中心</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tc>
      </w:tr>
      <w:tr w:rsidR="008713F4" w:rsidRPr="00244F98" w:rsidTr="00D5146A">
        <w:trPr>
          <w:jc w:val="center"/>
        </w:trPr>
        <w:tc>
          <w:tcPr>
            <w:tcW w:w="817" w:type="dxa"/>
            <w:vMerge w:val="restart"/>
            <w:vAlign w:val="center"/>
          </w:tcPr>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六、公共服务监督</w:t>
            </w:r>
          </w:p>
        </w:tc>
        <w:tc>
          <w:tcPr>
            <w:tcW w:w="539" w:type="dxa"/>
            <w:vMerge w:val="restart"/>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投诉处理</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54</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公共服务管理部门和公共服务实施部门应当结合自身工作实际分别建立公共服务投诉处理制度。</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各公共服务实施部门</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区法制办</w:t>
            </w: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55</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公共服务管理部门应设置投诉窗口及投诉电话，受理处置针对本级行政服务大厅（公共服务中心）的投诉信息，对下级行政服务大厅（公共服务中心）、社区公共服务站的投诉信息进行受理、转办和督查督办。</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区督查室</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各街道办事处</w:t>
            </w:r>
          </w:p>
          <w:p w:rsidR="008713F4" w:rsidRPr="00244F98" w:rsidRDefault="008713F4" w:rsidP="00D5146A">
            <w:pPr>
              <w:spacing w:line="240" w:lineRule="exact"/>
              <w:jc w:val="center"/>
              <w:rPr>
                <w:rFonts w:ascii="仿宋_GB2312" w:eastAsia="仿宋_GB2312" w:hAnsi="宋体"/>
                <w:sz w:val="18"/>
                <w:szCs w:val="18"/>
              </w:rPr>
            </w:pP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56</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公共服务管理部门的投诉受理和处置情况应纳入考核管理，不定期进行通报。</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区监察局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区监察局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绩效考核</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57</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公共服务综合平台建设及运行工作应纳入本级政府绩效考核。考核指标设置、考核数据收集工作根据实际情况由区公共服务管理部门和政府绩效管理机构按照有关规定研究确定。</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区监察局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p>
        </w:tc>
        <w:tc>
          <w:tcPr>
            <w:tcW w:w="2846" w:type="dxa"/>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区监察局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区督查室</w:t>
            </w:r>
          </w:p>
        </w:tc>
      </w:tr>
      <w:tr w:rsidR="008713F4" w:rsidRPr="00244F98" w:rsidTr="00D5146A">
        <w:trPr>
          <w:jc w:val="center"/>
        </w:trPr>
        <w:tc>
          <w:tcPr>
            <w:tcW w:w="817" w:type="dxa"/>
            <w:vMerge/>
            <w:vAlign w:val="center"/>
          </w:tcPr>
          <w:p w:rsidR="008713F4" w:rsidRPr="00244F98" w:rsidRDefault="008713F4" w:rsidP="00D5146A">
            <w:pPr>
              <w:spacing w:line="240" w:lineRule="exact"/>
              <w:rPr>
                <w:rFonts w:ascii="仿宋_GB2312" w:eastAsia="仿宋_GB2312" w:hAnsi="宋体"/>
                <w:sz w:val="18"/>
                <w:szCs w:val="18"/>
              </w:rPr>
            </w:pPr>
          </w:p>
        </w:tc>
        <w:tc>
          <w:tcPr>
            <w:tcW w:w="53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督查通报</w:t>
            </w:r>
          </w:p>
        </w:tc>
        <w:tc>
          <w:tcPr>
            <w:tcW w:w="329"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58</w:t>
            </w:r>
          </w:p>
        </w:tc>
        <w:tc>
          <w:tcPr>
            <w:tcW w:w="6096"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公共服务综合平台建设工作列入督查范围，由区督查室负责对各公共服务管理部门、社区公共服务站、公共服务实施部门的具体工作进行督查。加强对公共服务实施情况的检查指导，建立情况通报制度，对公共服务实施部门和下级公共服务管理部门、社区公共服务站工作情况进行定期检查，对发现的问题进行通报并督促整改。</w:t>
            </w:r>
          </w:p>
        </w:tc>
        <w:tc>
          <w:tcPr>
            <w:tcW w:w="2699" w:type="dxa"/>
            <w:vAlign w:val="center"/>
          </w:tcPr>
          <w:p w:rsidR="008713F4" w:rsidRPr="00244F98" w:rsidRDefault="008713F4" w:rsidP="00D5146A">
            <w:pPr>
              <w:spacing w:line="240" w:lineRule="exact"/>
              <w:rPr>
                <w:rFonts w:ascii="仿宋_GB2312" w:eastAsia="仿宋_GB2312" w:hAnsi="宋体"/>
                <w:sz w:val="18"/>
                <w:szCs w:val="18"/>
              </w:rPr>
            </w:pPr>
            <w:r w:rsidRPr="00244F98">
              <w:rPr>
                <w:rFonts w:ascii="仿宋_GB2312" w:eastAsia="仿宋_GB2312" w:hAnsi="宋体" w:hint="eastAsia"/>
                <w:sz w:val="18"/>
                <w:szCs w:val="18"/>
              </w:rPr>
              <w:t>2016年10月底前完成，长期推进</w:t>
            </w:r>
          </w:p>
        </w:tc>
        <w:tc>
          <w:tcPr>
            <w:tcW w:w="2120" w:type="dxa"/>
            <w:vAlign w:val="center"/>
          </w:tcPr>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区督查室</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区监察局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tc>
        <w:tc>
          <w:tcPr>
            <w:tcW w:w="2846" w:type="dxa"/>
          </w:tcPr>
          <w:p w:rsidR="008713F4" w:rsidRPr="00244F98" w:rsidRDefault="008713F4" w:rsidP="00D5146A">
            <w:pPr>
              <w:spacing w:line="240" w:lineRule="exact"/>
              <w:jc w:val="center"/>
              <w:rPr>
                <w:rFonts w:ascii="仿宋_GB2312" w:eastAsia="仿宋_GB2312" w:hAnsi="宋体"/>
                <w:sz w:val="18"/>
                <w:szCs w:val="18"/>
              </w:rPr>
            </w:pP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区督查室</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区监察局</w:t>
            </w:r>
          </w:p>
          <w:p w:rsidR="008713F4" w:rsidRPr="00244F98" w:rsidRDefault="008713F4" w:rsidP="00D5146A">
            <w:pPr>
              <w:spacing w:line="240" w:lineRule="exact"/>
              <w:jc w:val="center"/>
              <w:rPr>
                <w:rFonts w:ascii="仿宋_GB2312" w:eastAsia="仿宋_GB2312" w:hAnsi="宋体"/>
                <w:sz w:val="18"/>
                <w:szCs w:val="18"/>
              </w:rPr>
            </w:pPr>
            <w:r w:rsidRPr="00244F98">
              <w:rPr>
                <w:rFonts w:ascii="仿宋_GB2312" w:eastAsia="仿宋_GB2312" w:hAnsi="宋体" w:hint="eastAsia"/>
                <w:sz w:val="18"/>
                <w:szCs w:val="18"/>
              </w:rPr>
              <w:t>区委（政府）办</w:t>
            </w:r>
          </w:p>
        </w:tc>
      </w:tr>
    </w:tbl>
    <w:p w:rsidR="008713F4" w:rsidRDefault="008713F4" w:rsidP="008713F4">
      <w:pPr>
        <w:spacing w:line="600" w:lineRule="exact"/>
        <w:rPr>
          <w:rFonts w:ascii="仿宋_GB2312" w:eastAsia="仿宋_GB2312" w:hint="eastAsia"/>
          <w:sz w:val="28"/>
          <w:szCs w:val="28"/>
          <w:u w:val="single"/>
        </w:rPr>
        <w:sectPr w:rsidR="008713F4" w:rsidSect="009E74B7">
          <w:pgSz w:w="16838" w:h="11906" w:orient="landscape"/>
          <w:pgMar w:top="1588" w:right="1814" w:bottom="1474" w:left="1814" w:header="851" w:footer="992" w:gutter="0"/>
          <w:cols w:space="425"/>
          <w:docGrid w:type="linesAndChars" w:linePitch="312"/>
        </w:sectPr>
      </w:pPr>
      <w:bookmarkStart w:id="0" w:name="_GoBack"/>
      <w:bookmarkEnd w:id="0"/>
    </w:p>
    <w:p w:rsidR="005C0A31" w:rsidRPr="008713F4" w:rsidRDefault="005C0A31"/>
    <w:sectPr w:rsidR="005C0A31" w:rsidRPr="008713F4" w:rsidSect="00ED7D1F">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1AB" w:rsidRDefault="001951AB" w:rsidP="008713F4">
      <w:r>
        <w:separator/>
      </w:r>
    </w:p>
  </w:endnote>
  <w:endnote w:type="continuationSeparator" w:id="0">
    <w:p w:rsidR="001951AB" w:rsidRDefault="001951AB" w:rsidP="0087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1AB" w:rsidRDefault="001951AB" w:rsidP="008713F4">
      <w:r>
        <w:separator/>
      </w:r>
    </w:p>
  </w:footnote>
  <w:footnote w:type="continuationSeparator" w:id="0">
    <w:p w:rsidR="001951AB" w:rsidRDefault="001951AB" w:rsidP="00871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EB"/>
    <w:rsid w:val="001951AB"/>
    <w:rsid w:val="005C0A31"/>
    <w:rsid w:val="00604EEB"/>
    <w:rsid w:val="008713F4"/>
    <w:rsid w:val="00ED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8C8C64-1F3D-4167-9461-AB30766B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3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13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13F4"/>
    <w:rPr>
      <w:sz w:val="18"/>
      <w:szCs w:val="18"/>
    </w:rPr>
  </w:style>
  <w:style w:type="paragraph" w:styleId="a4">
    <w:name w:val="footer"/>
    <w:basedOn w:val="a"/>
    <w:link w:val="Char0"/>
    <w:uiPriority w:val="99"/>
    <w:unhideWhenUsed/>
    <w:rsid w:val="008713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13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刘禛</dc:creator>
  <cp:keywords/>
  <dc:description/>
  <cp:lastModifiedBy>刘禛</cp:lastModifiedBy>
  <cp:revision>2</cp:revision>
  <dcterms:created xsi:type="dcterms:W3CDTF">2017-01-13T07:11:00Z</dcterms:created>
  <dcterms:modified xsi:type="dcterms:W3CDTF">2017-01-13T07:12:00Z</dcterms:modified>
</cp:coreProperties>
</file>