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附件：</w:t>
      </w:r>
    </w:p>
    <w:p>
      <w:pPr>
        <w:spacing w:line="580" w:lineRule="exact"/>
        <w:jc w:val="center"/>
        <w:rPr>
          <w:rFonts w:hint="eastAsia" w:ascii="宋体" w:hAnsi="宋体" w:cs="宋体"/>
          <w:color w:val="000000"/>
          <w:kern w:val="0"/>
          <w:sz w:val="44"/>
          <w:szCs w:val="44"/>
        </w:rPr>
      </w:pPr>
    </w:p>
    <w:p>
      <w:pPr>
        <w:spacing w:line="580" w:lineRule="exact"/>
        <w:jc w:val="center"/>
        <w:rPr>
          <w:rFonts w:hint="eastAsia" w:ascii="宋体" w:hAnsi="宋体" w:cs="宋体"/>
          <w:color w:val="000000"/>
          <w:kern w:val="0"/>
          <w:sz w:val="44"/>
          <w:szCs w:val="44"/>
        </w:rPr>
      </w:pPr>
      <w:bookmarkStart w:id="0" w:name="_GoBack"/>
      <w:r>
        <w:rPr>
          <w:rFonts w:hint="eastAsia" w:ascii="宋体" w:hAnsi="宋体" w:cs="宋体"/>
          <w:color w:val="000000"/>
          <w:kern w:val="0"/>
          <w:sz w:val="44"/>
          <w:szCs w:val="44"/>
        </w:rPr>
        <w:t>《罗湖区人才住房和保障性住房配建管理办法（征求意见稿）》公开征求意见的采纳情况及理由回复</w:t>
      </w:r>
    </w:p>
    <w:bookmarkEnd w:id="0"/>
    <w:tbl>
      <w:tblPr>
        <w:tblStyle w:val="3"/>
        <w:tblW w:w="19600" w:type="dxa"/>
        <w:jc w:val="center"/>
        <w:tblInd w:w="694" w:type="dxa"/>
        <w:tblLayout w:type="fixed"/>
        <w:tblCellMar>
          <w:top w:w="15" w:type="dxa"/>
          <w:left w:w="15" w:type="dxa"/>
          <w:bottom w:w="15" w:type="dxa"/>
          <w:right w:w="15" w:type="dxa"/>
        </w:tblCellMar>
      </w:tblPr>
      <w:tblGrid>
        <w:gridCol w:w="830"/>
        <w:gridCol w:w="8705"/>
        <w:gridCol w:w="1210"/>
        <w:gridCol w:w="8841"/>
        <w:gridCol w:w="14"/>
      </w:tblGrid>
      <w:tr>
        <w:tblPrEx>
          <w:tblLayout w:type="fixed"/>
          <w:tblCellMar>
            <w:top w:w="15" w:type="dxa"/>
            <w:left w:w="15" w:type="dxa"/>
            <w:bottom w:w="15" w:type="dxa"/>
            <w:right w:w="15" w:type="dxa"/>
          </w:tblCellMar>
        </w:tblPrEx>
        <w:trPr>
          <w:trHeight w:val="617"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序号</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意见与建议</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采纳情况</w:t>
            </w:r>
          </w:p>
        </w:tc>
        <w:tc>
          <w:tcPr>
            <w:tcW w:w="88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kern w:val="0"/>
                <w:sz w:val="28"/>
                <w:szCs w:val="28"/>
              </w:rPr>
              <w:t>意见回复</w:t>
            </w:r>
          </w:p>
        </w:tc>
      </w:tr>
      <w:tr>
        <w:tblPrEx>
          <w:tblLayout w:type="fixed"/>
          <w:tblCellMar>
            <w:top w:w="15" w:type="dxa"/>
            <w:left w:w="15" w:type="dxa"/>
            <w:bottom w:w="15" w:type="dxa"/>
            <w:right w:w="15" w:type="dxa"/>
          </w:tblCellMar>
        </w:tblPrEx>
        <w:trPr>
          <w:trHeight w:val="335"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1</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auto"/>
              <w:outlineLvl w:val="9"/>
              <w:rPr>
                <w:rFonts w:hint="default" w:ascii="仿宋_GB2312" w:hAnsi="宋体" w:eastAsia="仿宋_GB2312" w:cs="仿宋_GB2312"/>
                <w:color w:val="000000"/>
                <w:kern w:val="2"/>
                <w:sz w:val="28"/>
                <w:szCs w:val="28"/>
                <w:lang w:val="en-US" w:eastAsia="zh-CN" w:bidi="ar-SA"/>
              </w:rPr>
            </w:pPr>
            <w:r>
              <w:rPr>
                <w:rFonts w:hint="eastAsia" w:ascii="仿宋_GB2312" w:hAnsi="宋体" w:eastAsia="仿宋_GB2312" w:cs="仿宋_GB2312"/>
                <w:color w:val="000000"/>
                <w:kern w:val="2"/>
                <w:sz w:val="28"/>
                <w:szCs w:val="28"/>
                <w:lang w:val="en-US" w:eastAsia="zh-CN" w:bidi="ar-SA"/>
              </w:rPr>
              <w:t>希望建设局能多考虑一般企业中的重点人才保障性住房，降低企业入门标准。（我司为上市公司，但不在辖区重点企业，包括辖区龙头企业和行业推荐企业以内）</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宋体" w:eastAsia="仿宋_GB2312" w:cs="仿宋_GB2312"/>
                <w:color w:val="000000"/>
                <w:sz w:val="24"/>
                <w:szCs w:val="24"/>
                <w:lang w:eastAsia="zh-CN"/>
              </w:rPr>
            </w:pPr>
            <w:r>
              <w:rPr>
                <w:rFonts w:hint="eastAsia" w:ascii="仿宋_GB2312" w:hAnsi="宋体" w:eastAsia="仿宋_GB2312" w:cs="仿宋_GB2312"/>
                <w:color w:val="000000"/>
                <w:sz w:val="28"/>
                <w:szCs w:val="28"/>
                <w:lang w:eastAsia="zh-CN"/>
              </w:rPr>
              <w:t>不采纳</w:t>
            </w:r>
          </w:p>
        </w:tc>
        <w:tc>
          <w:tcPr>
            <w:tcW w:w="88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 xml:space="preserve">本办法仅用于规范人才住房和保障性住房具体项目在建设过程中尚未明确的问题，您提出的内容不在本次征求意见范围之内。 </w:t>
            </w:r>
          </w:p>
        </w:tc>
      </w:tr>
      <w:tr>
        <w:tblPrEx>
          <w:tblLayout w:type="fixed"/>
          <w:tblCellMar>
            <w:top w:w="15" w:type="dxa"/>
            <w:left w:w="15" w:type="dxa"/>
            <w:bottom w:w="15" w:type="dxa"/>
            <w:right w:w="15" w:type="dxa"/>
          </w:tblCellMar>
        </w:tblPrEx>
        <w:trPr>
          <w:trHeight w:val="1050"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2</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left"/>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可提高申请人和申请单位的劳动关系条件，以便稳定罗湖区人才，减少人才流动率以及引进人才。例如：</w:t>
            </w:r>
          </w:p>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left"/>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（1）申请人已与企业签订全职的劳动合同且合法有效，全职劳动合同5年时间以上。可保证该人才确实长时间为企业提供了服务。</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不采纳</w:t>
            </w:r>
          </w:p>
        </w:tc>
        <w:tc>
          <w:tcPr>
            <w:tcW w:w="88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 xml:space="preserve">同上。 </w:t>
            </w:r>
          </w:p>
        </w:tc>
      </w:tr>
      <w:tr>
        <w:tblPrEx>
          <w:tblLayout w:type="fixed"/>
          <w:tblCellMar>
            <w:top w:w="15" w:type="dxa"/>
            <w:left w:w="15" w:type="dxa"/>
            <w:bottom w:w="15" w:type="dxa"/>
            <w:right w:w="15" w:type="dxa"/>
          </w:tblCellMar>
        </w:tblPrEx>
        <w:trPr>
          <w:trHeight w:val="500"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3</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left"/>
              <w:textAlignment w:val="center"/>
              <w:outlineLvl w:val="9"/>
              <w:rPr>
                <w:rFonts w:hint="eastAsia" w:ascii="仿宋_GB2312" w:hAnsi="宋体" w:eastAsia="仿宋_GB2312" w:cs="仿宋_GB2312"/>
                <w:color w:val="000000"/>
                <w:sz w:val="28"/>
                <w:szCs w:val="28"/>
                <w:lang w:val="en-US" w:eastAsia="zh-CN"/>
              </w:rPr>
            </w:pPr>
            <w:r>
              <w:rPr>
                <w:rFonts w:hint="eastAsia" w:ascii="仿宋_GB2312" w:hAnsi="宋体" w:eastAsia="仿宋_GB2312" w:cs="仿宋_GB2312"/>
                <w:color w:val="000000"/>
                <w:sz w:val="28"/>
                <w:szCs w:val="28"/>
                <w:lang w:val="en-US" w:eastAsia="zh-CN"/>
              </w:rPr>
              <w:t>（2）申请人与企业解除劳动合同之日起，取消保障性住房。可保证人才流失，如果解除劳动合同则取消保障住房。</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不采纳</w:t>
            </w:r>
          </w:p>
        </w:tc>
        <w:tc>
          <w:tcPr>
            <w:tcW w:w="88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同上。</w:t>
            </w:r>
          </w:p>
        </w:tc>
      </w:tr>
      <w:tr>
        <w:tblPrEx>
          <w:tblLayout w:type="fixed"/>
          <w:tblCellMar>
            <w:top w:w="15" w:type="dxa"/>
            <w:left w:w="15" w:type="dxa"/>
            <w:bottom w:w="15" w:type="dxa"/>
            <w:right w:w="15" w:type="dxa"/>
          </w:tblCellMar>
        </w:tblPrEx>
        <w:trPr>
          <w:trHeight w:val="845"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4</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如何真正意义的实现租售同权。建议可借签美国等国家做法。</w:t>
            </w:r>
          </w:p>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以下是关于美国在租售同权的相关内容链接：</w:t>
            </w:r>
          </w:p>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http://bbs.0513.org/thread-3782256-1-1.html</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不采纳</w:t>
            </w:r>
          </w:p>
        </w:tc>
        <w:tc>
          <w:tcPr>
            <w:tcW w:w="88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同上。</w:t>
            </w:r>
          </w:p>
        </w:tc>
      </w:tr>
      <w:tr>
        <w:tblPrEx>
          <w:tblLayout w:type="fixed"/>
          <w:tblCellMar>
            <w:top w:w="15" w:type="dxa"/>
            <w:left w:w="15" w:type="dxa"/>
            <w:bottom w:w="15" w:type="dxa"/>
            <w:right w:w="15" w:type="dxa"/>
          </w:tblCellMar>
        </w:tblPrEx>
        <w:trPr>
          <w:trHeight w:val="315"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5</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彻底解决租户与住户关于公共场所与车位共享的问题。</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采纳</w:t>
            </w:r>
          </w:p>
        </w:tc>
        <w:tc>
          <w:tcPr>
            <w:tcW w:w="8855" w:type="dxa"/>
            <w:gridSpan w:val="2"/>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已在本办法第十五条中规定。</w:t>
            </w:r>
          </w:p>
        </w:tc>
      </w:tr>
      <w:tr>
        <w:tblPrEx>
          <w:tblLayout w:type="fixed"/>
          <w:tblCellMar>
            <w:top w:w="15" w:type="dxa"/>
            <w:left w:w="15" w:type="dxa"/>
            <w:bottom w:w="15" w:type="dxa"/>
            <w:right w:w="15" w:type="dxa"/>
          </w:tblCellMar>
        </w:tblPrEx>
        <w:trPr>
          <w:gridAfter w:val="1"/>
          <w:wAfter w:w="14" w:type="dxa"/>
          <w:trHeight w:val="710"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6</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val="en-US" w:eastAsia="zh-CN"/>
              </w:rPr>
            </w:pPr>
            <w:r>
              <w:rPr>
                <w:rFonts w:hint="eastAsia" w:ascii="仿宋_GB2312" w:hAnsi="宋体" w:eastAsia="仿宋_GB2312" w:cs="仿宋_GB2312"/>
                <w:color w:val="000000"/>
                <w:sz w:val="28"/>
                <w:szCs w:val="28"/>
                <w:lang w:val="en-US" w:eastAsia="zh-CN"/>
              </w:rPr>
              <w:t>关于保障性住房被边缘化或被隔离的解决办法。如万科第五园就出现围墙事件与信义荔山御园单独设立出口与小区分隔。希望新建的保障房能杜绝类似被岐视的设计。</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采纳</w:t>
            </w:r>
          </w:p>
        </w:tc>
        <w:tc>
          <w:tcPr>
            <w:tcW w:w="8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同上。</w:t>
            </w:r>
          </w:p>
        </w:tc>
      </w:tr>
      <w:tr>
        <w:tblPrEx>
          <w:tblLayout w:type="fixed"/>
          <w:tblCellMar>
            <w:top w:w="15" w:type="dxa"/>
            <w:left w:w="15" w:type="dxa"/>
            <w:bottom w:w="15" w:type="dxa"/>
            <w:right w:w="15" w:type="dxa"/>
          </w:tblCellMar>
        </w:tblPrEx>
        <w:trPr>
          <w:gridAfter w:val="1"/>
          <w:wAfter w:w="14" w:type="dxa"/>
          <w:trHeight w:val="339"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7</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 xml:space="preserve">第八条“采用分散配建方式的项目……待商品房预售前由监管主体在整个项目中随机抽取选定人才住房和保障性住房房源”中关于“随机抽取”选定的方式宜做进一步细化规定：因房源的价值优劣不一，建议进一步细化并制定具体的“随机抽取”选定房源办法，规避具体实施过程中人为因素造成的相关风险及纠纷等。 </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spacing w:before="0" w:beforeAutospacing="0" w:after="0" w:afterAutospacing="0" w:line="400" w:lineRule="exact"/>
              <w:ind w:left="0" w:right="0"/>
              <w:jc w:val="center"/>
              <w:textAlignment w:val="center"/>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不采纳</w:t>
            </w:r>
          </w:p>
        </w:tc>
        <w:tc>
          <w:tcPr>
            <w:tcW w:w="8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val="en-US" w:eastAsia="zh-CN"/>
              </w:rPr>
            </w:pPr>
            <w:r>
              <w:rPr>
                <w:rFonts w:hint="eastAsia" w:ascii="仿宋_GB2312" w:hAnsi="宋体" w:eastAsia="仿宋_GB2312" w:cs="仿宋_GB2312"/>
                <w:color w:val="000000"/>
                <w:sz w:val="28"/>
                <w:szCs w:val="28"/>
                <w:lang w:val="en-US" w:eastAsia="zh-CN"/>
              </w:rPr>
              <w:t>具体的抽取方法可根据具体项目中由监管主体与实施主体约定，无需在管理办法中明确。</w:t>
            </w:r>
          </w:p>
        </w:tc>
      </w:tr>
      <w:tr>
        <w:tblPrEx>
          <w:tblLayout w:type="fixed"/>
          <w:tblCellMar>
            <w:top w:w="15" w:type="dxa"/>
            <w:left w:w="15" w:type="dxa"/>
            <w:bottom w:w="15" w:type="dxa"/>
            <w:right w:w="15" w:type="dxa"/>
          </w:tblCellMar>
        </w:tblPrEx>
        <w:trPr>
          <w:gridAfter w:val="1"/>
          <w:wAfter w:w="14" w:type="dxa"/>
          <w:trHeight w:val="8555" w:hRule="atLeast"/>
          <w:jc w:val="center"/>
        </w:trPr>
        <w:tc>
          <w:tcPr>
            <w:tcW w:w="83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8</w:t>
            </w:r>
          </w:p>
        </w:tc>
        <w:tc>
          <w:tcPr>
            <w:tcW w:w="8705"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第十一条中关于增设监管主体对设计方案的前置审查程序从简政运行以提高行政审批效率的角度，建议仍归并到原先的一个规划审查机构：罗湖区作为深圳市城市跟新改革试点区域，在城市跟新优化办事程序及提高行政审批效率的方面，都有着可喜的进步。但此次办法征求意见稿的第十一条中明确提出“实施主体完成项目设计方案后应当先报送监管主体审查......审查通过后方可向区城市跟新局、市规划国土委罗湖管理局申请办理设计方案报批”，该前置程序的加设增加了可能因不同部门技术审查意见分歧、导致实施主体往复倒腾设计方案，项目推进效能大大缩减。尤其是对于采用分散配建方式的项目，从开发时序上看，本条所指的监管主体对项目在方案阶段的审查具体对象和目标并不像“集中配建”方式（见办法第八条中“人才住房和保障性住房不先预先确定落座及户型，按照所在项目商品住房的同等标准建造，待商品房预售前由监管主体在整个项目中随机抽取选定人才住房和保障性住房房源”），而以整个项目作为审查对象则有存在前述理由中涉及的审批重复设置的矛盾。为此，建议贵局全面考察各类型配建项目的具体实施和申报情形，简化或优化该条程序，帮助企业提升项目运作效能。</w:t>
            </w:r>
          </w:p>
        </w:tc>
        <w:tc>
          <w:tcPr>
            <w:tcW w:w="1210"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center"/>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不采纳</w:t>
            </w:r>
          </w:p>
        </w:tc>
        <w:tc>
          <w:tcPr>
            <w:tcW w:w="884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suppressLineNumbers w:val="0"/>
              <w:tabs>
                <w:tab w:val="left" w:pos="3517"/>
              </w:tabs>
              <w:kinsoku/>
              <w:wordWrap/>
              <w:overflowPunct/>
              <w:topLinePunct w:val="0"/>
              <w:autoSpaceDE/>
              <w:autoSpaceDN/>
              <w:bidi w:val="0"/>
              <w:adjustRightInd/>
              <w:snapToGrid/>
              <w:spacing w:before="0" w:beforeAutospacing="0" w:after="0" w:afterAutospacing="0" w:line="520" w:lineRule="exact"/>
              <w:ind w:left="0" w:leftChars="0" w:right="0" w:rightChars="0" w:firstLine="0" w:firstLineChars="0"/>
              <w:jc w:val="both"/>
              <w:textAlignment w:val="center"/>
              <w:outlineLvl w:val="9"/>
              <w:rPr>
                <w:rFonts w:hint="eastAsia" w:ascii="仿宋_GB2312" w:hAnsi="宋体" w:eastAsia="仿宋_GB2312" w:cs="仿宋_GB2312"/>
                <w:color w:val="000000"/>
                <w:sz w:val="28"/>
                <w:szCs w:val="28"/>
                <w:lang w:eastAsia="zh-CN"/>
              </w:rPr>
            </w:pPr>
            <w:r>
              <w:rPr>
                <w:rFonts w:hint="eastAsia" w:ascii="仿宋_GB2312" w:hAnsi="宋体" w:eastAsia="仿宋_GB2312" w:cs="仿宋_GB2312"/>
                <w:color w:val="000000"/>
                <w:sz w:val="28"/>
                <w:szCs w:val="28"/>
                <w:lang w:eastAsia="zh-CN"/>
              </w:rPr>
              <w:t>此条意在监管主体检查实施主体设计方案是否按照监管协议约定的内容开展设计，将事后检查变为事前把关，在图纸交付施工之前发现设计上可能存在的不符合人才住房和保障性住房政策规定的相关问题。监管主体只审查与人才住房和保障性住房相关的指标，不开展其他部门技术审查，不会导致与其他部门意见分歧等影响项目推进的事项发生。</w:t>
            </w:r>
          </w:p>
        </w:tc>
      </w:tr>
    </w:tbl>
    <w:p>
      <w:pPr>
        <w:spacing w:line="20" w:lineRule="exact"/>
        <w:rPr>
          <w:rFonts w:ascii="仿宋_GB2312" w:hAnsi="仿宋_GB2312" w:eastAsia="仿宋_GB2312" w:cs="仿宋_GB2312"/>
          <w:sz w:val="32"/>
          <w:szCs w:val="32"/>
        </w:rPr>
      </w:pPr>
    </w:p>
    <w:p/>
    <w:sectPr>
      <w:pgSz w:w="23760" w:h="16781" w:orient="landscape"/>
      <w:pgMar w:top="1587" w:right="2098" w:bottom="1474" w:left="1984" w:header="851" w:footer="992" w:gutter="0"/>
      <w:cols w:space="720" w:num="1"/>
      <w:docGrid w:type="lines" w:linePitch="32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Wingdings 2">
    <w:panose1 w:val="05020102010507070707"/>
    <w:charset w:val="00"/>
    <w:family w:val="auto"/>
    <w:pitch w:val="default"/>
    <w:sig w:usb0="00000000" w:usb1="00000000" w:usb2="00000000" w:usb3="00000000" w:csb0="8000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9464AA7"/>
    <w:rsid w:val="19464AA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2017-12-22T10:04:00Z</dcterms:created>
  <dc:creator>考考1407980187</dc:creator>
  <cp:lastModifiedBy>考考1407980187</cp:lastModifiedBy>
  <dcterms:modified xsi:type="dcterms:W3CDTF">2017-12-22T10:04:38Z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2052-10.1.0.7023</vt:lpwstr>
  </property>
</Properties>
</file>