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华文中宋" w:eastAsia="黑体"/>
          <w:color w:val="000000"/>
          <w:sz w:val="32"/>
          <w:szCs w:val="32"/>
          <w:lang w:val="en-US" w:eastAsia="zh-CN"/>
        </w:rPr>
      </w:pPr>
      <w:r>
        <w:rPr>
          <w:rFonts w:hint="eastAsia" w:ascii="黑体" w:hAnsi="华文中宋" w:eastAsia="黑体"/>
          <w:color w:val="000000"/>
          <w:sz w:val="32"/>
          <w:szCs w:val="32"/>
        </w:rPr>
        <w:t>附件</w:t>
      </w:r>
      <w:r>
        <w:rPr>
          <w:rFonts w:hint="eastAsia" w:ascii="黑体" w:hAnsi="华文中宋" w:eastAsia="黑体"/>
          <w:color w:val="000000"/>
          <w:sz w:val="32"/>
          <w:szCs w:val="32"/>
          <w:lang w:val="en-US" w:eastAsia="zh-CN"/>
        </w:rPr>
        <w:t>二</w:t>
      </w:r>
    </w:p>
    <w:p>
      <w:pPr>
        <w:spacing w:line="59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lang w:val="en-US" w:eastAsia="zh-CN"/>
        </w:rPr>
        <w:t>2017年度</w:t>
      </w:r>
      <w:r>
        <w:rPr>
          <w:rFonts w:hint="eastAsia" w:ascii="方正小标宋简体" w:hAnsi="华文中宋" w:eastAsia="方正小标宋简体"/>
          <w:color w:val="000000"/>
          <w:sz w:val="44"/>
          <w:szCs w:val="44"/>
        </w:rPr>
        <w:t>深圳市罗湖区集中采购机构考核表</w:t>
      </w:r>
    </w:p>
    <w:tbl>
      <w:tblPr>
        <w:tblStyle w:val="5"/>
        <w:tblW w:w="14049" w:type="dxa"/>
        <w:tblInd w:w="93" w:type="dxa"/>
        <w:tblLayout w:type="fixed"/>
        <w:tblCellMar>
          <w:top w:w="0" w:type="dxa"/>
          <w:left w:w="108" w:type="dxa"/>
          <w:bottom w:w="0" w:type="dxa"/>
          <w:right w:w="108" w:type="dxa"/>
        </w:tblCellMar>
      </w:tblPr>
      <w:tblGrid>
        <w:gridCol w:w="560"/>
        <w:gridCol w:w="1480"/>
        <w:gridCol w:w="7540"/>
        <w:gridCol w:w="1208"/>
        <w:gridCol w:w="1276"/>
        <w:gridCol w:w="1276"/>
        <w:gridCol w:w="709"/>
      </w:tblGrid>
      <w:tr>
        <w:tblPrEx>
          <w:tblLayout w:type="fixed"/>
          <w:tblCellMar>
            <w:top w:w="0" w:type="dxa"/>
            <w:left w:w="108" w:type="dxa"/>
            <w:bottom w:w="0" w:type="dxa"/>
            <w:right w:w="108" w:type="dxa"/>
          </w:tblCellMar>
        </w:tblPrEx>
        <w:trPr>
          <w:trHeight w:val="465" w:hRule="atLeast"/>
        </w:trPr>
        <w:tc>
          <w:tcPr>
            <w:tcW w:w="2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考核内容</w:t>
            </w:r>
          </w:p>
        </w:tc>
        <w:tc>
          <w:tcPr>
            <w:tcW w:w="7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说明</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自查得分</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得分依据</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考核得分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备注</w:t>
            </w:r>
          </w:p>
        </w:tc>
      </w:tr>
      <w:tr>
        <w:tblPrEx>
          <w:tblLayout w:type="fixed"/>
          <w:tblCellMar>
            <w:top w:w="0" w:type="dxa"/>
            <w:left w:w="108" w:type="dxa"/>
            <w:bottom w:w="0" w:type="dxa"/>
            <w:right w:w="108" w:type="dxa"/>
          </w:tblCellMar>
        </w:tblPrEx>
        <w:trPr>
          <w:trHeight w:val="465"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一、政府采购工作规范运行情况（29%）</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执行政府采购法律法规和规章制度情况（6%）</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严格遵守《深圳经济特区政府采购条例》等规定，贯彻落实进口产品审批、节能环保等政策。有违法违规等行为的，</w:t>
            </w:r>
            <w:bookmarkStart w:id="0" w:name="_GoBack"/>
            <w:bookmarkEnd w:id="0"/>
            <w:r>
              <w:rPr>
                <w:rFonts w:hint="eastAsia" w:ascii="仿宋_GB2312" w:hAnsi="宋体" w:eastAsia="仿宋_GB2312" w:cs="宋体"/>
                <w:kern w:val="0"/>
                <w:sz w:val="24"/>
              </w:rPr>
              <w:t>一例扣5分，有严重违法违规行为的，一例扣15分，扣完为止。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采购方式（3%）</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未按财政部门批复的采购方式组织非公开招标采购，或者变更采购方式没有经财政部门批复的，一例扣5分，扣完为止。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采购文件编制（6%）</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对于采购需求带有明显的倾向性或排他性条款、评分标准设置不科学不细化、出现前后不一或明显错误或以不合理的时限要求供应商供货并安装调试的，一例扣5分，扣完为止。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信息公告（3%）</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信息发布不及时、格式不规范，采购信息未在主管部门指定的媒体发布或信息公告内容不符合规定的，一例扣5分，扣完为止。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81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开标和评标（6%）</w:t>
            </w:r>
          </w:p>
        </w:tc>
        <w:tc>
          <w:tcPr>
            <w:tcW w:w="75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未按规定及时抽取专家、专家抽取不规范、评委会构成不合法、违规泄露专家名单、开标前有泄露可能影响公平竞争的有关招标投标资料、开标后仍然接受供应商投标、项目评标未按程序执行、擅自改变招标文件中规定的评标标准和中标条件、要求供应商提供招标公告要求以外资质资料、要求供应商提供与项目内容无关的设备或软件演示、发现专家打分畸高畸低或有明显倾向性而未及时提醒或未向主管部门报告的，一例扣3分，有严重违规情形的一例扣10分，扣完为止。</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1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质疑的处理（5%）</w:t>
            </w:r>
          </w:p>
        </w:tc>
        <w:tc>
          <w:tcPr>
            <w:tcW w:w="75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质疑未及时答复的，一例扣3分；质疑未答复或对质疑答复不满提起投诉最终裁定原采购结果无效的，一例扣5分，扣完为止。</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0"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第一项小计</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00"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二、制度建设与执行（18%）</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2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内部管理制度与执行（4%）</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包括岗位设置、职责分工、内部监督制约、业务流转、工作纪律等制度是否健全，是否执行到位，发现不完善或不执行的，一项扣5分，扣完为止。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业务操作制度与执行（4%）</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采购业务操作规程的制订与执行，若不按计划内容实施采购、擅自提高采购标准、采购组织实施不规范等，视情况一例扣3分或以上，扣完为止。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4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档案管理制度与执行（3%）</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档案管理制度的制订与执行，档案丢失、档案不完整、不及时归档、信息填写不规范、无索引目录、页码遗漏或错误等，视情况一例扣3分或以上，扣完为止。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财务管理制度与执行（2%）</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财务管理（含保证金管理）制度健全，管理规范，无违规收费或不合理收费等，发现不完善或不执行的，视情况一项扣3分或以上，扣完为止。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5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创新举措（5%）</w:t>
            </w:r>
          </w:p>
        </w:tc>
        <w:tc>
          <w:tcPr>
            <w:tcW w:w="75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在实践工作中大胆创新，采取切实有效举措，促进集中采购公开公平、有效竞争和规范运行，提高采购效率等办法、措施，每项得15分；受到市政府或相关部门肯定或推广的，每项目得30分，最高满分。</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40"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第二项小计</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75"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三、业务建设（24%）</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9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系统建设（5%）</w:t>
            </w:r>
          </w:p>
        </w:tc>
        <w:tc>
          <w:tcPr>
            <w:tcW w:w="75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网上采购系统运行情况，包括招投标业务主流程、电子辅助评标模块、协议采购模块、预选采购模块等，各项系统建设能满足工作需要，并根据实际情况及时改进，不断完善功能。若不能满足需要或没有及时改进，一项扣5分，扣完为止。</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9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预选项目采购与监管（5%）</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预选项目招标及时，协议采购、预选供应商、竞价采购等依规开展，日常履约监管有成效，执行过程中发现问题及时改进或及时向主管部门反映，得满分；反之，发现一项扣5分，扣完为止。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4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合同备案（4%）</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依法依规对采购项目进行合同备案，对备案和检查中发现的问题及时指出并跟进要求采购单位改正，得满分；反之，发现一项扣5分，扣完为止。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4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供应商库与商品库建设（3%）</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供应商库与商品库建设情况，并做到及时更新，动态管理，得满分；反之，发现一项扣5分，扣完为止。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0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信息报送与监管配合（7%）</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信息报送及时，自觉配合并接受主管部门的监管，重大事项及时报告等，得满分；反之，发现一项扣5分，扣完为止。</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25"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第三项小计</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25"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四、队伍建设（12%）</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9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17</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专职人员队伍（4%）</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大专以上学历人员占所有专职人员的比例达50%，得80分，每增加十个百分点加10分，最高满分。</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6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18</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人员培训（5%）</w:t>
            </w:r>
          </w:p>
        </w:tc>
        <w:tc>
          <w:tcPr>
            <w:tcW w:w="75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通过多种形式组织人员培训，人均培训时间不少于40小时，得满分；人均培训时间多于30小时少于40小时，得80分；多于20小时少于30小时，得60分；多于5小时少于20小时，得30分；少于5小时的，不得分。</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4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19</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科研成果及宣传（3%）</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在职人员撰写文章、宣传稿、调研报告等在报刊杂志上发表，一篇5分，最高满分。</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9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遵纪守法与廉洁自律</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凡当年发生违法违纪案件受到纪检监察等部门调查处理，在职人员借工作便利谋取不正当利益，或协助供应商操纵评标专家谋取中标等行为被查实的，在考核最终结果的基础上扣10分。</w:t>
            </w:r>
            <w:r>
              <w:rPr>
                <w:rFonts w:ascii="仿宋_GB2312" w:hAnsi="宋体" w:eastAsia="仿宋_GB2312" w:cs="宋体"/>
                <w:kern w:val="0"/>
                <w:sz w:val="24"/>
              </w:rPr>
              <w:t xml:space="preserve"> </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0"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第四项小计</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35"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五、定量考核（17%）</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3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21</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政府采购信息公开率（5%）</w:t>
            </w:r>
          </w:p>
        </w:tc>
        <w:tc>
          <w:tcPr>
            <w:tcW w:w="75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政府采购信息公开率（保密项目除外）达95%，得满分；高于90%低于95%，得60分；低于90%的，不得分。</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5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22</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资金节约率（3%）</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资金节约率达8%，得80分，每增加1%，加10分，最高满分；资金节约率在6%以上8%以下，得60分；低于6%不得分。</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5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23</w:t>
            </w: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质疑答复满意率（5%）</w:t>
            </w:r>
          </w:p>
        </w:tc>
        <w:tc>
          <w:tcPr>
            <w:tcW w:w="75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质疑答复满意率=(1-答复质疑后被投诉的次数÷被质疑的次数)×100%</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5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24</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公开招标失败率（4%）</w:t>
            </w:r>
          </w:p>
        </w:tc>
        <w:tc>
          <w:tcPr>
            <w:tcW w:w="75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公开招标失败率在5%(含)以内，得满分；5%-10%(含)，得80分；10%-15%(含)，得60分；15%以上不得分。</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10"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第五项小计</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50" w:hRule="atLeast"/>
        </w:trPr>
        <w:tc>
          <w:tcPr>
            <w:tcW w:w="9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合计</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bl>
    <w:p>
      <w:pPr>
        <w:spacing w:line="590" w:lineRule="exact"/>
        <w:jc w:val="center"/>
        <w:rPr>
          <w:rFonts w:hint="eastAsia" w:ascii="华文中宋" w:hAnsi="华文中宋" w:eastAsia="华文中宋" w:cs="仿宋_GB2312"/>
          <w:color w:val="000000"/>
          <w:sz w:val="44"/>
          <w:szCs w:val="44"/>
        </w:rPr>
      </w:pPr>
    </w:p>
    <w:tbl>
      <w:tblPr>
        <w:tblStyle w:val="5"/>
        <w:tblW w:w="14460" w:type="dxa"/>
        <w:tblInd w:w="93" w:type="dxa"/>
        <w:tblLayout w:type="fixed"/>
        <w:tblCellMar>
          <w:top w:w="0" w:type="dxa"/>
          <w:left w:w="108" w:type="dxa"/>
          <w:bottom w:w="0" w:type="dxa"/>
          <w:right w:w="108" w:type="dxa"/>
        </w:tblCellMar>
      </w:tblPr>
      <w:tblGrid>
        <w:gridCol w:w="14460"/>
      </w:tblGrid>
      <w:tr>
        <w:tblPrEx>
          <w:tblLayout w:type="fixed"/>
          <w:tblCellMar>
            <w:top w:w="0" w:type="dxa"/>
            <w:left w:w="108" w:type="dxa"/>
            <w:bottom w:w="0" w:type="dxa"/>
            <w:right w:w="108" w:type="dxa"/>
          </w:tblCellMar>
        </w:tblPrEx>
        <w:trPr>
          <w:trHeight w:val="780" w:hRule="atLeast"/>
        </w:trPr>
        <w:tc>
          <w:tcPr>
            <w:tcW w:w="14460" w:type="dxa"/>
            <w:tcBorders>
              <w:top w:val="nil"/>
              <w:left w:val="nil"/>
              <w:bottom w:val="nil"/>
              <w:right w:val="nil"/>
            </w:tcBorders>
            <w:shd w:val="clear" w:color="auto" w:fill="auto"/>
            <w:vAlign w:val="center"/>
          </w:tcPr>
          <w:p>
            <w:pPr>
              <w:widowControl/>
              <w:spacing w:line="500" w:lineRule="exact"/>
              <w:ind w:right="836" w:rightChars="398"/>
              <w:jc w:val="left"/>
              <w:rPr>
                <w:rFonts w:ascii="仿宋_GB2312" w:hAnsi="宋体" w:eastAsia="仿宋_GB2312" w:cs="宋体"/>
                <w:kern w:val="0"/>
                <w:sz w:val="24"/>
              </w:rPr>
            </w:pPr>
            <w:r>
              <w:rPr>
                <w:rFonts w:hint="eastAsia" w:ascii="仿宋_GB2312" w:hAnsi="宋体" w:eastAsia="仿宋_GB2312" w:cs="宋体"/>
                <w:kern w:val="0"/>
                <w:sz w:val="24"/>
              </w:rPr>
              <w:t>备注：1.上述各项打分均采取百分制，第1-10项、第12-16项预设为满分，出现疏漏或错误则减去相应的分数；第11项、第17-19项、第21-24项采用计算结果得出的分值；各项分值乘以权重为该项的最终得分。</w:t>
            </w:r>
          </w:p>
        </w:tc>
      </w:tr>
      <w:tr>
        <w:tblPrEx>
          <w:tblLayout w:type="fixed"/>
          <w:tblCellMar>
            <w:top w:w="0" w:type="dxa"/>
            <w:left w:w="108" w:type="dxa"/>
            <w:bottom w:w="0" w:type="dxa"/>
            <w:right w:w="108" w:type="dxa"/>
          </w:tblCellMar>
        </w:tblPrEx>
        <w:trPr>
          <w:trHeight w:val="480" w:hRule="atLeast"/>
        </w:trPr>
        <w:tc>
          <w:tcPr>
            <w:tcW w:w="14460" w:type="dxa"/>
            <w:tcBorders>
              <w:top w:val="nil"/>
              <w:left w:val="nil"/>
              <w:bottom w:val="nil"/>
              <w:right w:val="nil"/>
            </w:tcBorders>
            <w:shd w:val="clear" w:color="auto" w:fill="auto"/>
            <w:vAlign w:val="center"/>
          </w:tcPr>
          <w:p>
            <w:pPr>
              <w:widowControl/>
              <w:spacing w:line="500" w:lineRule="exact"/>
              <w:ind w:right="836" w:rightChars="398"/>
              <w:jc w:val="left"/>
              <w:rPr>
                <w:rFonts w:ascii="仿宋_GB2312" w:hAnsi="宋体" w:eastAsia="仿宋_GB2312" w:cs="宋体"/>
                <w:kern w:val="0"/>
                <w:sz w:val="24"/>
              </w:rPr>
            </w:pPr>
            <w:r>
              <w:rPr>
                <w:rFonts w:hint="eastAsia" w:ascii="仿宋_GB2312" w:hAnsi="宋体" w:eastAsia="仿宋_GB2312" w:cs="宋体"/>
                <w:kern w:val="0"/>
                <w:sz w:val="24"/>
              </w:rPr>
              <w:t xml:space="preserve">      2.考核得分在90分及以上为优秀，80-89分为良好，60-79分为合格，59分及以下为不合格。</w:t>
            </w:r>
          </w:p>
        </w:tc>
      </w:tr>
      <w:tr>
        <w:tblPrEx>
          <w:tblLayout w:type="fixed"/>
          <w:tblCellMar>
            <w:top w:w="0" w:type="dxa"/>
            <w:left w:w="108" w:type="dxa"/>
            <w:bottom w:w="0" w:type="dxa"/>
            <w:right w:w="108" w:type="dxa"/>
          </w:tblCellMar>
        </w:tblPrEx>
        <w:trPr>
          <w:trHeight w:val="435" w:hRule="atLeast"/>
        </w:trPr>
        <w:tc>
          <w:tcPr>
            <w:tcW w:w="14460" w:type="dxa"/>
            <w:tcBorders>
              <w:top w:val="nil"/>
              <w:left w:val="nil"/>
              <w:bottom w:val="nil"/>
              <w:right w:val="nil"/>
            </w:tcBorders>
            <w:shd w:val="clear" w:color="auto" w:fill="auto"/>
            <w:vAlign w:val="center"/>
          </w:tcPr>
          <w:p>
            <w:pPr>
              <w:widowControl/>
              <w:tabs>
                <w:tab w:val="left" w:pos="13407"/>
              </w:tabs>
              <w:spacing w:line="500" w:lineRule="exact"/>
              <w:ind w:right="836" w:rightChars="398"/>
              <w:jc w:val="left"/>
              <w:rPr>
                <w:rFonts w:ascii="仿宋_GB2312" w:hAnsi="宋体" w:eastAsia="仿宋_GB2312" w:cs="宋体"/>
                <w:kern w:val="0"/>
                <w:sz w:val="24"/>
              </w:rPr>
            </w:pPr>
            <w:r>
              <w:rPr>
                <w:rFonts w:hint="eastAsia" w:ascii="仿宋_GB2312" w:hAnsi="宋体" w:eastAsia="仿宋_GB2312" w:cs="宋体"/>
                <w:kern w:val="0"/>
                <w:sz w:val="24"/>
              </w:rPr>
              <w:t xml:space="preserve">      3.定量考核指标的计算公式：</w:t>
            </w:r>
          </w:p>
        </w:tc>
      </w:tr>
      <w:tr>
        <w:tblPrEx>
          <w:tblLayout w:type="fixed"/>
          <w:tblCellMar>
            <w:top w:w="0" w:type="dxa"/>
            <w:left w:w="108" w:type="dxa"/>
            <w:bottom w:w="0" w:type="dxa"/>
            <w:right w:w="108" w:type="dxa"/>
          </w:tblCellMar>
        </w:tblPrEx>
        <w:trPr>
          <w:trHeight w:val="510" w:hRule="atLeast"/>
        </w:trPr>
        <w:tc>
          <w:tcPr>
            <w:tcW w:w="14460" w:type="dxa"/>
            <w:tcBorders>
              <w:top w:val="nil"/>
              <w:left w:val="nil"/>
              <w:bottom w:val="nil"/>
              <w:right w:val="nil"/>
            </w:tcBorders>
            <w:shd w:val="clear" w:color="auto" w:fill="auto"/>
            <w:vAlign w:val="center"/>
          </w:tcPr>
          <w:p>
            <w:pPr>
              <w:widowControl/>
              <w:tabs>
                <w:tab w:val="left" w:pos="13407"/>
              </w:tabs>
              <w:spacing w:line="500" w:lineRule="exact"/>
              <w:ind w:right="836" w:rightChars="398"/>
              <w:jc w:val="left"/>
              <w:rPr>
                <w:rFonts w:ascii="仿宋_GB2312" w:hAnsi="宋体" w:eastAsia="仿宋_GB2312" w:cs="宋体"/>
                <w:kern w:val="0"/>
                <w:sz w:val="24"/>
              </w:rPr>
            </w:pPr>
            <w:r>
              <w:rPr>
                <w:rFonts w:hint="eastAsia" w:ascii="仿宋_GB2312" w:hAnsi="宋体" w:eastAsia="仿宋_GB2312" w:cs="宋体"/>
                <w:kern w:val="0"/>
                <w:sz w:val="24"/>
              </w:rPr>
              <w:t xml:space="preserve">      （1）政府采购信息公开率=公开的项目数量÷受托采购项目数量×100%</w:t>
            </w:r>
          </w:p>
        </w:tc>
      </w:tr>
      <w:tr>
        <w:tblPrEx>
          <w:tblLayout w:type="fixed"/>
          <w:tblCellMar>
            <w:top w:w="0" w:type="dxa"/>
            <w:left w:w="108" w:type="dxa"/>
            <w:bottom w:w="0" w:type="dxa"/>
            <w:right w:w="108" w:type="dxa"/>
          </w:tblCellMar>
        </w:tblPrEx>
        <w:trPr>
          <w:trHeight w:val="420" w:hRule="atLeast"/>
        </w:trPr>
        <w:tc>
          <w:tcPr>
            <w:tcW w:w="14460" w:type="dxa"/>
            <w:tcBorders>
              <w:top w:val="nil"/>
              <w:left w:val="nil"/>
              <w:bottom w:val="nil"/>
              <w:right w:val="nil"/>
            </w:tcBorders>
            <w:shd w:val="clear" w:color="auto" w:fill="auto"/>
            <w:vAlign w:val="center"/>
          </w:tcPr>
          <w:p>
            <w:pPr>
              <w:widowControl/>
              <w:tabs>
                <w:tab w:val="left" w:pos="13407"/>
              </w:tabs>
              <w:spacing w:line="500" w:lineRule="exact"/>
              <w:ind w:right="836" w:rightChars="398"/>
              <w:jc w:val="left"/>
              <w:rPr>
                <w:rFonts w:ascii="仿宋_GB2312" w:hAnsi="宋体" w:eastAsia="仿宋_GB2312" w:cs="宋体"/>
                <w:kern w:val="0"/>
                <w:sz w:val="24"/>
              </w:rPr>
            </w:pPr>
            <w:r>
              <w:rPr>
                <w:rFonts w:hint="eastAsia" w:ascii="仿宋_GB2312" w:hAnsi="宋体" w:eastAsia="仿宋_GB2312" w:cs="宋体"/>
                <w:kern w:val="0"/>
                <w:sz w:val="24"/>
              </w:rPr>
              <w:t xml:space="preserve">      （2）采购资金节约率=节约额÷采购预算×100%；节约额=采购预算-实际采购金额</w:t>
            </w:r>
          </w:p>
        </w:tc>
      </w:tr>
      <w:tr>
        <w:tblPrEx>
          <w:tblLayout w:type="fixed"/>
          <w:tblCellMar>
            <w:top w:w="0" w:type="dxa"/>
            <w:left w:w="108" w:type="dxa"/>
            <w:bottom w:w="0" w:type="dxa"/>
            <w:right w:w="108" w:type="dxa"/>
          </w:tblCellMar>
        </w:tblPrEx>
        <w:trPr>
          <w:trHeight w:val="450" w:hRule="atLeast"/>
        </w:trPr>
        <w:tc>
          <w:tcPr>
            <w:tcW w:w="14460" w:type="dxa"/>
            <w:tcBorders>
              <w:top w:val="nil"/>
              <w:left w:val="nil"/>
              <w:bottom w:val="nil"/>
              <w:right w:val="nil"/>
            </w:tcBorders>
            <w:shd w:val="clear" w:color="auto" w:fill="auto"/>
            <w:vAlign w:val="center"/>
          </w:tcPr>
          <w:p>
            <w:pPr>
              <w:widowControl/>
              <w:tabs>
                <w:tab w:val="left" w:pos="13407"/>
              </w:tabs>
              <w:spacing w:line="500" w:lineRule="exact"/>
              <w:ind w:right="836" w:rightChars="398"/>
              <w:jc w:val="left"/>
              <w:rPr>
                <w:rFonts w:ascii="仿宋_GB2312" w:hAnsi="宋体" w:eastAsia="仿宋_GB2312" w:cs="宋体"/>
                <w:kern w:val="0"/>
                <w:sz w:val="24"/>
              </w:rPr>
            </w:pPr>
            <w:r>
              <w:rPr>
                <w:rFonts w:hint="eastAsia" w:ascii="仿宋_GB2312" w:hAnsi="宋体" w:eastAsia="仿宋_GB2312" w:cs="宋体"/>
                <w:kern w:val="0"/>
                <w:sz w:val="24"/>
              </w:rPr>
              <w:t xml:space="preserve">      （3）质疑答复满意率=(1-答复质疑后被投诉的次数÷被质疑的次数)×100%</w:t>
            </w:r>
          </w:p>
        </w:tc>
      </w:tr>
      <w:tr>
        <w:tblPrEx>
          <w:tblLayout w:type="fixed"/>
          <w:tblCellMar>
            <w:top w:w="0" w:type="dxa"/>
            <w:left w:w="108" w:type="dxa"/>
            <w:bottom w:w="0" w:type="dxa"/>
            <w:right w:w="108" w:type="dxa"/>
          </w:tblCellMar>
        </w:tblPrEx>
        <w:trPr>
          <w:trHeight w:val="735" w:hRule="atLeast"/>
        </w:trPr>
        <w:tc>
          <w:tcPr>
            <w:tcW w:w="14460" w:type="dxa"/>
            <w:tcBorders>
              <w:top w:val="nil"/>
              <w:left w:val="nil"/>
              <w:bottom w:val="nil"/>
              <w:right w:val="nil"/>
            </w:tcBorders>
            <w:shd w:val="clear" w:color="auto" w:fill="auto"/>
            <w:vAlign w:val="center"/>
          </w:tcPr>
          <w:p>
            <w:pPr>
              <w:widowControl/>
              <w:tabs>
                <w:tab w:val="left" w:pos="13407"/>
              </w:tabs>
              <w:spacing w:line="500" w:lineRule="exact"/>
              <w:ind w:right="836" w:rightChars="398"/>
              <w:jc w:val="left"/>
              <w:rPr>
                <w:rFonts w:ascii="仿宋_GB2312" w:hAnsi="宋体" w:eastAsia="仿宋_GB2312" w:cs="宋体"/>
                <w:kern w:val="0"/>
                <w:sz w:val="24"/>
              </w:rPr>
            </w:pPr>
            <w:r>
              <w:rPr>
                <w:rFonts w:hint="eastAsia" w:ascii="仿宋_GB2312" w:hAnsi="宋体" w:eastAsia="仿宋_GB2312" w:cs="宋体"/>
                <w:kern w:val="0"/>
                <w:sz w:val="24"/>
              </w:rPr>
              <w:t xml:space="preserve">      上述所指答复质疑后被投诉的次数，专指因区政府集中采购机构工作失误导致的投诉，或区政府集中采购机构应承担全部或部分责任的投诉，且区财政部门予以受理的。</w:t>
            </w:r>
          </w:p>
        </w:tc>
      </w:tr>
      <w:tr>
        <w:tblPrEx>
          <w:tblLayout w:type="fixed"/>
          <w:tblCellMar>
            <w:top w:w="0" w:type="dxa"/>
            <w:left w:w="108" w:type="dxa"/>
            <w:bottom w:w="0" w:type="dxa"/>
            <w:right w:w="108" w:type="dxa"/>
          </w:tblCellMar>
        </w:tblPrEx>
        <w:trPr>
          <w:trHeight w:val="450" w:hRule="atLeast"/>
        </w:trPr>
        <w:tc>
          <w:tcPr>
            <w:tcW w:w="14460" w:type="dxa"/>
            <w:tcBorders>
              <w:top w:val="nil"/>
              <w:left w:val="nil"/>
              <w:bottom w:val="nil"/>
              <w:right w:val="nil"/>
            </w:tcBorders>
            <w:shd w:val="clear" w:color="auto" w:fill="auto"/>
            <w:vAlign w:val="center"/>
          </w:tcPr>
          <w:p>
            <w:pPr>
              <w:widowControl/>
              <w:tabs>
                <w:tab w:val="left" w:pos="14191"/>
              </w:tabs>
              <w:spacing w:line="5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（4）公开招标失败率=公开招标失败转非公开项目数量÷公开招标项目数量×100%</w:t>
            </w:r>
          </w:p>
        </w:tc>
      </w:tr>
    </w:tbl>
    <w:p>
      <w:pPr>
        <w:spacing w:line="590" w:lineRule="exact"/>
        <w:jc w:val="center"/>
        <w:rPr>
          <w:rFonts w:hint="eastAsia" w:ascii="华文中宋" w:hAnsi="华文中宋" w:eastAsia="华文中宋" w:cs="仿宋_GB2312"/>
          <w:color w:val="000000"/>
          <w:sz w:val="44"/>
          <w:szCs w:val="44"/>
        </w:rPr>
      </w:pPr>
    </w:p>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B61"/>
    <w:rsid w:val="00323B61"/>
    <w:rsid w:val="009C1C76"/>
    <w:rsid w:val="00DB5642"/>
    <w:rsid w:val="3033793A"/>
    <w:rsid w:val="3A7C2E0E"/>
    <w:rsid w:val="46AD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447</Words>
  <Characters>2553</Characters>
  <Lines>21</Lines>
  <Paragraphs>5</Paragraphs>
  <TotalTime>0</TotalTime>
  <ScaleCrop>false</ScaleCrop>
  <LinksUpToDate>false</LinksUpToDate>
  <CharactersWithSpaces>2995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2015-05-19T07:41:00Z</dcterms:created>
  <dc:creator>刘妍</dc:creator>
  <cp:lastModifiedBy>Aviva.C</cp:lastModifiedBy>
  <dcterms:modified xsi:type="dcterms:W3CDTF">2018-05-03T07:10:25Z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