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2022年罗湖区第十一届职工技术比武大会——建筑信息模型技术员（BIM）职业</w:t>
      </w:r>
    </w:p>
    <w:p>
      <w:pPr>
        <w:adjustRightInd w:val="0"/>
        <w:snapToGrid w:val="0"/>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技能竞赛</w:t>
      </w:r>
    </w:p>
    <w:p>
      <w:pPr>
        <w:spacing w:line="500" w:lineRule="exact"/>
        <w:rPr>
          <w:rFonts w:ascii="宋体" w:hAnsi="宋体"/>
          <w:b/>
          <w:sz w:val="32"/>
          <w:szCs w:val="32"/>
        </w:rPr>
      </w:pPr>
    </w:p>
    <w:p>
      <w:pPr>
        <w:spacing w:line="560" w:lineRule="exact"/>
        <w:jc w:val="center"/>
        <w:rPr>
          <w:rFonts w:ascii="宋体" w:hAnsi="宋体" w:cs="华文中宋"/>
          <w:b/>
          <w:sz w:val="36"/>
          <w:szCs w:val="36"/>
        </w:rPr>
      </w:pPr>
    </w:p>
    <w:p>
      <w:pPr>
        <w:spacing w:line="560" w:lineRule="exact"/>
        <w:rPr>
          <w:rFonts w:ascii="宋体" w:hAnsi="宋体" w:cs="华文中宋"/>
        </w:rPr>
      </w:pPr>
    </w:p>
    <w:p>
      <w:pPr>
        <w:spacing w:line="560" w:lineRule="exact"/>
        <w:rPr>
          <w:rFonts w:ascii="宋体" w:hAnsi="宋体" w:cs="华文中宋"/>
        </w:rPr>
      </w:pPr>
    </w:p>
    <w:p>
      <w:pPr>
        <w:spacing w:line="1200" w:lineRule="exact"/>
        <w:jc w:val="center"/>
        <w:rPr>
          <w:rFonts w:ascii="方正小标宋简体" w:hAnsi="宋体" w:eastAsia="方正小标宋简体" w:cs="华文中宋"/>
          <w:b/>
          <w:sz w:val="52"/>
          <w:szCs w:val="52"/>
        </w:rPr>
      </w:pPr>
      <w:r>
        <w:rPr>
          <w:rFonts w:hint="eastAsia" w:ascii="方正小标宋简体" w:hAnsi="宋体" w:eastAsia="方正小标宋简体" w:cs="华文中宋"/>
          <w:b/>
          <w:sz w:val="52"/>
          <w:szCs w:val="52"/>
        </w:rPr>
        <w:t>技</w:t>
      </w:r>
    </w:p>
    <w:p>
      <w:pPr>
        <w:spacing w:line="1200" w:lineRule="exact"/>
        <w:jc w:val="center"/>
        <w:rPr>
          <w:rFonts w:ascii="方正小标宋简体" w:hAnsi="宋体" w:eastAsia="方正小标宋简体" w:cs="华文中宋"/>
          <w:b/>
          <w:sz w:val="52"/>
          <w:szCs w:val="52"/>
        </w:rPr>
      </w:pPr>
      <w:r>
        <w:rPr>
          <w:rFonts w:hint="eastAsia" w:ascii="方正小标宋简体" w:hAnsi="宋体" w:eastAsia="方正小标宋简体" w:cs="华文中宋"/>
          <w:b/>
          <w:sz w:val="52"/>
          <w:szCs w:val="52"/>
        </w:rPr>
        <w:t>术</w:t>
      </w:r>
    </w:p>
    <w:p>
      <w:pPr>
        <w:spacing w:line="1200" w:lineRule="exact"/>
        <w:jc w:val="center"/>
        <w:rPr>
          <w:rFonts w:ascii="方正小标宋简体" w:hAnsi="宋体" w:eastAsia="方正小标宋简体" w:cs="华文中宋"/>
          <w:b/>
          <w:sz w:val="52"/>
          <w:szCs w:val="52"/>
        </w:rPr>
      </w:pPr>
      <w:r>
        <w:rPr>
          <w:rFonts w:hint="eastAsia" w:ascii="方正小标宋简体" w:hAnsi="宋体" w:eastAsia="方正小标宋简体" w:cs="华文中宋"/>
          <w:b/>
          <w:sz w:val="52"/>
          <w:szCs w:val="52"/>
        </w:rPr>
        <w:t>文</w:t>
      </w:r>
    </w:p>
    <w:p>
      <w:pPr>
        <w:spacing w:line="1200" w:lineRule="exact"/>
        <w:jc w:val="center"/>
        <w:rPr>
          <w:rFonts w:ascii="方正小标宋简体" w:hAnsi="宋体" w:eastAsia="方正小标宋简体" w:cs="华文中宋"/>
          <w:b/>
          <w:sz w:val="52"/>
          <w:szCs w:val="52"/>
        </w:rPr>
      </w:pPr>
      <w:r>
        <w:rPr>
          <w:rFonts w:hint="eastAsia" w:ascii="方正小标宋简体" w:hAnsi="宋体" w:eastAsia="方正小标宋简体" w:cs="华文中宋"/>
          <w:b/>
          <w:sz w:val="52"/>
          <w:szCs w:val="52"/>
        </w:rPr>
        <w:t>件</w:t>
      </w:r>
    </w:p>
    <w:p>
      <w:pPr>
        <w:spacing w:line="560" w:lineRule="exact"/>
        <w:rPr>
          <w:rFonts w:ascii="宋体" w:hAnsi="宋体" w:cs="华文中宋"/>
          <w:sz w:val="44"/>
          <w:szCs w:val="44"/>
        </w:rPr>
      </w:pPr>
    </w:p>
    <w:p>
      <w:pPr>
        <w:spacing w:line="560" w:lineRule="exact"/>
        <w:rPr>
          <w:rFonts w:ascii="宋体" w:hAnsi="宋体" w:cs="华文中宋"/>
        </w:rPr>
      </w:pPr>
    </w:p>
    <w:p>
      <w:pPr>
        <w:spacing w:line="560" w:lineRule="exact"/>
        <w:rPr>
          <w:rFonts w:ascii="宋体" w:hAnsi="宋体" w:cs="华文中宋"/>
        </w:rPr>
      </w:pPr>
    </w:p>
    <w:p>
      <w:pPr>
        <w:spacing w:line="560" w:lineRule="exact"/>
        <w:rPr>
          <w:rFonts w:ascii="宋体" w:hAnsi="宋体" w:cs="华文中宋"/>
        </w:rPr>
      </w:pPr>
    </w:p>
    <w:p>
      <w:pPr>
        <w:pStyle w:val="2"/>
      </w:pPr>
    </w:p>
    <w:p>
      <w:pPr>
        <w:spacing w:line="560" w:lineRule="exact"/>
        <w:rPr>
          <w:rFonts w:ascii="宋体" w:hAnsi="宋体" w:cs="华文中宋"/>
        </w:rPr>
      </w:pPr>
    </w:p>
    <w:p>
      <w:pPr>
        <w:spacing w:line="560" w:lineRule="exact"/>
        <w:rPr>
          <w:rFonts w:ascii="宋体" w:hAnsi="宋体" w:cs="华文中宋"/>
        </w:rPr>
      </w:pPr>
    </w:p>
    <w:p>
      <w:pPr>
        <w:spacing w:line="560" w:lineRule="exact"/>
        <w:rPr>
          <w:rFonts w:ascii="宋体" w:hAnsi="宋体" w:cs="华文中宋"/>
        </w:rPr>
      </w:pPr>
    </w:p>
    <w:p>
      <w:pPr>
        <w:spacing w:line="560" w:lineRule="exact"/>
        <w:jc w:val="center"/>
        <w:rPr>
          <w:rFonts w:ascii="仿宋" w:hAnsi="仿宋" w:eastAsia="仿宋" w:cs="仿宋"/>
          <w:sz w:val="32"/>
          <w:szCs w:val="32"/>
        </w:rPr>
      </w:pPr>
      <w:r>
        <w:rPr>
          <w:rFonts w:hint="eastAsia" w:ascii="仿宋_GB2312" w:hAnsi="仿宋" w:eastAsia="仿宋_GB2312" w:cs="仿宋"/>
          <w:color w:val="000000"/>
          <w:sz w:val="32"/>
          <w:szCs w:val="32"/>
        </w:rPr>
        <w:t>2022年6月</w:t>
      </w:r>
    </w:p>
    <w:p>
      <w:pPr>
        <w:adjustRightInd w:val="0"/>
        <w:snapToGrid w:val="0"/>
        <w:spacing w:line="600" w:lineRule="exact"/>
        <w:ind w:right="-86" w:rightChars="-41"/>
        <w:jc w:val="center"/>
        <w:rPr>
          <w:rFonts w:ascii="方正小标宋简体" w:hAnsi="仿宋" w:eastAsia="方正小标宋简体"/>
          <w:sz w:val="44"/>
          <w:szCs w:val="44"/>
        </w:rPr>
      </w:pPr>
    </w:p>
    <w:p>
      <w:pPr>
        <w:pStyle w:val="2"/>
        <w:spacing w:line="560" w:lineRule="exact"/>
        <w:ind w:firstLine="640" w:firstLineChars="200"/>
        <w:rPr>
          <w:rFonts w:eastAsia="黑体"/>
          <w:sz w:val="32"/>
          <w:szCs w:val="32"/>
        </w:rPr>
      </w:pPr>
      <w:r>
        <w:rPr>
          <w:rFonts w:eastAsia="黑体"/>
          <w:sz w:val="32"/>
          <w:szCs w:val="32"/>
        </w:rPr>
        <w:t>一、竞赛项目、标准、方式及内容</w:t>
      </w:r>
    </w:p>
    <w:p>
      <w:pPr>
        <w:tabs>
          <w:tab w:val="left" w:pos="6997"/>
        </w:tabs>
        <w:adjustRightInd w:val="0"/>
        <w:snapToGrid w:val="0"/>
        <w:spacing w:line="560" w:lineRule="exact"/>
        <w:ind w:firstLine="640" w:firstLineChars="200"/>
        <w:rPr>
          <w:rFonts w:eastAsia="楷体_GB2312"/>
          <w:sz w:val="32"/>
          <w:szCs w:val="32"/>
        </w:rPr>
      </w:pPr>
      <w:r>
        <w:rPr>
          <w:rFonts w:eastAsia="楷体_GB2312"/>
          <w:sz w:val="32"/>
          <w:szCs w:val="32"/>
        </w:rPr>
        <w:t>（一）竞赛项目</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建筑信息模型技术员（BIM）</w:t>
      </w:r>
    </w:p>
    <w:p>
      <w:pPr>
        <w:adjustRightInd w:val="0"/>
        <w:snapToGrid w:val="0"/>
        <w:spacing w:line="560" w:lineRule="exact"/>
        <w:ind w:firstLine="640" w:firstLineChars="200"/>
        <w:rPr>
          <w:rFonts w:eastAsia="楷体_GB2312"/>
          <w:sz w:val="32"/>
          <w:szCs w:val="32"/>
        </w:rPr>
      </w:pPr>
      <w:r>
        <w:rPr>
          <w:rFonts w:eastAsia="楷体_GB2312"/>
          <w:sz w:val="32"/>
          <w:szCs w:val="32"/>
        </w:rPr>
        <w:t>（二）竞赛标准</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参照建筑信息模型技术员国家职业技能标准（中级工）相关要求确定竞赛标准，结合新时代行业企业发展情况，适当增加新知识、新技术、新设备、新技能的相关内容，由工作领导小组统一组织专家制定。</w:t>
      </w:r>
    </w:p>
    <w:p>
      <w:pPr>
        <w:adjustRightInd w:val="0"/>
        <w:snapToGrid w:val="0"/>
        <w:spacing w:line="560" w:lineRule="exact"/>
        <w:ind w:firstLine="640" w:firstLineChars="200"/>
        <w:rPr>
          <w:rFonts w:eastAsia="楷体_GB2312"/>
          <w:sz w:val="32"/>
          <w:szCs w:val="32"/>
        </w:rPr>
      </w:pPr>
      <w:r>
        <w:rPr>
          <w:rFonts w:eastAsia="楷体_GB2312"/>
          <w:sz w:val="32"/>
          <w:szCs w:val="32"/>
        </w:rPr>
        <w:t>（三）竞赛方式</w:t>
      </w:r>
    </w:p>
    <w:p>
      <w:pPr>
        <w:spacing w:line="560" w:lineRule="exact"/>
        <w:ind w:firstLine="640" w:firstLineChars="200"/>
        <w:rPr>
          <w:rFonts w:ascii="仿宋_GB2312" w:hAnsi="仿宋" w:eastAsia="仿宋_GB2312" w:cs="仿宋"/>
          <w:color w:val="000000"/>
          <w:sz w:val="32"/>
          <w:szCs w:val="32"/>
        </w:rPr>
      </w:pPr>
      <w:bookmarkStart w:id="0" w:name="_Hlk517771956"/>
      <w:r>
        <w:rPr>
          <w:rFonts w:hint="eastAsia" w:ascii="仿宋_GB2312" w:hAnsi="仿宋" w:eastAsia="仿宋_GB2312" w:cs="仿宋"/>
          <w:color w:val="000000"/>
          <w:sz w:val="32"/>
          <w:szCs w:val="32"/>
        </w:rPr>
        <w:t>本次竞赛分初赛和决赛两个阶段进行，初赛为理论知识竞赛，决赛为实操技能竞赛。</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1.初赛</w:t>
      </w:r>
      <w:bookmarkEnd w:id="0"/>
      <w:bookmarkStart w:id="1" w:name="_Hlk517772048"/>
      <w:r>
        <w:rPr>
          <w:rFonts w:hint="eastAsia" w:ascii="仿宋_GB2312" w:hAnsi="仿宋" w:eastAsia="仿宋_GB2312" w:cs="仿宋"/>
          <w:color w:val="000000"/>
          <w:sz w:val="32"/>
          <w:szCs w:val="32"/>
        </w:rPr>
        <w:t>。由工作领导小组组织专家参照建筑信息模型技术员国家职业技能标准命题，通过笔试形式对理论知识进行考核。理论知识考核内容包括职业道德、基础知识和专业知识三部分，时间共90分钟，实行百分制，60分为合格。初赛成绩由高到低进行排名，取前50名选手进入决赛。</w:t>
      </w:r>
      <w:bookmarkEnd w:id="1"/>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时间：</w:t>
      </w:r>
      <w:r>
        <w:rPr>
          <w:rFonts w:hint="default" w:ascii="仿宋_GB2312" w:hAnsi="仿宋" w:eastAsia="仿宋_GB2312" w:cs="仿宋"/>
          <w:color w:val="000000"/>
          <w:sz w:val="32"/>
          <w:szCs w:val="32"/>
          <w:lang w:val="en"/>
        </w:rPr>
        <w:t>9</w:t>
      </w:r>
      <w:r>
        <w:rPr>
          <w:rFonts w:hint="eastAsia" w:ascii="仿宋_GB2312" w:hAnsi="仿宋" w:eastAsia="仿宋_GB2312" w:cs="仿宋"/>
          <w:color w:val="000000"/>
          <w:sz w:val="32"/>
          <w:szCs w:val="32"/>
        </w:rPr>
        <w:t>月</w:t>
      </w:r>
      <w:r>
        <w:rPr>
          <w:rFonts w:hint="default" w:ascii="仿宋_GB2312" w:hAnsi="仿宋" w:eastAsia="仿宋_GB2312" w:cs="仿宋"/>
          <w:color w:val="000000"/>
          <w:sz w:val="32"/>
          <w:szCs w:val="32"/>
          <w:lang w:val="en"/>
        </w:rPr>
        <w:t>1</w:t>
      </w:r>
      <w:r>
        <w:rPr>
          <w:rFonts w:hint="eastAsia" w:ascii="仿宋_GB2312" w:hAnsi="仿宋" w:eastAsia="仿宋_GB2312" w:cs="仿宋"/>
          <w:color w:val="000000"/>
          <w:sz w:val="32"/>
          <w:szCs w:val="32"/>
        </w:rPr>
        <w:t>7日（星期六）</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地址：深圳市罗湖区深南东路集浩大厦</w:t>
      </w:r>
    </w:p>
    <w:p>
      <w:pPr>
        <w:spacing w:line="560" w:lineRule="exact"/>
        <w:ind w:firstLine="640" w:firstLineChars="200"/>
        <w:rPr>
          <w:rFonts w:ascii="仿宋_GB2312" w:hAnsi="仿宋" w:eastAsia="仿宋_GB2312" w:cs="仿宋"/>
          <w:color w:val="000000"/>
          <w:sz w:val="32"/>
          <w:szCs w:val="32"/>
        </w:rPr>
      </w:pPr>
      <w:bookmarkStart w:id="2" w:name="_Hlk517772066"/>
      <w:r>
        <w:rPr>
          <w:rFonts w:hint="eastAsia" w:ascii="仿宋_GB2312" w:hAnsi="仿宋" w:eastAsia="仿宋_GB2312" w:cs="仿宋"/>
          <w:color w:val="000000"/>
          <w:sz w:val="32"/>
          <w:szCs w:val="32"/>
        </w:rPr>
        <w:t>2.决赛。由工作领导小组组织专家参照竞赛标准命题，以实际操作的方式进行。</w:t>
      </w:r>
      <w:bookmarkEnd w:id="2"/>
      <w:r>
        <w:rPr>
          <w:rFonts w:hint="eastAsia" w:ascii="仿宋_GB2312" w:hAnsi="仿宋" w:eastAsia="仿宋_GB2312" w:cs="仿宋"/>
          <w:color w:val="000000"/>
          <w:sz w:val="32"/>
          <w:szCs w:val="32"/>
        </w:rPr>
        <w:t>实操知识考核方向为多功能展厅，包括制造行业/建材行业/文化行业，从中抽选一项进行考核。选手按赛场提供的任务书，通过计算机完成项目的实际操作，时间共180分钟，满分为100分，60分为合格。实际操作成果分为4部分，4部分分值分为： 5：75：10：10。</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（1）成果1：建模准备</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（2）成果2：创建实体构件图元</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（3）成果3：标记</w:t>
      </w:r>
      <w:r>
        <w:rPr>
          <w:rFonts w:hint="eastAsia" w:ascii="仿宋_GB2312" w:hAnsi="仿宋" w:eastAsia="仿宋_GB2312" w:cs="仿宋"/>
          <w:color w:val="000000"/>
          <w:sz w:val="32"/>
          <w:szCs w:val="32"/>
        </w:rPr>
        <w:tab/>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（4）成果4：图纸创建</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时间：10月22日（星期六）</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地址：</w:t>
      </w:r>
      <w:bookmarkStart w:id="3" w:name="OLE_LINK1"/>
      <w:bookmarkStart w:id="4" w:name="OLE_LINK2"/>
      <w:r>
        <w:rPr>
          <w:rFonts w:hint="eastAsia" w:ascii="仿宋_GB2312" w:hAnsi="仿宋" w:eastAsia="仿宋_GB2312" w:cs="仿宋"/>
          <w:color w:val="000000"/>
          <w:sz w:val="32"/>
          <w:szCs w:val="32"/>
        </w:rPr>
        <w:t>深圳市罗湖区南湖路3018号（深圳富苑皇冠假日套房酒店）</w:t>
      </w:r>
      <w:bookmarkEnd w:id="3"/>
      <w:bookmarkEnd w:id="4"/>
    </w:p>
    <w:p>
      <w:pPr>
        <w:pStyle w:val="13"/>
        <w:tabs>
          <w:tab w:val="left" w:pos="1035"/>
        </w:tabs>
        <w:spacing w:line="560" w:lineRule="exact"/>
        <w:ind w:firstLine="640" w:firstLineChars="200"/>
        <w:rPr>
          <w:rFonts w:eastAsia="楷体_GB2312"/>
          <w:sz w:val="32"/>
          <w:szCs w:val="32"/>
        </w:rPr>
      </w:pPr>
      <w:r>
        <w:rPr>
          <w:rFonts w:eastAsia="楷体_GB2312"/>
          <w:sz w:val="32"/>
          <w:szCs w:val="32"/>
        </w:rPr>
        <w:t>（四）竞赛内容</w:t>
      </w:r>
    </w:p>
    <w:p>
      <w:pPr>
        <w:spacing w:line="560" w:lineRule="exact"/>
        <w:ind w:firstLine="640" w:firstLineChars="200"/>
        <w:rPr>
          <w:rFonts w:ascii="仿宋" w:hAnsi="仿宋" w:eastAsia="仿宋" w:cs="仿宋"/>
          <w:color w:val="000000"/>
          <w:sz w:val="32"/>
          <w:szCs w:val="28"/>
        </w:rPr>
      </w:pPr>
      <w:r>
        <w:rPr>
          <w:rFonts w:hint="eastAsia" w:ascii="仿宋" w:hAnsi="仿宋" w:eastAsia="仿宋" w:cs="仿宋"/>
          <w:color w:val="000000"/>
          <w:sz w:val="32"/>
          <w:szCs w:val="28"/>
        </w:rPr>
        <w:t>1.初赛</w:t>
      </w:r>
    </w:p>
    <w:tbl>
      <w:tblPr>
        <w:tblStyle w:val="9"/>
        <w:tblW w:w="9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738"/>
        <w:gridCol w:w="5686"/>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6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pacing w:val="-6"/>
                <w:sz w:val="28"/>
              </w:rPr>
            </w:pPr>
            <w:r>
              <w:rPr>
                <w:rFonts w:hint="eastAsia" w:ascii="仿宋" w:hAnsi="仿宋" w:eastAsia="仿宋" w:cs="仿宋"/>
                <w:b/>
                <w:sz w:val="28"/>
                <w:szCs w:val="32"/>
              </w:rPr>
              <w:t>竞赛</w:t>
            </w:r>
            <w:r>
              <w:rPr>
                <w:rFonts w:hint="eastAsia" w:ascii="仿宋" w:hAnsi="仿宋" w:eastAsia="仿宋" w:cs="仿宋"/>
                <w:b/>
                <w:sz w:val="28"/>
              </w:rPr>
              <w:t>范围</w:t>
            </w:r>
          </w:p>
        </w:tc>
        <w:tc>
          <w:tcPr>
            <w:tcW w:w="56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pacing w:val="-6"/>
                <w:sz w:val="28"/>
              </w:rPr>
            </w:pPr>
            <w:r>
              <w:rPr>
                <w:rFonts w:hint="eastAsia" w:ascii="仿宋" w:hAnsi="仿宋" w:eastAsia="仿宋" w:cs="仿宋"/>
                <w:b/>
                <w:sz w:val="28"/>
                <w:szCs w:val="32"/>
              </w:rPr>
              <w:t>竞赛</w:t>
            </w:r>
            <w:r>
              <w:rPr>
                <w:rFonts w:hint="eastAsia" w:ascii="仿宋" w:hAnsi="仿宋" w:eastAsia="仿宋" w:cs="仿宋"/>
                <w:b/>
                <w:sz w:val="28"/>
              </w:rPr>
              <w:t>内容</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 w:val="28"/>
                <w:szCs w:val="32"/>
              </w:rPr>
            </w:pPr>
            <w:r>
              <w:rPr>
                <w:rFonts w:hint="eastAsia" w:ascii="仿宋" w:hAnsi="仿宋" w:eastAsia="仿宋" w:cs="仿宋"/>
                <w:b/>
                <w:sz w:val="28"/>
                <w:szCs w:val="32"/>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65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bookmarkStart w:id="5" w:name="_Hlk520708908"/>
            <w:r>
              <w:rPr>
                <w:rFonts w:hint="eastAsia" w:ascii="仿宋" w:hAnsi="仿宋" w:eastAsia="仿宋" w:cs="仿宋"/>
                <w:color w:val="000000"/>
                <w:sz w:val="28"/>
                <w:szCs w:val="28"/>
              </w:rPr>
              <w:t>职业道德</w:t>
            </w:r>
          </w:p>
        </w:tc>
        <w:tc>
          <w:tcPr>
            <w:tcW w:w="56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职业道德基本知识；职业守则。</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32"/>
              </w:rPr>
            </w:pPr>
            <w:r>
              <w:rPr>
                <w:rFonts w:hint="eastAsia" w:ascii="仿宋" w:hAnsi="仿宋" w:eastAsia="仿宋" w:cs="仿宋"/>
                <w:color w:val="000000"/>
                <w:sz w:val="28"/>
                <w:szCs w:val="28"/>
              </w:rPr>
              <w:t>5%</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917" w:type="dxa"/>
            <w:vMerge w:val="restart"/>
            <w:tcBorders>
              <w:left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基础知识</w:t>
            </w:r>
          </w:p>
        </w:tc>
        <w:tc>
          <w:tcPr>
            <w:tcW w:w="173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制图基本知识</w:t>
            </w:r>
          </w:p>
        </w:tc>
        <w:tc>
          <w:tcPr>
            <w:tcW w:w="56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制图国家标准；正投影、轴测投影、透视投影的相关知识及形体表示方法；工程图识读方法。</w:t>
            </w:r>
          </w:p>
        </w:tc>
        <w:tc>
          <w:tcPr>
            <w:tcW w:w="1244" w:type="dxa"/>
            <w:vMerge w:val="restart"/>
            <w:tcBorders>
              <w:left w:val="single" w:color="auto" w:sz="4" w:space="0"/>
              <w:right w:val="single" w:color="auto" w:sz="4" w:space="0"/>
            </w:tcBorders>
            <w:vAlign w:val="center"/>
          </w:tcPr>
          <w:p>
            <w:pPr>
              <w:widowControl/>
              <w:adjustRightInd w:val="0"/>
              <w:snapToGrid w:val="0"/>
              <w:jc w:val="center"/>
              <w:rPr>
                <w:rFonts w:ascii="仿宋_GB2312" w:eastAsia="仿宋_GB2312"/>
                <w:sz w:val="24"/>
              </w:rPr>
            </w:pPr>
            <w:r>
              <w:rPr>
                <w:rFonts w:hint="eastAsia" w:ascii="仿宋" w:hAnsi="仿宋" w:eastAsia="仿宋" w:cs="仿宋"/>
                <w:color w:val="00000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917" w:type="dxa"/>
            <w:vMerge w:val="continue"/>
            <w:tcBorders>
              <w:left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建筑信息模型基础知识</w:t>
            </w:r>
          </w:p>
        </w:tc>
        <w:tc>
          <w:tcPr>
            <w:tcW w:w="56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建筑信息模型概念及应用现状；建筑信息模型特点、作用和价值；建筑信息模型应用软硬件及分类；项目各阶段建筑信息模型应用；建筑信息模型应用工作组织与流程。</w:t>
            </w:r>
          </w:p>
        </w:tc>
        <w:tc>
          <w:tcPr>
            <w:tcW w:w="1244" w:type="dxa"/>
            <w:vMerge w:val="continue"/>
            <w:tcBorders>
              <w:left w:val="single" w:color="auto" w:sz="4" w:space="0"/>
              <w:right w:val="single" w:color="auto" w:sz="4" w:space="0"/>
            </w:tcBorders>
            <w:vAlign w:val="center"/>
          </w:tcPr>
          <w:p>
            <w:pPr>
              <w:widowControl/>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917" w:type="dxa"/>
            <w:vMerge w:val="continue"/>
            <w:tcBorders>
              <w:left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相关法律、法规知识</w:t>
            </w:r>
          </w:p>
        </w:tc>
        <w:tc>
          <w:tcPr>
            <w:tcW w:w="56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《中华人民共和国劳动法》相关知识；《中华人民共和国劳动合同法》相关知识 ；《中华人民共和国建筑法》相关知识；《中华人民共和国招标</w:t>
            </w:r>
            <w:bookmarkStart w:id="14" w:name="_GoBack"/>
            <w:bookmarkEnd w:id="14"/>
            <w:r>
              <w:rPr>
                <w:rFonts w:hint="eastAsia" w:ascii="仿宋" w:hAnsi="仿宋" w:eastAsia="仿宋" w:cs="仿宋"/>
                <w:color w:val="000000"/>
                <w:sz w:val="28"/>
                <w:szCs w:val="28"/>
              </w:rPr>
              <w:t>投标法》相关知识；《中华人民共和国经济合同法》相关知识。</w:t>
            </w:r>
          </w:p>
        </w:tc>
        <w:tc>
          <w:tcPr>
            <w:tcW w:w="1244"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917" w:type="dxa"/>
            <w:vMerge w:val="restart"/>
            <w:tcBorders>
              <w:top w:val="single" w:color="auto" w:sz="4" w:space="0"/>
              <w:left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专业知识</w:t>
            </w:r>
          </w:p>
        </w:tc>
        <w:tc>
          <w:tcPr>
            <w:tcW w:w="173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建模环境设置</w:t>
            </w:r>
          </w:p>
        </w:tc>
        <w:tc>
          <w:tcPr>
            <w:tcW w:w="56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建筑信息模型；建模软件安装知识；项目基本参数设置方法；项目样板使用方法。</w:t>
            </w:r>
          </w:p>
        </w:tc>
        <w:tc>
          <w:tcPr>
            <w:tcW w:w="1244"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 w:hAnsi="仿宋" w:eastAsia="仿宋" w:cs="仿宋"/>
                <w:color w:val="000000"/>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917" w:type="dxa"/>
            <w:vMerge w:val="continue"/>
            <w:tcBorders>
              <w:left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创建基准图元</w:t>
            </w:r>
          </w:p>
        </w:tc>
        <w:tc>
          <w:tcPr>
            <w:tcW w:w="56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建模规则要求；基准图元的创建方法。</w:t>
            </w:r>
          </w:p>
        </w:tc>
        <w:tc>
          <w:tcPr>
            <w:tcW w:w="1244" w:type="dxa"/>
            <w:vMerge w:val="continue"/>
            <w:tcBorders>
              <w:left w:val="single" w:color="auto" w:sz="4" w:space="0"/>
              <w:right w:val="single" w:color="auto" w:sz="4" w:space="0"/>
            </w:tcBorders>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917" w:type="dxa"/>
            <w:vMerge w:val="continue"/>
            <w:tcBorders>
              <w:left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模型浏览</w:t>
            </w:r>
          </w:p>
        </w:tc>
        <w:tc>
          <w:tcPr>
            <w:tcW w:w="56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过滤、筛分查看模型的方法；多窗口浏览、对比查看模型的方法。</w:t>
            </w:r>
          </w:p>
        </w:tc>
        <w:tc>
          <w:tcPr>
            <w:tcW w:w="1244" w:type="dxa"/>
            <w:vMerge w:val="continue"/>
            <w:tcBorders>
              <w:left w:val="single" w:color="auto" w:sz="4" w:space="0"/>
              <w:right w:val="single" w:color="auto" w:sz="4" w:space="0"/>
            </w:tcBorders>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917" w:type="dxa"/>
            <w:vMerge w:val="continue"/>
            <w:tcBorders>
              <w:left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模型编辑</w:t>
            </w:r>
          </w:p>
        </w:tc>
        <w:tc>
          <w:tcPr>
            <w:tcW w:w="56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图元属性的选择与定义要求；图元属性的编辑与修改方法。</w:t>
            </w:r>
          </w:p>
        </w:tc>
        <w:tc>
          <w:tcPr>
            <w:tcW w:w="1244" w:type="dxa"/>
            <w:vMerge w:val="continue"/>
            <w:tcBorders>
              <w:left w:val="single" w:color="auto" w:sz="4" w:space="0"/>
              <w:right w:val="single" w:color="auto" w:sz="4" w:space="0"/>
            </w:tcBorders>
            <w:vAlign w:val="center"/>
          </w:tcPr>
          <w:p>
            <w:pPr>
              <w:kinsoku w:val="0"/>
              <w:overflowPunct w:val="0"/>
              <w:autoSpaceDE w:val="0"/>
              <w:autoSpaceDN w:val="0"/>
              <w:adjustRightInd w:val="0"/>
              <w:spacing w:before="118"/>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917" w:type="dxa"/>
            <w:vMerge w:val="continue"/>
            <w:tcBorders>
              <w:left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创建视图</w:t>
            </w:r>
          </w:p>
        </w:tc>
        <w:tc>
          <w:tcPr>
            <w:tcW w:w="56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平面视图、立面视图、剖面视图、三维视图的创建方法。</w:t>
            </w:r>
          </w:p>
        </w:tc>
        <w:tc>
          <w:tcPr>
            <w:tcW w:w="1244" w:type="dxa"/>
            <w:vMerge w:val="continue"/>
            <w:tcBorders>
              <w:left w:val="single" w:color="auto" w:sz="4" w:space="0"/>
              <w:right w:val="single" w:color="auto" w:sz="4" w:space="0"/>
            </w:tcBorders>
            <w:vAlign w:val="center"/>
          </w:tcPr>
          <w:p>
            <w:pPr>
              <w:kinsoku w:val="0"/>
              <w:overflowPunct w:val="0"/>
              <w:autoSpaceDE w:val="0"/>
              <w:autoSpaceDN w:val="0"/>
              <w:adjustRightInd w:val="0"/>
              <w:spacing w:before="118"/>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17" w:type="dxa"/>
            <w:vMerge w:val="continue"/>
            <w:tcBorders>
              <w:left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模型保存</w:t>
            </w:r>
          </w:p>
        </w:tc>
        <w:tc>
          <w:tcPr>
            <w:tcW w:w="56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特定版本建模软件的选择方法；建模软件输出模型成果的方法。</w:t>
            </w:r>
          </w:p>
        </w:tc>
        <w:tc>
          <w:tcPr>
            <w:tcW w:w="1244"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p>
        </w:tc>
      </w:tr>
    </w:tbl>
    <w:p>
      <w:pPr>
        <w:spacing w:line="560" w:lineRule="exact"/>
        <w:ind w:firstLine="640" w:firstLineChars="200"/>
        <w:jc w:val="left"/>
        <w:rPr>
          <w:rFonts w:ascii="仿宋" w:hAnsi="仿宋" w:eastAsia="仿宋" w:cs="仿宋"/>
          <w:color w:val="000000"/>
          <w:sz w:val="32"/>
          <w:szCs w:val="28"/>
        </w:rPr>
      </w:pPr>
      <w:bookmarkStart w:id="6" w:name="_Hlk517772345"/>
      <w:r>
        <w:rPr>
          <w:rFonts w:hint="eastAsia" w:ascii="仿宋" w:hAnsi="仿宋" w:eastAsia="仿宋" w:cs="仿宋"/>
          <w:color w:val="000000"/>
          <w:sz w:val="32"/>
          <w:szCs w:val="28"/>
        </w:rPr>
        <w:t>2.</w:t>
      </w:r>
      <w:bookmarkEnd w:id="6"/>
      <w:r>
        <w:rPr>
          <w:rFonts w:hint="eastAsia" w:ascii="仿宋" w:hAnsi="仿宋" w:eastAsia="仿宋" w:cs="仿宋"/>
          <w:color w:val="000000"/>
          <w:sz w:val="32"/>
          <w:szCs w:val="28"/>
        </w:rPr>
        <w:t>决赛</w:t>
      </w:r>
    </w:p>
    <w:tbl>
      <w:tblPr>
        <w:tblStyle w:val="9"/>
        <w:tblW w:w="9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5944"/>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368" w:type="dxa"/>
            <w:tcBorders>
              <w:top w:val="single" w:color="auto" w:sz="4" w:space="0"/>
              <w:left w:val="single" w:color="auto" w:sz="4" w:space="0"/>
              <w:bottom w:val="single" w:color="auto" w:sz="4" w:space="0"/>
              <w:right w:val="single" w:color="auto" w:sz="4" w:space="0"/>
            </w:tcBorders>
            <w:vAlign w:val="center"/>
          </w:tcPr>
          <w:p>
            <w:pPr>
              <w:pStyle w:val="4"/>
              <w:spacing w:line="360" w:lineRule="exact"/>
              <w:jc w:val="center"/>
              <w:rPr>
                <w:rFonts w:ascii="仿宋" w:hAnsi="仿宋" w:eastAsia="仿宋" w:cs="仿宋"/>
                <w:b/>
                <w:sz w:val="28"/>
                <w:szCs w:val="28"/>
              </w:rPr>
            </w:pPr>
            <w:r>
              <w:rPr>
                <w:rFonts w:hint="eastAsia" w:ascii="仿宋" w:hAnsi="仿宋" w:eastAsia="仿宋" w:cs="仿宋"/>
                <w:b/>
                <w:sz w:val="28"/>
                <w:szCs w:val="28"/>
              </w:rPr>
              <w:t>实操成果</w:t>
            </w:r>
          </w:p>
        </w:tc>
        <w:tc>
          <w:tcPr>
            <w:tcW w:w="5944" w:type="dxa"/>
            <w:tcBorders>
              <w:top w:val="single" w:color="auto" w:sz="4" w:space="0"/>
              <w:left w:val="single" w:color="auto" w:sz="4" w:space="0"/>
              <w:bottom w:val="single" w:color="auto" w:sz="4" w:space="0"/>
              <w:right w:val="single" w:color="auto" w:sz="4" w:space="0"/>
            </w:tcBorders>
            <w:vAlign w:val="center"/>
          </w:tcPr>
          <w:p>
            <w:pPr>
              <w:pStyle w:val="4"/>
              <w:spacing w:line="360" w:lineRule="exact"/>
              <w:jc w:val="center"/>
              <w:rPr>
                <w:rFonts w:ascii="仿宋" w:hAnsi="仿宋" w:eastAsia="仿宋" w:cs="仿宋"/>
                <w:b/>
                <w:sz w:val="28"/>
                <w:szCs w:val="28"/>
              </w:rPr>
            </w:pPr>
            <w:r>
              <w:rPr>
                <w:rFonts w:hint="eastAsia" w:ascii="仿宋" w:hAnsi="仿宋" w:eastAsia="仿宋" w:cs="仿宋"/>
                <w:b/>
                <w:sz w:val="28"/>
                <w:szCs w:val="32"/>
              </w:rPr>
              <w:t>竞赛</w:t>
            </w:r>
            <w:r>
              <w:rPr>
                <w:rFonts w:hint="eastAsia" w:ascii="仿宋" w:hAnsi="仿宋" w:eastAsia="仿宋" w:cs="仿宋"/>
                <w:b/>
                <w:sz w:val="28"/>
                <w:szCs w:val="28"/>
              </w:rPr>
              <w:t>内容 (建筑装饰专业)</w:t>
            </w:r>
          </w:p>
        </w:tc>
        <w:tc>
          <w:tcPr>
            <w:tcW w:w="1245" w:type="dxa"/>
            <w:tcBorders>
              <w:top w:val="single" w:color="auto" w:sz="4" w:space="0"/>
              <w:left w:val="single" w:color="auto" w:sz="4" w:space="0"/>
              <w:bottom w:val="single" w:color="auto" w:sz="4" w:space="0"/>
              <w:right w:val="single" w:color="auto" w:sz="4" w:space="0"/>
            </w:tcBorders>
            <w:vAlign w:val="center"/>
          </w:tcPr>
          <w:p>
            <w:pPr>
              <w:pStyle w:val="4"/>
              <w:spacing w:line="360" w:lineRule="exact"/>
              <w:jc w:val="center"/>
              <w:rPr>
                <w:rFonts w:ascii="仿宋" w:hAnsi="仿宋" w:eastAsia="仿宋" w:cs="仿宋"/>
                <w:b/>
                <w:sz w:val="28"/>
                <w:szCs w:val="28"/>
              </w:rPr>
            </w:pPr>
            <w:r>
              <w:rPr>
                <w:rFonts w:hint="eastAsia" w:ascii="仿宋" w:hAnsi="仿宋" w:eastAsia="仿宋" w:cs="仿宋"/>
                <w:b/>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jc w:val="center"/>
        </w:trPr>
        <w:tc>
          <w:tcPr>
            <w:tcW w:w="236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建模准备</w:t>
            </w:r>
          </w:p>
        </w:tc>
        <w:tc>
          <w:tcPr>
            <w:tcW w:w="594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识别项目建模流程；按照建模规则确定建模精细度；识别并整理所需的建模图纸。</w:t>
            </w:r>
          </w:p>
        </w:tc>
        <w:tc>
          <w:tcPr>
            <w:tcW w:w="124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4" w:hRule="atLeast"/>
          <w:jc w:val="center"/>
        </w:trPr>
        <w:tc>
          <w:tcPr>
            <w:tcW w:w="236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创建实体</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构件图元</w:t>
            </w:r>
          </w:p>
        </w:tc>
        <w:tc>
          <w:tcPr>
            <w:tcW w:w="594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使用建模软件创建建筑物、构筑物的主体构件；使用建模软件创建建筑物、构筑物的附属构件；为构件添加材质、标识等非几何信息。</w:t>
            </w:r>
          </w:p>
        </w:tc>
        <w:tc>
          <w:tcPr>
            <w:tcW w:w="124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4" w:hRule="atLeast"/>
          <w:jc w:val="center"/>
        </w:trPr>
        <w:tc>
          <w:tcPr>
            <w:tcW w:w="236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标记</w:t>
            </w:r>
          </w:p>
        </w:tc>
        <w:tc>
          <w:tcPr>
            <w:tcW w:w="594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使用建模软件对构件类别、构件材质、构件属性进行标记；使用建模软件对构件添加文字注释；使用建模软件对构件添加详图注释。</w:t>
            </w:r>
          </w:p>
        </w:tc>
        <w:tc>
          <w:tcPr>
            <w:tcW w:w="124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4" w:hRule="atLeast"/>
          <w:jc w:val="center"/>
        </w:trPr>
        <w:tc>
          <w:tcPr>
            <w:tcW w:w="236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图纸创建</w:t>
            </w:r>
          </w:p>
        </w:tc>
        <w:tc>
          <w:tcPr>
            <w:tcW w:w="594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对视图进行设置并合理布置图纸；设置图纸中的图层、线型、文字等内容；创建构件属性表，将模型中的构件属性提取后并以表格的形式进行显示。</w:t>
            </w:r>
          </w:p>
        </w:tc>
        <w:tc>
          <w:tcPr>
            <w:tcW w:w="124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w:t>
            </w:r>
          </w:p>
        </w:tc>
      </w:tr>
    </w:tbl>
    <w:p>
      <w:pPr>
        <w:spacing w:line="560" w:lineRule="exact"/>
        <w:ind w:firstLine="640" w:firstLineChars="200"/>
        <w:rPr>
          <w:rFonts w:eastAsia="黑体"/>
          <w:color w:val="000000"/>
          <w:sz w:val="32"/>
          <w:szCs w:val="32"/>
        </w:rPr>
      </w:pPr>
      <w:r>
        <w:rPr>
          <w:rFonts w:eastAsia="黑体"/>
          <w:color w:val="000000"/>
          <w:sz w:val="32"/>
          <w:szCs w:val="32"/>
        </w:rPr>
        <w:t>二、评分标准</w:t>
      </w:r>
    </w:p>
    <w:p>
      <w:pPr>
        <w:adjustRightInd w:val="0"/>
        <w:snapToGrid w:val="0"/>
        <w:spacing w:line="560" w:lineRule="exact"/>
        <w:ind w:firstLine="640" w:firstLineChars="200"/>
        <w:rPr>
          <w:rFonts w:eastAsia="楷体_GB2312"/>
          <w:color w:val="000000"/>
          <w:sz w:val="32"/>
          <w:szCs w:val="32"/>
        </w:rPr>
      </w:pPr>
      <w:bookmarkStart w:id="7" w:name="_Hlk517772396"/>
      <w:r>
        <w:rPr>
          <w:rFonts w:eastAsia="楷体_GB2312"/>
          <w:color w:val="000000"/>
          <w:sz w:val="32"/>
          <w:szCs w:val="32"/>
        </w:rPr>
        <w:t>（一）初赛评分标准</w:t>
      </w:r>
    </w:p>
    <w:p>
      <w:pPr>
        <w:pStyle w:val="12"/>
        <w:spacing w:line="560" w:lineRule="exact"/>
        <w:ind w:firstLine="640" w:firstLineChars="200"/>
        <w:rPr>
          <w:rFonts w:ascii="仿宋_GB2312" w:hAnsi="仿宋" w:eastAsia="仿宋_GB2312" w:cs="仿宋"/>
          <w:sz w:val="28"/>
          <w:szCs w:val="28"/>
        </w:rPr>
      </w:pPr>
      <w:r>
        <w:rPr>
          <w:rFonts w:hint="eastAsia" w:ascii="仿宋_GB2312" w:hAnsi="仿宋" w:eastAsia="仿宋_GB2312" w:cs="仿宋"/>
          <w:sz w:val="32"/>
          <w:szCs w:val="32"/>
        </w:rPr>
        <w:t>题型为单选题、多选题和判断题，单选题共30题，每题2分；多选题共10题，每题3分；判断题共10题，每题1分；各题型错选、多选或少选均不得分。</w:t>
      </w:r>
      <w:bookmarkEnd w:id="7"/>
    </w:p>
    <w:p>
      <w:pPr>
        <w:adjustRightInd w:val="0"/>
        <w:snapToGrid w:val="0"/>
        <w:spacing w:line="560" w:lineRule="exact"/>
        <w:ind w:firstLine="640" w:firstLineChars="200"/>
        <w:rPr>
          <w:rFonts w:eastAsia="楷体_GB2312"/>
          <w:color w:val="000000"/>
          <w:sz w:val="32"/>
          <w:szCs w:val="32"/>
        </w:rPr>
      </w:pPr>
      <w:bookmarkStart w:id="8" w:name="_Hlk517772412"/>
      <w:r>
        <w:rPr>
          <w:rFonts w:eastAsia="楷体_GB2312"/>
          <w:color w:val="000000"/>
          <w:sz w:val="32"/>
          <w:szCs w:val="32"/>
        </w:rPr>
        <w:t>（二）决赛评分标准</w:t>
      </w:r>
      <w:bookmarkEnd w:id="8"/>
    </w:p>
    <w:tbl>
      <w:tblPr>
        <w:tblStyle w:val="9"/>
        <w:tblW w:w="9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4090"/>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pStyle w:val="4"/>
              <w:spacing w:line="360" w:lineRule="exact"/>
              <w:jc w:val="center"/>
              <w:rPr>
                <w:rFonts w:ascii="仿宋" w:hAnsi="仿宋" w:eastAsia="仿宋" w:cs="仿宋"/>
                <w:b/>
                <w:sz w:val="28"/>
                <w:szCs w:val="28"/>
              </w:rPr>
            </w:pPr>
            <w:r>
              <w:rPr>
                <w:rFonts w:hint="eastAsia" w:ascii="仿宋" w:hAnsi="仿宋" w:eastAsia="仿宋" w:cs="仿宋"/>
                <w:b/>
                <w:sz w:val="28"/>
                <w:szCs w:val="32"/>
              </w:rPr>
              <w:t>竞赛</w:t>
            </w:r>
            <w:r>
              <w:rPr>
                <w:rFonts w:hint="eastAsia" w:ascii="仿宋" w:hAnsi="仿宋" w:eastAsia="仿宋" w:cs="仿宋"/>
                <w:b/>
                <w:sz w:val="28"/>
                <w:szCs w:val="28"/>
              </w:rPr>
              <w:t>项目</w:t>
            </w:r>
          </w:p>
        </w:tc>
        <w:tc>
          <w:tcPr>
            <w:tcW w:w="4090" w:type="dxa"/>
            <w:tcBorders>
              <w:top w:val="single" w:color="auto" w:sz="4" w:space="0"/>
              <w:left w:val="single" w:color="auto" w:sz="4" w:space="0"/>
              <w:bottom w:val="single" w:color="auto" w:sz="4" w:space="0"/>
              <w:right w:val="single" w:color="auto" w:sz="4" w:space="0"/>
            </w:tcBorders>
            <w:vAlign w:val="center"/>
          </w:tcPr>
          <w:p>
            <w:pPr>
              <w:pStyle w:val="4"/>
              <w:spacing w:line="360" w:lineRule="exact"/>
              <w:jc w:val="center"/>
              <w:rPr>
                <w:rFonts w:ascii="仿宋" w:hAnsi="仿宋" w:eastAsia="仿宋" w:cs="仿宋"/>
                <w:b/>
                <w:sz w:val="28"/>
                <w:szCs w:val="28"/>
              </w:rPr>
            </w:pPr>
            <w:r>
              <w:rPr>
                <w:rFonts w:hint="eastAsia" w:ascii="仿宋" w:hAnsi="仿宋" w:eastAsia="仿宋" w:cs="仿宋"/>
                <w:b/>
                <w:sz w:val="28"/>
                <w:szCs w:val="32"/>
              </w:rPr>
              <w:t>竞赛</w:t>
            </w:r>
            <w:r>
              <w:rPr>
                <w:rFonts w:hint="eastAsia" w:ascii="仿宋" w:hAnsi="仿宋" w:eastAsia="仿宋" w:cs="仿宋"/>
                <w:b/>
                <w:sz w:val="28"/>
                <w:szCs w:val="28"/>
              </w:rPr>
              <w:t>内容</w:t>
            </w:r>
          </w:p>
        </w:tc>
        <w:tc>
          <w:tcPr>
            <w:tcW w:w="3993" w:type="dxa"/>
            <w:tcBorders>
              <w:top w:val="single" w:color="auto" w:sz="4" w:space="0"/>
              <w:left w:val="single" w:color="auto" w:sz="4" w:space="0"/>
              <w:bottom w:val="single" w:color="auto" w:sz="4" w:space="0"/>
              <w:right w:val="single" w:color="auto" w:sz="4" w:space="0"/>
            </w:tcBorders>
            <w:vAlign w:val="center"/>
          </w:tcPr>
          <w:p>
            <w:pPr>
              <w:pStyle w:val="4"/>
              <w:spacing w:line="360" w:lineRule="exact"/>
              <w:jc w:val="center"/>
              <w:rPr>
                <w:rFonts w:ascii="仿宋" w:hAnsi="仿宋" w:eastAsia="仿宋" w:cs="仿宋"/>
                <w:b/>
                <w:sz w:val="28"/>
                <w:szCs w:val="28"/>
              </w:rPr>
            </w:pPr>
            <w:r>
              <w:rPr>
                <w:rFonts w:hint="eastAsia" w:ascii="仿宋" w:hAnsi="仿宋" w:eastAsia="仿宋" w:cs="仿宋"/>
                <w:b/>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0"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建模准备</w:t>
            </w:r>
          </w:p>
        </w:tc>
        <w:tc>
          <w:tcPr>
            <w:tcW w:w="409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识别项目建模流程；按照建模规则确定建模精细度；识别并整理所需的建模图纸。</w:t>
            </w:r>
          </w:p>
        </w:tc>
        <w:tc>
          <w:tcPr>
            <w:tcW w:w="399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1.建模流程完整度0-2分</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2.建模精准度0-2分</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3.建模图纸整理情况0-1分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创建实体</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构件图元</w:t>
            </w:r>
          </w:p>
        </w:tc>
        <w:tc>
          <w:tcPr>
            <w:tcW w:w="409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使用建模软件创建建筑物、构筑物的主体构件；使用建模软件创建建筑物、构筑物的附属构件；为构件添加材质、标识等非几何信息。</w:t>
            </w:r>
          </w:p>
        </w:tc>
        <w:tc>
          <w:tcPr>
            <w:tcW w:w="399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1.主体构件完整度0-30分</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2.附属构件完整度0-30分</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3.非几何信息添加情况0-15分</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如相对应构件完成度达不到要求扣除1-15分。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标记</w:t>
            </w:r>
          </w:p>
        </w:tc>
        <w:tc>
          <w:tcPr>
            <w:tcW w:w="409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使用建模软件对构件类别、构件材质、构件属性进行标记；使用建模软件对构件添加文字注释；使用建模软件对构件添加详图注释。</w:t>
            </w:r>
          </w:p>
        </w:tc>
        <w:tc>
          <w:tcPr>
            <w:tcW w:w="399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1.属性标记准确度0-6分</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2.构件文字注释添加准确度0-2分</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3.构件详图注释添加准确度0-2分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图纸创建</w:t>
            </w:r>
          </w:p>
        </w:tc>
        <w:tc>
          <w:tcPr>
            <w:tcW w:w="409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对视图进行设置并合理布置图纸；设置图纸中的图层、线型、文字等内容；创建构件属性表，将模型中的构件属性提取后并以表格的形式进行显示。</w:t>
            </w:r>
          </w:p>
        </w:tc>
        <w:tc>
          <w:tcPr>
            <w:tcW w:w="399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1.视图设置0-2分</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2.图纸布置合理度0-2分</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3.图纸内容设置完成度0-2分</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4.构件属性表创建完成度0-3分</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5.构件属性表表格显示情况0-1分</w:t>
            </w:r>
          </w:p>
        </w:tc>
      </w:tr>
    </w:tbl>
    <w:p>
      <w:pPr>
        <w:spacing w:line="560" w:lineRule="exact"/>
        <w:ind w:firstLine="640" w:firstLineChars="200"/>
        <w:rPr>
          <w:rFonts w:eastAsia="黑体"/>
          <w:color w:val="000000"/>
          <w:sz w:val="32"/>
          <w:szCs w:val="32"/>
        </w:rPr>
      </w:pPr>
      <w:r>
        <w:rPr>
          <w:rFonts w:eastAsia="黑体"/>
          <w:color w:val="000000"/>
          <w:sz w:val="32"/>
          <w:szCs w:val="32"/>
        </w:rPr>
        <w:t>三、成绩评定办法</w:t>
      </w:r>
    </w:p>
    <w:p>
      <w:pPr>
        <w:spacing w:line="560" w:lineRule="exact"/>
        <w:ind w:firstLine="640" w:firstLineChars="200"/>
        <w:rPr>
          <w:rFonts w:ascii="仿宋_GB2312" w:hAnsi="仿宋" w:eastAsia="仿宋_GB2312" w:cs="仿宋"/>
          <w:color w:val="000000"/>
          <w:sz w:val="32"/>
          <w:szCs w:val="32"/>
        </w:rPr>
      </w:pPr>
      <w:bookmarkStart w:id="9" w:name="_Hlk517772471"/>
      <w:r>
        <w:rPr>
          <w:rFonts w:hint="eastAsia" w:ascii="仿宋_GB2312" w:hAnsi="仿宋" w:eastAsia="仿宋_GB2312" w:cs="仿宋"/>
          <w:color w:val="000000"/>
          <w:sz w:val="32"/>
          <w:szCs w:val="32"/>
        </w:rPr>
        <w:t>（一）竞赛成绩由现场裁判组依据参赛选手的实际操作情况按竞赛评分标准进行评判、计分</w:t>
      </w:r>
      <w:bookmarkEnd w:id="9"/>
      <w:r>
        <w:rPr>
          <w:rFonts w:hint="eastAsia" w:ascii="仿宋_GB2312" w:hAnsi="仿宋" w:eastAsia="仿宋_GB2312" w:cs="仿宋"/>
          <w:color w:val="000000"/>
          <w:sz w:val="32"/>
          <w:szCs w:val="32"/>
        </w:rPr>
        <w:t>；</w:t>
      </w:r>
    </w:p>
    <w:p>
      <w:pPr>
        <w:spacing w:line="560" w:lineRule="exact"/>
        <w:ind w:firstLine="640" w:firstLineChars="200"/>
        <w:rPr>
          <w:rFonts w:ascii="仿宋_GB2312" w:hAnsi="仿宋" w:eastAsia="仿宋_GB2312" w:cs="仿宋"/>
          <w:color w:val="000000"/>
          <w:sz w:val="32"/>
          <w:szCs w:val="32"/>
        </w:rPr>
      </w:pPr>
      <w:bookmarkStart w:id="10" w:name="_Hlk517772541"/>
      <w:r>
        <w:rPr>
          <w:rFonts w:hint="eastAsia" w:ascii="仿宋_GB2312" w:hAnsi="仿宋" w:eastAsia="仿宋_GB2312" w:cs="仿宋"/>
          <w:color w:val="000000"/>
          <w:sz w:val="32"/>
          <w:szCs w:val="32"/>
        </w:rPr>
        <w:t>（二）参赛选手最终名次依据初赛和决赛两部分成绩按比例累加的综合成绩进行排名。其中初赛成绩占30%、决赛成绩占70%，参赛选手赛后综合成绩=初赛成绩*30%+决赛成绩*70%。当综合成绩相同时，以决赛成绩高者名次在前，若仍相同时，决赛用时短者名次在前。</w:t>
      </w:r>
      <w:bookmarkEnd w:id="10"/>
    </w:p>
    <w:p>
      <w:pPr>
        <w:spacing w:line="560" w:lineRule="exact"/>
        <w:ind w:firstLine="640" w:firstLineChars="200"/>
        <w:rPr>
          <w:rFonts w:eastAsia="黑体"/>
          <w:sz w:val="32"/>
          <w:szCs w:val="32"/>
        </w:rPr>
      </w:pPr>
      <w:r>
        <w:rPr>
          <w:rFonts w:eastAsia="黑体"/>
          <w:sz w:val="32"/>
          <w:szCs w:val="32"/>
        </w:rPr>
        <w:t>四、竞赛场地与设备</w:t>
      </w:r>
    </w:p>
    <w:p>
      <w:pPr>
        <w:spacing w:line="560" w:lineRule="exact"/>
        <w:ind w:firstLine="640" w:firstLineChars="200"/>
        <w:jc w:val="left"/>
        <w:rPr>
          <w:rFonts w:eastAsia="仿宋_GB2312"/>
          <w:sz w:val="32"/>
          <w:szCs w:val="32"/>
        </w:rPr>
      </w:pPr>
      <w:bookmarkStart w:id="11" w:name="_Hlk517772672"/>
      <w:r>
        <w:rPr>
          <w:rFonts w:eastAsia="楷体_GB2312"/>
          <w:sz w:val="32"/>
          <w:szCs w:val="32"/>
        </w:rPr>
        <w:t>（一）竞赛场地</w:t>
      </w:r>
    </w:p>
    <w:bookmarkEnd w:id="11"/>
    <w:p>
      <w:pPr>
        <w:spacing w:line="560" w:lineRule="exact"/>
        <w:ind w:firstLine="640" w:firstLineChars="200"/>
        <w:rPr>
          <w:rFonts w:ascii="仿宋_GB2312" w:hAnsi="仿宋" w:eastAsia="仿宋_GB2312" w:cs="仿宋"/>
          <w:color w:val="000000"/>
          <w:sz w:val="32"/>
          <w:szCs w:val="32"/>
        </w:rPr>
      </w:pPr>
      <w:bookmarkStart w:id="12" w:name="_Hlk517772699"/>
      <w:r>
        <w:rPr>
          <w:rFonts w:hint="eastAsia" w:ascii="仿宋_GB2312" w:hAnsi="仿宋" w:eastAsia="仿宋_GB2312" w:cs="仿宋"/>
          <w:color w:val="000000"/>
          <w:sz w:val="32"/>
          <w:szCs w:val="32"/>
        </w:rPr>
        <w:t>1.初赛赛场设在深圳市罗湖区深南东路集浩大厦；</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2.决赛赛场设在</w:t>
      </w:r>
      <w:bookmarkEnd w:id="12"/>
      <w:r>
        <w:rPr>
          <w:rFonts w:hint="eastAsia" w:ascii="仿宋_GB2312" w:hAnsi="仿宋" w:eastAsia="仿宋_GB2312" w:cs="仿宋"/>
          <w:color w:val="000000"/>
          <w:sz w:val="32"/>
          <w:szCs w:val="32"/>
        </w:rPr>
        <w:t>深圳市罗湖区南湖路3018号（深圳富苑皇冠假日套房酒店）。</w:t>
      </w:r>
    </w:p>
    <w:p>
      <w:pPr>
        <w:spacing w:line="560" w:lineRule="exact"/>
        <w:ind w:firstLine="640" w:firstLineChars="200"/>
        <w:rPr>
          <w:rFonts w:eastAsia="楷体_GB2312"/>
          <w:sz w:val="32"/>
          <w:szCs w:val="32"/>
        </w:rPr>
      </w:pPr>
      <w:r>
        <w:rPr>
          <w:rFonts w:eastAsia="楷体_GB2312"/>
          <w:sz w:val="32"/>
          <w:szCs w:val="32"/>
        </w:rPr>
        <w:t>（二）竞赛设备</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赛场参照计算机类工种职业技能鉴定要求布置赛场，配备与参赛人数相适应的计算机及竞赛答题软件，确保单人单机并留有一定数量的备用机。</w:t>
      </w:r>
    </w:p>
    <w:p>
      <w:pPr>
        <w:spacing w:line="560" w:lineRule="exact"/>
        <w:ind w:firstLine="640" w:firstLineChars="200"/>
        <w:rPr>
          <w:rFonts w:eastAsia="黑体"/>
          <w:color w:val="000000"/>
          <w:sz w:val="32"/>
          <w:szCs w:val="32"/>
        </w:rPr>
      </w:pPr>
      <w:r>
        <w:rPr>
          <w:rFonts w:eastAsia="黑体"/>
          <w:color w:val="000000"/>
          <w:sz w:val="32"/>
          <w:szCs w:val="32"/>
        </w:rPr>
        <w:t>五、竞赛规则</w:t>
      </w:r>
    </w:p>
    <w:p>
      <w:pPr>
        <w:spacing w:line="560" w:lineRule="exact"/>
        <w:ind w:firstLine="640" w:firstLineChars="200"/>
        <w:jc w:val="left"/>
        <w:rPr>
          <w:rFonts w:eastAsia="楷体_GB2312"/>
          <w:color w:val="000000"/>
          <w:sz w:val="32"/>
          <w:szCs w:val="32"/>
        </w:rPr>
      </w:pPr>
      <w:r>
        <w:rPr>
          <w:rFonts w:eastAsia="楷体_GB2312"/>
          <w:color w:val="000000"/>
          <w:sz w:val="32"/>
          <w:szCs w:val="32"/>
        </w:rPr>
        <w:t>（一）初赛竞赛守则</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1.参赛证于初赛报到时凭身份证发放；</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2.参赛选手需提前15分钟凭有效身份证和参赛证进入赛场，对号入座并将身份证和参赛证放在座位左上角明显位置，以备查验。迟到30分钟不得入场，竞赛开始30分钟后方可交卷离场；</w:t>
      </w:r>
    </w:p>
    <w:p>
      <w:pPr>
        <w:spacing w:line="560" w:lineRule="exact"/>
        <w:ind w:firstLine="640" w:firstLineChars="200"/>
        <w:rPr>
          <w:rFonts w:ascii="仿宋_GB2312" w:hAnsi="仿宋" w:eastAsia="仿宋_GB2312" w:cs="仿宋"/>
          <w:color w:val="000000"/>
          <w:sz w:val="32"/>
          <w:szCs w:val="32"/>
        </w:rPr>
      </w:pPr>
      <w:bookmarkStart w:id="13" w:name="_Hlk518375175"/>
      <w:r>
        <w:rPr>
          <w:rFonts w:hint="eastAsia" w:ascii="仿宋_GB2312" w:hAnsi="仿宋" w:eastAsia="仿宋_GB2312" w:cs="仿宋"/>
          <w:color w:val="000000"/>
          <w:sz w:val="32"/>
          <w:szCs w:val="32"/>
        </w:rPr>
        <w:t>3.参赛选手不能携带与竞赛相关的文件资料、手机等通讯工具进入赛场。在赛场上应自觉遵守赛场秩序，保持安静，竞赛进行过程中不允许任何形式的交谈，更不得大声喧哗吵闹，否则将给予警告或取消竞赛资格</w:t>
      </w:r>
      <w:bookmarkEnd w:id="13"/>
      <w:r>
        <w:rPr>
          <w:rFonts w:hint="eastAsia" w:ascii="仿宋_GB2312" w:hAnsi="仿宋" w:eastAsia="仿宋_GB2312" w:cs="仿宋"/>
          <w:color w:val="000000"/>
          <w:sz w:val="32"/>
          <w:szCs w:val="32"/>
        </w:rPr>
        <w:t>；</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4.冒名顶替、弄虚作假、作弊者，取消竞赛资格及成绩；</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5.竞赛规定时间结束时，选手应立即停止答题，有秩序的离开赛场。</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（二）决赛竞赛守则</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1.参赛选手需提前15分钟凭有效身份证和参赛证进入赛场，对号入座并将身份证和参赛证放在座位左上角明显位置，以备查验；</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2.参赛选手需提前对竞赛设备进行检查；</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3.开赛迟到30分钟以上者，按自动弃权处理，竞赛开始30分钟后可交卷离场； </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4.参赛选手按赛题完成各竞赛项目，并主动配合裁判员评分；</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5.参赛选手应严格遵守赛场纪律，所有的通讯工具、摄像工具不得带入竞赛现场，对竞赛设施设备应爱护、保养、保管，防止丢失和损坏；</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6.冒名顶替、弄虚作假、作弊者，取消竞赛资格及成绩；</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7.参赛选手须严格遵守安全操作规程及劳动保护要求，接受裁判员、现场技术服务人员的监督和警示，确保设备及人身安全；</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8.比赛过程中如果出现安全事故，裁判员应立即终止竞赛。如查实事故责任属参赛选手，即取消参赛选手竞赛资格。</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（三）赛场规则</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1.各类赛务人员必须统一佩戴由竞赛工作领导小组签发的相应证件，着装整齐； </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2.各赛场除现场裁判、赛场配备的工作人员以外，其他人员未经允许不得进入赛场； </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3.参赛选手在竞赛期间未经批准不得接受其他单位和个人进行的与竞赛内容相关的采访；</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4.参赛选手不得将竞赛的相关情况资料私自公布；</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5.参赛选手在竞赛过程中必须主动配合裁判的工作，服从裁判安排，如果对竞赛的裁决有异议，可按照规定以书面形式向监督仲裁组提出申诉。</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（四）赛事疫情防控要求</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为确保竞赛活动安全有序，严格按照疫情防控要求制定疫情防控应急处置预案，确保参与人员全部持有效绿码且14天内没有中高风险区活动和接触史，切实做好场地和人员的疫情防控工作。</w:t>
      </w:r>
    </w:p>
    <w:p>
      <w:pPr>
        <w:spacing w:line="560" w:lineRule="exact"/>
        <w:ind w:firstLine="640" w:firstLineChars="200"/>
        <w:rPr>
          <w:rFonts w:eastAsia="黑体"/>
          <w:color w:val="000000"/>
          <w:sz w:val="32"/>
          <w:szCs w:val="32"/>
        </w:rPr>
      </w:pPr>
      <w:r>
        <w:rPr>
          <w:rFonts w:hint="eastAsia" w:eastAsia="黑体"/>
          <w:color w:val="000000"/>
          <w:sz w:val="32"/>
          <w:szCs w:val="32"/>
        </w:rPr>
        <w:t>六、本技术文件条款的最终解释权归罗湖区第十一届职工技术比武大会——建筑信息模型技术员（BIM）职业技能竞赛工作领导小组办公室所有。</w:t>
      </w:r>
    </w:p>
    <w:sectPr>
      <w:footerReference r:id="rId3" w:type="default"/>
      <w:pgSz w:w="11906" w:h="16838"/>
      <w:pgMar w:top="1440" w:right="1474" w:bottom="1440" w:left="158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w:t>
    </w:r>
    <w:r>
      <w:t xml:space="preserve"> 4 -</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vlJc w:val="left"/>
      <w:pPr>
        <w:tabs>
          <w:tab w:val="left" w:pos="1077"/>
        </w:tabs>
        <w:ind w:left="1077" w:hanging="1077"/>
      </w:pPr>
      <w:rPr>
        <w:rFonts w:hint="default" w:ascii="Arial" w:hAnsi="Arial" w:eastAsia="宋体"/>
        <w:b/>
        <w:i w:val="0"/>
        <w:sz w:val="24"/>
        <w:szCs w:val="24"/>
      </w:rPr>
    </w:lvl>
    <w:lvl w:ilvl="1" w:tentative="0">
      <w:start w:val="1"/>
      <w:numFmt w:val="decimal"/>
      <w:pStyle w:val="3"/>
      <w:lvlText w:val="%1.%2"/>
      <w:lvlJc w:val="left"/>
      <w:pPr>
        <w:tabs>
          <w:tab w:val="left" w:pos="1077"/>
        </w:tabs>
        <w:ind w:left="1077" w:hanging="1077"/>
      </w:pPr>
      <w:rPr>
        <w:rFonts w:hint="default" w:ascii="Arial" w:hAnsi="Arial" w:eastAsia="宋体" w:cs="Arial"/>
        <w:b/>
        <w:i w:val="0"/>
        <w:sz w:val="24"/>
        <w:szCs w:val="24"/>
      </w:rPr>
    </w:lvl>
    <w:lvl w:ilvl="2" w:tentative="0">
      <w:start w:val="1"/>
      <w:numFmt w:val="decimal"/>
      <w:lvlText w:val="%1.%2.%3"/>
      <w:lvlJc w:val="left"/>
      <w:pPr>
        <w:tabs>
          <w:tab w:val="left" w:pos="1077"/>
        </w:tabs>
        <w:ind w:left="1077" w:hanging="1077"/>
      </w:pPr>
      <w:rPr>
        <w:rFonts w:hint="default" w:ascii="Arial" w:hAnsi="Arial" w:eastAsia="宋体" w:cs="Arial"/>
        <w:b w:val="0"/>
        <w:i w:val="0"/>
        <w:sz w:val="21"/>
        <w:szCs w:val="21"/>
      </w:rPr>
    </w:lvl>
    <w:lvl w:ilvl="3" w:tentative="0">
      <w:start w:val="1"/>
      <w:numFmt w:val="decimal"/>
      <w:lvlText w:val="%1.%2.%3.%4"/>
      <w:lvlJc w:val="left"/>
      <w:pPr>
        <w:tabs>
          <w:tab w:val="left" w:pos="851"/>
        </w:tabs>
        <w:ind w:left="851" w:hanging="851"/>
      </w:pPr>
      <w:rPr>
        <w:rFonts w:hint="default" w:ascii="Arial" w:hAnsi="Arial" w:cs="Arial"/>
        <w:sz w:val="21"/>
        <w:szCs w:val="21"/>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3B53"/>
    <w:rsid w:val="0003697C"/>
    <w:rsid w:val="00036FAA"/>
    <w:rsid w:val="000408D8"/>
    <w:rsid w:val="00056442"/>
    <w:rsid w:val="000578A3"/>
    <w:rsid w:val="0006202C"/>
    <w:rsid w:val="0006236B"/>
    <w:rsid w:val="000671CB"/>
    <w:rsid w:val="000A0B0F"/>
    <w:rsid w:val="000A7DAC"/>
    <w:rsid w:val="000B38F8"/>
    <w:rsid w:val="000C437C"/>
    <w:rsid w:val="000D7DF7"/>
    <w:rsid w:val="000E3D51"/>
    <w:rsid w:val="000E49CD"/>
    <w:rsid w:val="000F34EA"/>
    <w:rsid w:val="000F68D3"/>
    <w:rsid w:val="001149D3"/>
    <w:rsid w:val="001251E0"/>
    <w:rsid w:val="001471EC"/>
    <w:rsid w:val="00184B11"/>
    <w:rsid w:val="001E0A9B"/>
    <w:rsid w:val="001E65FC"/>
    <w:rsid w:val="001F7BB2"/>
    <w:rsid w:val="00214968"/>
    <w:rsid w:val="00222990"/>
    <w:rsid w:val="002351A9"/>
    <w:rsid w:val="0023799D"/>
    <w:rsid w:val="00254DBA"/>
    <w:rsid w:val="00255A29"/>
    <w:rsid w:val="0028038D"/>
    <w:rsid w:val="002D6FBD"/>
    <w:rsid w:val="002E30DC"/>
    <w:rsid w:val="002E3A15"/>
    <w:rsid w:val="00301F7E"/>
    <w:rsid w:val="00302746"/>
    <w:rsid w:val="0031083A"/>
    <w:rsid w:val="00324378"/>
    <w:rsid w:val="00361151"/>
    <w:rsid w:val="003D5438"/>
    <w:rsid w:val="003E1E82"/>
    <w:rsid w:val="0040772E"/>
    <w:rsid w:val="00462102"/>
    <w:rsid w:val="004651C0"/>
    <w:rsid w:val="00472A06"/>
    <w:rsid w:val="004C06F6"/>
    <w:rsid w:val="004D420C"/>
    <w:rsid w:val="00505AA4"/>
    <w:rsid w:val="00513F0C"/>
    <w:rsid w:val="00526E86"/>
    <w:rsid w:val="0053498B"/>
    <w:rsid w:val="00536A7C"/>
    <w:rsid w:val="00552B15"/>
    <w:rsid w:val="005B50C7"/>
    <w:rsid w:val="005D234F"/>
    <w:rsid w:val="005D6507"/>
    <w:rsid w:val="005E5F18"/>
    <w:rsid w:val="005F766F"/>
    <w:rsid w:val="006071F1"/>
    <w:rsid w:val="00617617"/>
    <w:rsid w:val="0062190D"/>
    <w:rsid w:val="00655ED2"/>
    <w:rsid w:val="00667B6F"/>
    <w:rsid w:val="00697B94"/>
    <w:rsid w:val="006E16AD"/>
    <w:rsid w:val="006E4E5E"/>
    <w:rsid w:val="006E6CEA"/>
    <w:rsid w:val="00782564"/>
    <w:rsid w:val="0078749D"/>
    <w:rsid w:val="007910DE"/>
    <w:rsid w:val="00797537"/>
    <w:rsid w:val="007C0B23"/>
    <w:rsid w:val="007C3616"/>
    <w:rsid w:val="007D294E"/>
    <w:rsid w:val="007E69F4"/>
    <w:rsid w:val="00815B03"/>
    <w:rsid w:val="008A55B4"/>
    <w:rsid w:val="008C43A2"/>
    <w:rsid w:val="008C6E0D"/>
    <w:rsid w:val="008E2510"/>
    <w:rsid w:val="008F23B7"/>
    <w:rsid w:val="008F688A"/>
    <w:rsid w:val="008F6CC6"/>
    <w:rsid w:val="009004D7"/>
    <w:rsid w:val="00911A0D"/>
    <w:rsid w:val="00912367"/>
    <w:rsid w:val="00981D59"/>
    <w:rsid w:val="0099629A"/>
    <w:rsid w:val="009A1779"/>
    <w:rsid w:val="009B336D"/>
    <w:rsid w:val="009D6F67"/>
    <w:rsid w:val="00A15209"/>
    <w:rsid w:val="00A26E88"/>
    <w:rsid w:val="00A70CA8"/>
    <w:rsid w:val="00A73853"/>
    <w:rsid w:val="00A8370D"/>
    <w:rsid w:val="00AA2DA5"/>
    <w:rsid w:val="00AB5678"/>
    <w:rsid w:val="00AD56B1"/>
    <w:rsid w:val="00AE3F11"/>
    <w:rsid w:val="00B24682"/>
    <w:rsid w:val="00B43B53"/>
    <w:rsid w:val="00B57A3D"/>
    <w:rsid w:val="00BE3F8A"/>
    <w:rsid w:val="00BF0044"/>
    <w:rsid w:val="00BF2BAF"/>
    <w:rsid w:val="00C12BBE"/>
    <w:rsid w:val="00C14170"/>
    <w:rsid w:val="00C21F11"/>
    <w:rsid w:val="00C41522"/>
    <w:rsid w:val="00C41AE1"/>
    <w:rsid w:val="00C56DDA"/>
    <w:rsid w:val="00C65547"/>
    <w:rsid w:val="00C66471"/>
    <w:rsid w:val="00C756CF"/>
    <w:rsid w:val="00CA0AFA"/>
    <w:rsid w:val="00CA5A6C"/>
    <w:rsid w:val="00CB5446"/>
    <w:rsid w:val="00D06458"/>
    <w:rsid w:val="00D07055"/>
    <w:rsid w:val="00D12CCB"/>
    <w:rsid w:val="00D17D76"/>
    <w:rsid w:val="00D36FE2"/>
    <w:rsid w:val="00D46329"/>
    <w:rsid w:val="00D656E8"/>
    <w:rsid w:val="00D908AA"/>
    <w:rsid w:val="00D95972"/>
    <w:rsid w:val="00E0570C"/>
    <w:rsid w:val="00E34C62"/>
    <w:rsid w:val="00E3707E"/>
    <w:rsid w:val="00E5631A"/>
    <w:rsid w:val="00E81D1E"/>
    <w:rsid w:val="00E95C5C"/>
    <w:rsid w:val="00EC14F1"/>
    <w:rsid w:val="00EC3E81"/>
    <w:rsid w:val="00ED6730"/>
    <w:rsid w:val="00F0184D"/>
    <w:rsid w:val="00F0211A"/>
    <w:rsid w:val="00F10C10"/>
    <w:rsid w:val="00F9567F"/>
    <w:rsid w:val="00FA2190"/>
    <w:rsid w:val="028469D5"/>
    <w:rsid w:val="030548FE"/>
    <w:rsid w:val="041C31AB"/>
    <w:rsid w:val="04713B8C"/>
    <w:rsid w:val="04B50439"/>
    <w:rsid w:val="06BF1B73"/>
    <w:rsid w:val="06ED0B64"/>
    <w:rsid w:val="077E61D6"/>
    <w:rsid w:val="08465917"/>
    <w:rsid w:val="09A32E74"/>
    <w:rsid w:val="0B197822"/>
    <w:rsid w:val="0BA120D6"/>
    <w:rsid w:val="0CF301B7"/>
    <w:rsid w:val="0D061460"/>
    <w:rsid w:val="0D472110"/>
    <w:rsid w:val="0EA015DF"/>
    <w:rsid w:val="0FFA387B"/>
    <w:rsid w:val="103536F6"/>
    <w:rsid w:val="14514A64"/>
    <w:rsid w:val="1CED5986"/>
    <w:rsid w:val="1E340162"/>
    <w:rsid w:val="1F4054B2"/>
    <w:rsid w:val="20EF1761"/>
    <w:rsid w:val="21F0139A"/>
    <w:rsid w:val="222701FE"/>
    <w:rsid w:val="23BE7B50"/>
    <w:rsid w:val="242847D8"/>
    <w:rsid w:val="24F45DA5"/>
    <w:rsid w:val="2B4521DB"/>
    <w:rsid w:val="2D3A5C90"/>
    <w:rsid w:val="2D4C6855"/>
    <w:rsid w:val="2D816C7B"/>
    <w:rsid w:val="2F396C16"/>
    <w:rsid w:val="319338B9"/>
    <w:rsid w:val="35B52561"/>
    <w:rsid w:val="364B6746"/>
    <w:rsid w:val="38B15F45"/>
    <w:rsid w:val="38D62E03"/>
    <w:rsid w:val="39A83260"/>
    <w:rsid w:val="3A93465F"/>
    <w:rsid w:val="3BB05798"/>
    <w:rsid w:val="3C8E1869"/>
    <w:rsid w:val="3D0A3EF3"/>
    <w:rsid w:val="3EE12755"/>
    <w:rsid w:val="3F4C1B5A"/>
    <w:rsid w:val="40B8036A"/>
    <w:rsid w:val="412A30A0"/>
    <w:rsid w:val="426D1828"/>
    <w:rsid w:val="43B96970"/>
    <w:rsid w:val="44570326"/>
    <w:rsid w:val="44811C35"/>
    <w:rsid w:val="44FA1E5E"/>
    <w:rsid w:val="4578455B"/>
    <w:rsid w:val="45BC1A9A"/>
    <w:rsid w:val="46CE4BD9"/>
    <w:rsid w:val="47325139"/>
    <w:rsid w:val="48A45AC4"/>
    <w:rsid w:val="48CE44D9"/>
    <w:rsid w:val="4A44605E"/>
    <w:rsid w:val="4A7E050C"/>
    <w:rsid w:val="4AF9055A"/>
    <w:rsid w:val="4B2A34E1"/>
    <w:rsid w:val="4CEC3AB4"/>
    <w:rsid w:val="4D656EA2"/>
    <w:rsid w:val="4E826D1B"/>
    <w:rsid w:val="4F6A3B48"/>
    <w:rsid w:val="52366897"/>
    <w:rsid w:val="528C4229"/>
    <w:rsid w:val="53124D89"/>
    <w:rsid w:val="53926B2F"/>
    <w:rsid w:val="54FA405C"/>
    <w:rsid w:val="55007F57"/>
    <w:rsid w:val="55571D71"/>
    <w:rsid w:val="557D7E6B"/>
    <w:rsid w:val="56A47443"/>
    <w:rsid w:val="574A7FEA"/>
    <w:rsid w:val="5833243A"/>
    <w:rsid w:val="589D0EF9"/>
    <w:rsid w:val="5A795638"/>
    <w:rsid w:val="5AA620E1"/>
    <w:rsid w:val="5C84207A"/>
    <w:rsid w:val="5CEB6F4D"/>
    <w:rsid w:val="5D892B70"/>
    <w:rsid w:val="5F671894"/>
    <w:rsid w:val="63530978"/>
    <w:rsid w:val="64F54BE2"/>
    <w:rsid w:val="65801A60"/>
    <w:rsid w:val="699922DA"/>
    <w:rsid w:val="69C72509"/>
    <w:rsid w:val="6D491CE5"/>
    <w:rsid w:val="6E1475EC"/>
    <w:rsid w:val="70BD3F73"/>
    <w:rsid w:val="70EF26C7"/>
    <w:rsid w:val="72361097"/>
    <w:rsid w:val="729E341A"/>
    <w:rsid w:val="7319695E"/>
    <w:rsid w:val="742B7662"/>
    <w:rsid w:val="7437064F"/>
    <w:rsid w:val="747D6599"/>
    <w:rsid w:val="75E300E5"/>
    <w:rsid w:val="774609FF"/>
    <w:rsid w:val="776F52FA"/>
    <w:rsid w:val="77BA7E96"/>
    <w:rsid w:val="77F04FD9"/>
    <w:rsid w:val="7B404C64"/>
    <w:rsid w:val="7CC86BFC"/>
    <w:rsid w:val="7D4B3450"/>
    <w:rsid w:val="7D9D7B53"/>
    <w:rsid w:val="7F631299"/>
    <w:rsid w:val="7F701265"/>
    <w:rsid w:val="7F9631D5"/>
    <w:rsid w:val="EF571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numPr>
        <w:ilvl w:val="1"/>
        <w:numId w:val="1"/>
      </w:numPr>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Plain Text"/>
    <w:basedOn w:val="1"/>
    <w:unhideWhenUsed/>
    <w:qFormat/>
    <w:uiPriority w:val="0"/>
    <w:rPr>
      <w:rFonts w:ascii="宋体" w:hAnsi="Courier New"/>
      <w:szCs w:val="20"/>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页眉 Char"/>
    <w:basedOn w:val="8"/>
    <w:link w:val="6"/>
    <w:qFormat/>
    <w:uiPriority w:val="99"/>
    <w:rPr>
      <w:rFonts w:ascii="Times New Roman" w:hAnsi="Times New Roman"/>
      <w:kern w:val="2"/>
      <w:sz w:val="18"/>
      <w:szCs w:val="18"/>
    </w:rPr>
  </w:style>
  <w:style w:type="character" w:customStyle="1" w:styleId="11">
    <w:name w:val="页脚 Char"/>
    <w:basedOn w:val="8"/>
    <w:link w:val="5"/>
    <w:qFormat/>
    <w:uiPriority w:val="99"/>
    <w:rPr>
      <w:rFonts w:ascii="Times New Roman" w:hAnsi="Times New Roman"/>
      <w:kern w:val="2"/>
      <w:sz w:val="18"/>
      <w:szCs w:val="18"/>
    </w:rPr>
  </w:style>
  <w:style w:type="paragraph" w:customStyle="1" w:styleId="1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3">
    <w:name w:val="Body text|1"/>
    <w:basedOn w:val="1"/>
    <w:qFormat/>
    <w:uiPriority w:val="0"/>
    <w:pPr>
      <w:spacing w:line="408"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513</Words>
  <Characters>2930</Characters>
  <Lines>24</Lines>
  <Paragraphs>6</Paragraphs>
  <TotalTime>0</TotalTime>
  <ScaleCrop>false</ScaleCrop>
  <LinksUpToDate>false</LinksUpToDate>
  <CharactersWithSpaces>3437</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2022-05-25T16:47:00Z</dcterms:created>
  <dc:creator>admin</dc:creator>
  <cp:lastModifiedBy>王惊鸿</cp:lastModifiedBy>
  <cp:lastPrinted>2022-04-24T11:40:00Z</cp:lastPrinted>
  <dcterms:modified xsi:type="dcterms:W3CDTF">2022-07-20T06:48:21Z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4418B5A389E143158A964C26614B34C2</vt:lpwstr>
  </property>
</Properties>
</file>