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ascii="Times New Roman" w:hAnsi="Times New Roman" w:cs="Times New Roman"/>
          <w:sz w:val="32"/>
          <w:szCs w:val="32"/>
        </w:rPr>
      </w:pPr>
      <w:r>
        <w:rPr>
          <w:rFonts w:ascii="Times New Roman" w:hAnsi="Times New Roman" w:cs="Times New Roman"/>
          <w:color w:val="000000"/>
          <w:sz w:val="32"/>
          <w:szCs w:val="32"/>
          <w:u w:val="single"/>
        </w:rPr>
        <w:t>罗湖区第二次全国污染源普查质量核查技术服务</w:t>
      </w:r>
      <w:r>
        <w:rPr>
          <w:rFonts w:ascii="Times New Roman" w:hAnsi="Times New Roman" w:cs="Times New Roman"/>
          <w:sz w:val="32"/>
          <w:szCs w:val="32"/>
        </w:rPr>
        <w:t>项目竞争性谈判评分表</w:t>
      </w:r>
    </w:p>
    <w:tbl>
      <w:tblPr>
        <w:tblStyle w:val="5"/>
        <w:tblW w:w="14142" w:type="dxa"/>
        <w:jc w:val="center"/>
        <w:tblInd w:w="0" w:type="dxa"/>
        <w:tblLayout w:type="fixed"/>
        <w:tblCellMar>
          <w:top w:w="0" w:type="dxa"/>
          <w:left w:w="108" w:type="dxa"/>
          <w:bottom w:w="0" w:type="dxa"/>
          <w:right w:w="108" w:type="dxa"/>
        </w:tblCellMar>
      </w:tblPr>
      <w:tblGrid>
        <w:gridCol w:w="630"/>
        <w:gridCol w:w="483"/>
        <w:gridCol w:w="11"/>
        <w:gridCol w:w="1167"/>
        <w:gridCol w:w="709"/>
        <w:gridCol w:w="6244"/>
        <w:gridCol w:w="1054"/>
        <w:gridCol w:w="2835"/>
        <w:gridCol w:w="1009"/>
      </w:tblGrid>
      <w:tr>
        <w:tblPrEx>
          <w:tblLayout w:type="fixed"/>
          <w:tblCellMar>
            <w:top w:w="0" w:type="dxa"/>
            <w:left w:w="108" w:type="dxa"/>
            <w:bottom w:w="0" w:type="dxa"/>
            <w:right w:w="108" w:type="dxa"/>
          </w:tblCellMar>
        </w:tblPrEx>
        <w:trPr>
          <w:trHeight w:val="2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序号</w:t>
            </w:r>
          </w:p>
        </w:tc>
        <w:tc>
          <w:tcPr>
            <w:tcW w:w="2370"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评分项</w:t>
            </w:r>
          </w:p>
        </w:tc>
        <w:tc>
          <w:tcPr>
            <w:tcW w:w="6244" w:type="dxa"/>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评分准则</w:t>
            </w:r>
          </w:p>
        </w:tc>
        <w:tc>
          <w:tcPr>
            <w:tcW w:w="388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评分记录</w:t>
            </w:r>
          </w:p>
        </w:tc>
        <w:tc>
          <w:tcPr>
            <w:tcW w:w="1009" w:type="dxa"/>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评分</w:t>
            </w:r>
          </w:p>
        </w:tc>
      </w:tr>
      <w:tr>
        <w:tblPrEx>
          <w:tblLayout w:type="fixed"/>
          <w:tblCellMar>
            <w:top w:w="0" w:type="dxa"/>
            <w:left w:w="108" w:type="dxa"/>
            <w:bottom w:w="0" w:type="dxa"/>
            <w:right w:w="108" w:type="dxa"/>
          </w:tblCellMar>
        </w:tblPrEx>
        <w:trPr>
          <w:trHeight w:val="432" w:hRule="atLeast"/>
          <w:jc w:val="center"/>
        </w:trPr>
        <w:tc>
          <w:tcPr>
            <w:tcW w:w="630" w:type="dxa"/>
            <w:tcBorders>
              <w:top w:val="nil"/>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一</w:t>
            </w:r>
          </w:p>
        </w:tc>
        <w:tc>
          <w:tcPr>
            <w:tcW w:w="2370"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价格（权重20）</w:t>
            </w:r>
          </w:p>
        </w:tc>
        <w:tc>
          <w:tcPr>
            <w:tcW w:w="6244" w:type="dxa"/>
            <w:tcBorders>
              <w:top w:val="single" w:color="auto" w:sz="4" w:space="0"/>
              <w:left w:val="nil"/>
              <w:bottom w:val="single" w:color="auto" w:sz="4" w:space="0"/>
              <w:right w:val="single" w:color="auto" w:sz="4" w:space="0"/>
            </w:tcBorders>
            <w:vAlign w:val="center"/>
          </w:tcPr>
          <w:p>
            <w:pPr>
              <w:spacing w:line="320" w:lineRule="exact"/>
              <w:rPr>
                <w:rFonts w:ascii="Times New Roman" w:hAnsi="Times New Roman" w:cs="Times New Roman"/>
              </w:rPr>
            </w:pPr>
            <w:r>
              <w:rPr>
                <w:rFonts w:ascii="Times New Roman" w:hAnsi="Times New Roman" w:cs="Times New Roman"/>
              </w:rPr>
              <w:t>价格分=[1-（投标报价-最低价）/最低价]×价格权重×100</w:t>
            </w:r>
          </w:p>
        </w:tc>
        <w:tc>
          <w:tcPr>
            <w:tcW w:w="388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p>
        </w:tc>
        <w:tc>
          <w:tcPr>
            <w:tcW w:w="1009" w:type="dxa"/>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p>
        </w:tc>
      </w:tr>
      <w:tr>
        <w:tblPrEx>
          <w:tblLayout w:type="fixed"/>
          <w:tblCellMar>
            <w:top w:w="0" w:type="dxa"/>
            <w:left w:w="108" w:type="dxa"/>
            <w:bottom w:w="0" w:type="dxa"/>
            <w:right w:w="108" w:type="dxa"/>
          </w:tblCellMar>
        </w:tblPrEx>
        <w:trPr>
          <w:trHeight w:val="551" w:hRule="atLeast"/>
          <w:jc w:val="center"/>
        </w:trPr>
        <w:tc>
          <w:tcPr>
            <w:tcW w:w="630" w:type="dxa"/>
            <w:tcBorders>
              <w:top w:val="nil"/>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eastAsia="zh-CN"/>
              </w:rPr>
              <w:t>二</w:t>
            </w:r>
          </w:p>
        </w:tc>
        <w:tc>
          <w:tcPr>
            <w:tcW w:w="2370"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技术服务部分（权重4</w:t>
            </w:r>
            <w:r>
              <w:rPr>
                <w:rFonts w:hint="eastAsia" w:ascii="Times New Roman" w:hAnsi="Times New Roman" w:cs="Times New Roman"/>
                <w:szCs w:val="21"/>
              </w:rPr>
              <w:t>0</w:t>
            </w:r>
            <w:r>
              <w:rPr>
                <w:rFonts w:ascii="Times New Roman" w:hAnsi="Times New Roman" w:cs="Times New Roman"/>
                <w:szCs w:val="21"/>
              </w:rPr>
              <w:t>）</w:t>
            </w:r>
          </w:p>
        </w:tc>
        <w:tc>
          <w:tcPr>
            <w:tcW w:w="6244" w:type="dxa"/>
            <w:vMerge w:val="restart"/>
            <w:tcBorders>
              <w:top w:val="single" w:color="auto" w:sz="4" w:space="0"/>
              <w:left w:val="nil"/>
              <w:right w:val="single" w:color="auto" w:sz="4" w:space="0"/>
            </w:tcBorders>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评分准则</w:t>
            </w:r>
          </w:p>
        </w:tc>
        <w:tc>
          <w:tcPr>
            <w:tcW w:w="3889" w:type="dxa"/>
            <w:gridSpan w:val="2"/>
            <w:vMerge w:val="restart"/>
            <w:tcBorders>
              <w:top w:val="single" w:color="auto" w:sz="4" w:space="0"/>
              <w:left w:val="nil"/>
              <w:right w:val="single" w:color="auto" w:sz="4" w:space="0"/>
            </w:tcBorders>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评分记录</w:t>
            </w:r>
          </w:p>
        </w:tc>
        <w:tc>
          <w:tcPr>
            <w:tcW w:w="1009" w:type="dxa"/>
            <w:vMerge w:val="restart"/>
            <w:tcBorders>
              <w:top w:val="single" w:color="auto" w:sz="4" w:space="0"/>
              <w:left w:val="nil"/>
              <w:right w:val="single" w:color="auto" w:sz="4" w:space="0"/>
            </w:tcBorders>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评分</w:t>
            </w:r>
          </w:p>
        </w:tc>
      </w:tr>
      <w:tr>
        <w:tblPrEx>
          <w:tblLayout w:type="fixed"/>
          <w:tblCellMar>
            <w:top w:w="0" w:type="dxa"/>
            <w:left w:w="108" w:type="dxa"/>
            <w:bottom w:w="0" w:type="dxa"/>
            <w:right w:w="108" w:type="dxa"/>
          </w:tblCellMar>
        </w:tblPrEx>
        <w:trPr>
          <w:trHeight w:val="715" w:hRule="atLeast"/>
          <w:jc w:val="center"/>
        </w:trPr>
        <w:tc>
          <w:tcPr>
            <w:tcW w:w="630" w:type="dxa"/>
            <w:vMerge w:val="restart"/>
            <w:tcBorders>
              <w:top w:val="nil"/>
              <w:left w:val="single" w:color="auto" w:sz="4" w:space="0"/>
              <w:right w:val="single" w:color="auto" w:sz="4" w:space="0"/>
            </w:tcBorders>
            <w:vAlign w:val="center"/>
          </w:tcPr>
          <w:p>
            <w:pPr>
              <w:spacing w:line="320" w:lineRule="exact"/>
              <w:jc w:val="center"/>
              <w:rPr>
                <w:rFonts w:ascii="Times New Roman" w:hAnsi="Times New Roman" w:cs="Times New Roman"/>
                <w:szCs w:val="21"/>
              </w:rPr>
            </w:pPr>
          </w:p>
        </w:tc>
        <w:tc>
          <w:tcPr>
            <w:tcW w:w="483" w:type="dxa"/>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序号</w:t>
            </w:r>
          </w:p>
        </w:tc>
        <w:tc>
          <w:tcPr>
            <w:tcW w:w="1178"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评分因素</w:t>
            </w:r>
          </w:p>
        </w:tc>
        <w:tc>
          <w:tcPr>
            <w:tcW w:w="709" w:type="dxa"/>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权重</w:t>
            </w:r>
          </w:p>
        </w:tc>
        <w:tc>
          <w:tcPr>
            <w:tcW w:w="6244" w:type="dxa"/>
            <w:vMerge w:val="continue"/>
            <w:tcBorders>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p>
        </w:tc>
        <w:tc>
          <w:tcPr>
            <w:tcW w:w="3889" w:type="dxa"/>
            <w:gridSpan w:val="2"/>
            <w:vMerge w:val="continue"/>
            <w:tcBorders>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p>
        </w:tc>
        <w:tc>
          <w:tcPr>
            <w:tcW w:w="1009" w:type="dxa"/>
            <w:vMerge w:val="continue"/>
            <w:tcBorders>
              <w:left w:val="nil"/>
              <w:bottom w:val="single" w:color="auto" w:sz="4" w:space="0"/>
              <w:right w:val="single" w:color="auto" w:sz="4" w:space="0"/>
            </w:tcBorders>
          </w:tcPr>
          <w:p>
            <w:pPr>
              <w:spacing w:line="320" w:lineRule="exact"/>
              <w:jc w:val="center"/>
              <w:rPr>
                <w:rFonts w:ascii="Times New Roman" w:hAnsi="Times New Roman" w:cs="Times New Roman"/>
                <w:szCs w:val="21"/>
              </w:rPr>
            </w:pPr>
          </w:p>
        </w:tc>
      </w:tr>
      <w:tr>
        <w:tblPrEx>
          <w:tblLayout w:type="fixed"/>
          <w:tblCellMar>
            <w:top w:w="0" w:type="dxa"/>
            <w:left w:w="108" w:type="dxa"/>
            <w:bottom w:w="0" w:type="dxa"/>
            <w:right w:w="108" w:type="dxa"/>
          </w:tblCellMar>
        </w:tblPrEx>
        <w:trPr>
          <w:trHeight w:val="20" w:hRule="atLeast"/>
          <w:jc w:val="center"/>
        </w:trPr>
        <w:tc>
          <w:tcPr>
            <w:tcW w:w="630" w:type="dxa"/>
            <w:vMerge w:val="continue"/>
            <w:tcBorders>
              <w:left w:val="single" w:color="auto" w:sz="4" w:space="0"/>
              <w:right w:val="single" w:color="auto" w:sz="4" w:space="0"/>
            </w:tcBorders>
            <w:vAlign w:val="center"/>
          </w:tcPr>
          <w:p>
            <w:pPr>
              <w:widowControl/>
              <w:spacing w:line="320" w:lineRule="exact"/>
              <w:jc w:val="left"/>
              <w:rPr>
                <w:rFonts w:ascii="Times New Roman" w:hAnsi="Times New Roman" w:cs="Times New Roman"/>
                <w:szCs w:val="21"/>
              </w:rPr>
            </w:pPr>
          </w:p>
        </w:tc>
        <w:tc>
          <w:tcPr>
            <w:tcW w:w="483" w:type="dxa"/>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1</w:t>
            </w:r>
          </w:p>
        </w:tc>
        <w:tc>
          <w:tcPr>
            <w:tcW w:w="1178" w:type="dxa"/>
            <w:gridSpan w:val="2"/>
            <w:tcBorders>
              <w:top w:val="single" w:color="auto" w:sz="4" w:space="0"/>
              <w:left w:val="nil"/>
              <w:bottom w:val="single" w:color="auto" w:sz="4" w:space="0"/>
              <w:right w:val="single" w:color="auto" w:sz="4" w:space="0"/>
            </w:tcBorders>
            <w:vAlign w:val="center"/>
          </w:tcPr>
          <w:p>
            <w:pPr>
              <w:spacing w:line="63" w:lineRule="atLeast"/>
              <w:jc w:val="center"/>
              <w:rPr>
                <w:rFonts w:ascii="Times New Roman" w:hAnsi="Times New Roman" w:cs="Times New Roman"/>
                <w:sz w:val="20"/>
                <w:szCs w:val="20"/>
              </w:rPr>
            </w:pPr>
            <w:r>
              <w:rPr>
                <w:rFonts w:ascii="Times New Roman" w:hAnsi="Times New Roman" w:cs="Times New Roman"/>
                <w:sz w:val="20"/>
                <w:szCs w:val="20"/>
              </w:rPr>
              <w:t>实施技术方案</w:t>
            </w:r>
          </w:p>
        </w:tc>
        <w:tc>
          <w:tcPr>
            <w:tcW w:w="709" w:type="dxa"/>
            <w:tcBorders>
              <w:top w:val="single" w:color="auto" w:sz="4" w:space="0"/>
              <w:left w:val="nil"/>
              <w:bottom w:val="single" w:color="auto" w:sz="4" w:space="0"/>
              <w:right w:val="single" w:color="auto" w:sz="4" w:space="0"/>
            </w:tcBorders>
            <w:vAlign w:val="center"/>
          </w:tcPr>
          <w:p>
            <w:pPr>
              <w:spacing w:line="63" w:lineRule="atLeast"/>
              <w:jc w:val="center"/>
              <w:rPr>
                <w:rFonts w:ascii="Times New Roman" w:hAnsi="Times New Roman" w:cs="Times New Roman"/>
                <w:sz w:val="20"/>
                <w:szCs w:val="20"/>
              </w:rPr>
            </w:pPr>
            <w:r>
              <w:rPr>
                <w:rFonts w:ascii="Times New Roman" w:hAnsi="Times New Roman" w:cs="Times New Roman"/>
                <w:sz w:val="20"/>
                <w:szCs w:val="20"/>
              </w:rPr>
              <w:t>10</w:t>
            </w:r>
          </w:p>
        </w:tc>
        <w:tc>
          <w:tcPr>
            <w:tcW w:w="6244" w:type="dxa"/>
            <w:tcBorders>
              <w:top w:val="single" w:color="auto" w:sz="4" w:space="0"/>
              <w:left w:val="nil"/>
              <w:bottom w:val="single" w:color="auto" w:sz="4" w:space="0"/>
              <w:right w:val="single" w:color="auto" w:sz="4" w:space="0"/>
            </w:tcBorders>
            <w:vAlign w:val="center"/>
          </w:tcPr>
          <w:p>
            <w:pPr>
              <w:spacing w:line="63" w:lineRule="atLeast"/>
              <w:jc w:val="left"/>
              <w:rPr>
                <w:rFonts w:ascii="Times New Roman" w:hAnsi="Times New Roman" w:cs="Times New Roman"/>
                <w:sz w:val="20"/>
                <w:szCs w:val="20"/>
              </w:rPr>
            </w:pPr>
            <w:r>
              <w:rPr>
                <w:rFonts w:ascii="Times New Roman" w:hAnsi="Times New Roman" w:cs="Times New Roman"/>
                <w:sz w:val="20"/>
                <w:szCs w:val="20"/>
              </w:rPr>
              <w:t>按照投标文件响应招标需求的情况进行横向比较，分档评分：评价为优得</w:t>
            </w:r>
            <w:r>
              <w:rPr>
                <w:rFonts w:hint="eastAsia" w:ascii="Times New Roman" w:hAnsi="Times New Roman" w:cs="Times New Roman"/>
                <w:sz w:val="20"/>
                <w:szCs w:val="20"/>
                <w:lang w:eastAsia="zh-CN"/>
              </w:rPr>
              <w:t>权重（分数）的</w:t>
            </w:r>
            <w:r>
              <w:rPr>
                <w:rFonts w:ascii="Times New Roman" w:hAnsi="Times New Roman" w:cs="Times New Roman"/>
                <w:sz w:val="20"/>
                <w:szCs w:val="20"/>
              </w:rPr>
              <w:t>100%；评价为良得</w:t>
            </w:r>
            <w:r>
              <w:rPr>
                <w:rFonts w:hint="eastAsia" w:ascii="Times New Roman" w:hAnsi="Times New Roman" w:cs="Times New Roman"/>
                <w:sz w:val="20"/>
                <w:szCs w:val="20"/>
                <w:lang w:eastAsia="zh-CN"/>
              </w:rPr>
              <w:t>权重（分数）的</w:t>
            </w:r>
            <w:r>
              <w:rPr>
                <w:rFonts w:ascii="Times New Roman" w:hAnsi="Times New Roman" w:cs="Times New Roman"/>
                <w:sz w:val="20"/>
                <w:szCs w:val="20"/>
              </w:rPr>
              <w:t>60%-80%；评价为中得</w:t>
            </w:r>
            <w:r>
              <w:rPr>
                <w:rFonts w:hint="eastAsia" w:ascii="Times New Roman" w:hAnsi="Times New Roman" w:cs="Times New Roman"/>
                <w:sz w:val="20"/>
                <w:szCs w:val="20"/>
                <w:lang w:eastAsia="zh-CN"/>
              </w:rPr>
              <w:t>权重（分数）的</w:t>
            </w:r>
            <w:r>
              <w:rPr>
                <w:rFonts w:ascii="Times New Roman" w:hAnsi="Times New Roman" w:cs="Times New Roman"/>
                <w:sz w:val="20"/>
                <w:szCs w:val="20"/>
              </w:rPr>
              <w:t>20%-40%；评价为差0分。</w:t>
            </w:r>
          </w:p>
        </w:tc>
        <w:tc>
          <w:tcPr>
            <w:tcW w:w="388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p>
        </w:tc>
        <w:tc>
          <w:tcPr>
            <w:tcW w:w="1009" w:type="dxa"/>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p>
        </w:tc>
      </w:tr>
      <w:tr>
        <w:tblPrEx>
          <w:tblLayout w:type="fixed"/>
          <w:tblCellMar>
            <w:top w:w="0" w:type="dxa"/>
            <w:left w:w="108" w:type="dxa"/>
            <w:bottom w:w="0" w:type="dxa"/>
            <w:right w:w="108" w:type="dxa"/>
          </w:tblCellMar>
        </w:tblPrEx>
        <w:trPr>
          <w:trHeight w:val="20" w:hRule="atLeast"/>
          <w:jc w:val="center"/>
        </w:trPr>
        <w:tc>
          <w:tcPr>
            <w:tcW w:w="630" w:type="dxa"/>
            <w:vMerge w:val="continue"/>
            <w:tcBorders>
              <w:left w:val="single" w:color="auto" w:sz="4" w:space="0"/>
              <w:right w:val="single" w:color="auto" w:sz="4" w:space="0"/>
            </w:tcBorders>
            <w:vAlign w:val="center"/>
          </w:tcPr>
          <w:p>
            <w:pPr>
              <w:widowControl/>
              <w:spacing w:line="320" w:lineRule="exact"/>
              <w:jc w:val="left"/>
              <w:rPr>
                <w:rFonts w:ascii="Times New Roman" w:hAnsi="Times New Roman" w:cs="Times New Roman"/>
                <w:szCs w:val="21"/>
              </w:rPr>
            </w:pPr>
          </w:p>
        </w:tc>
        <w:tc>
          <w:tcPr>
            <w:tcW w:w="483" w:type="dxa"/>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2</w:t>
            </w:r>
          </w:p>
        </w:tc>
        <w:tc>
          <w:tcPr>
            <w:tcW w:w="1178" w:type="dxa"/>
            <w:gridSpan w:val="2"/>
            <w:tcBorders>
              <w:top w:val="single" w:color="auto" w:sz="4" w:space="0"/>
              <w:left w:val="nil"/>
              <w:bottom w:val="single" w:color="auto" w:sz="4" w:space="0"/>
              <w:right w:val="single" w:color="auto" w:sz="4" w:space="0"/>
            </w:tcBorders>
            <w:vAlign w:val="center"/>
          </w:tcPr>
          <w:p>
            <w:pPr>
              <w:spacing w:line="63" w:lineRule="atLeast"/>
              <w:jc w:val="center"/>
              <w:rPr>
                <w:rFonts w:ascii="Times New Roman" w:hAnsi="Times New Roman" w:cs="Times New Roman"/>
                <w:sz w:val="20"/>
                <w:szCs w:val="20"/>
              </w:rPr>
            </w:pPr>
            <w:r>
              <w:rPr>
                <w:rFonts w:ascii="Times New Roman" w:hAnsi="Times New Roman" w:cs="Times New Roman"/>
                <w:sz w:val="20"/>
                <w:szCs w:val="20"/>
              </w:rPr>
              <w:t>项目重点难点分析、应对措施及相关的合理化建议</w:t>
            </w:r>
          </w:p>
        </w:tc>
        <w:tc>
          <w:tcPr>
            <w:tcW w:w="709" w:type="dxa"/>
            <w:tcBorders>
              <w:top w:val="single" w:color="auto" w:sz="4" w:space="0"/>
              <w:left w:val="nil"/>
              <w:bottom w:val="single" w:color="auto" w:sz="4" w:space="0"/>
              <w:right w:val="single" w:color="auto" w:sz="4" w:space="0"/>
            </w:tcBorders>
            <w:vAlign w:val="center"/>
          </w:tcPr>
          <w:p>
            <w:pPr>
              <w:spacing w:line="63" w:lineRule="atLeast"/>
              <w:jc w:val="center"/>
              <w:rPr>
                <w:rFonts w:ascii="Times New Roman" w:hAnsi="Times New Roman" w:cs="Times New Roman"/>
                <w:sz w:val="20"/>
                <w:szCs w:val="20"/>
              </w:rPr>
            </w:pPr>
            <w:r>
              <w:rPr>
                <w:rFonts w:ascii="Times New Roman" w:hAnsi="Times New Roman" w:cs="Times New Roman"/>
                <w:sz w:val="20"/>
                <w:szCs w:val="20"/>
              </w:rPr>
              <w:t>10</w:t>
            </w:r>
          </w:p>
        </w:tc>
        <w:tc>
          <w:tcPr>
            <w:tcW w:w="6244" w:type="dxa"/>
            <w:tcBorders>
              <w:top w:val="single" w:color="auto" w:sz="4" w:space="0"/>
              <w:left w:val="nil"/>
              <w:bottom w:val="single" w:color="auto" w:sz="4" w:space="0"/>
              <w:right w:val="single" w:color="auto" w:sz="4" w:space="0"/>
            </w:tcBorders>
            <w:vAlign w:val="center"/>
          </w:tcPr>
          <w:p>
            <w:pPr>
              <w:spacing w:line="63" w:lineRule="atLeast"/>
              <w:jc w:val="left"/>
              <w:rPr>
                <w:rFonts w:ascii="Times New Roman" w:hAnsi="Times New Roman" w:cs="Times New Roman"/>
                <w:sz w:val="20"/>
                <w:szCs w:val="20"/>
              </w:rPr>
            </w:pPr>
            <w:r>
              <w:rPr>
                <w:rFonts w:ascii="Times New Roman" w:hAnsi="Times New Roman" w:cs="Times New Roman"/>
                <w:sz w:val="20"/>
                <w:szCs w:val="20"/>
              </w:rPr>
              <w:t>按照投标文件响应情况进行横向比较，分档评分：评价为优得</w:t>
            </w:r>
            <w:r>
              <w:rPr>
                <w:rFonts w:hint="eastAsia" w:ascii="Times New Roman" w:hAnsi="Times New Roman" w:cs="Times New Roman"/>
                <w:sz w:val="20"/>
                <w:szCs w:val="20"/>
                <w:lang w:eastAsia="zh-CN"/>
              </w:rPr>
              <w:t>权重（分数）的</w:t>
            </w:r>
            <w:r>
              <w:rPr>
                <w:rFonts w:ascii="Times New Roman" w:hAnsi="Times New Roman" w:cs="Times New Roman"/>
                <w:sz w:val="20"/>
                <w:szCs w:val="20"/>
              </w:rPr>
              <w:t>100%；评价为良得</w:t>
            </w:r>
            <w:r>
              <w:rPr>
                <w:rFonts w:hint="eastAsia" w:ascii="Times New Roman" w:hAnsi="Times New Roman" w:cs="Times New Roman"/>
                <w:sz w:val="20"/>
                <w:szCs w:val="20"/>
                <w:lang w:eastAsia="zh-CN"/>
              </w:rPr>
              <w:t>权重（分数）的</w:t>
            </w:r>
            <w:r>
              <w:rPr>
                <w:rFonts w:ascii="Times New Roman" w:hAnsi="Times New Roman" w:cs="Times New Roman"/>
                <w:sz w:val="20"/>
                <w:szCs w:val="20"/>
              </w:rPr>
              <w:t>60%-80%；评价为中得</w:t>
            </w:r>
            <w:r>
              <w:rPr>
                <w:rFonts w:hint="eastAsia" w:ascii="Times New Roman" w:hAnsi="Times New Roman" w:cs="Times New Roman"/>
                <w:sz w:val="20"/>
                <w:szCs w:val="20"/>
                <w:lang w:eastAsia="zh-CN"/>
              </w:rPr>
              <w:t>权重（分数）的</w:t>
            </w:r>
            <w:r>
              <w:rPr>
                <w:rFonts w:ascii="Times New Roman" w:hAnsi="Times New Roman" w:cs="Times New Roman"/>
                <w:sz w:val="20"/>
                <w:szCs w:val="20"/>
              </w:rPr>
              <w:t>20%-40%；评价为差0分。</w:t>
            </w:r>
          </w:p>
        </w:tc>
        <w:tc>
          <w:tcPr>
            <w:tcW w:w="388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p>
        </w:tc>
        <w:tc>
          <w:tcPr>
            <w:tcW w:w="1009" w:type="dxa"/>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p>
        </w:tc>
      </w:tr>
      <w:tr>
        <w:tblPrEx>
          <w:tblLayout w:type="fixed"/>
          <w:tblCellMar>
            <w:top w:w="0" w:type="dxa"/>
            <w:left w:w="108" w:type="dxa"/>
            <w:bottom w:w="0" w:type="dxa"/>
            <w:right w:w="108" w:type="dxa"/>
          </w:tblCellMar>
        </w:tblPrEx>
        <w:trPr>
          <w:trHeight w:val="987" w:hRule="atLeast"/>
          <w:jc w:val="center"/>
        </w:trPr>
        <w:tc>
          <w:tcPr>
            <w:tcW w:w="630" w:type="dxa"/>
            <w:vMerge w:val="continue"/>
            <w:tcBorders>
              <w:left w:val="single" w:color="auto" w:sz="4" w:space="0"/>
              <w:right w:val="single" w:color="auto" w:sz="4" w:space="0"/>
            </w:tcBorders>
            <w:vAlign w:val="center"/>
          </w:tcPr>
          <w:p>
            <w:pPr>
              <w:widowControl/>
              <w:spacing w:line="320" w:lineRule="exact"/>
              <w:jc w:val="left"/>
              <w:rPr>
                <w:rFonts w:ascii="Times New Roman" w:hAnsi="Times New Roman" w:cs="Times New Roman"/>
                <w:szCs w:val="21"/>
              </w:rPr>
            </w:pPr>
          </w:p>
        </w:tc>
        <w:tc>
          <w:tcPr>
            <w:tcW w:w="483" w:type="dxa"/>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3</w:t>
            </w:r>
          </w:p>
        </w:tc>
        <w:tc>
          <w:tcPr>
            <w:tcW w:w="1178" w:type="dxa"/>
            <w:gridSpan w:val="2"/>
            <w:tcBorders>
              <w:top w:val="single" w:color="auto" w:sz="4" w:space="0"/>
              <w:left w:val="nil"/>
              <w:bottom w:val="single" w:color="auto" w:sz="4" w:space="0"/>
              <w:right w:val="single" w:color="auto" w:sz="4" w:space="0"/>
            </w:tcBorders>
            <w:vAlign w:val="center"/>
          </w:tcPr>
          <w:p>
            <w:pPr>
              <w:spacing w:line="63" w:lineRule="atLeast"/>
              <w:jc w:val="center"/>
              <w:rPr>
                <w:rFonts w:ascii="Times New Roman" w:hAnsi="Times New Roman" w:cs="Times New Roman"/>
                <w:sz w:val="20"/>
                <w:szCs w:val="20"/>
              </w:rPr>
            </w:pPr>
            <w:r>
              <w:t>项目进度安排和质量保障措施</w:t>
            </w:r>
          </w:p>
        </w:tc>
        <w:tc>
          <w:tcPr>
            <w:tcW w:w="709" w:type="dxa"/>
            <w:tcBorders>
              <w:top w:val="single" w:color="auto" w:sz="4" w:space="0"/>
              <w:left w:val="nil"/>
              <w:bottom w:val="single" w:color="auto" w:sz="4" w:space="0"/>
              <w:right w:val="single" w:color="auto" w:sz="4" w:space="0"/>
            </w:tcBorders>
            <w:vAlign w:val="center"/>
          </w:tcPr>
          <w:p>
            <w:pPr>
              <w:spacing w:line="63" w:lineRule="atLeast"/>
              <w:jc w:val="center"/>
              <w:rPr>
                <w:rFonts w:ascii="Times New Roman" w:hAnsi="Times New Roman" w:cs="Times New Roman"/>
                <w:sz w:val="20"/>
                <w:szCs w:val="20"/>
              </w:rPr>
            </w:pPr>
            <w:r>
              <w:rPr>
                <w:rFonts w:hint="eastAsia" w:ascii="Times New Roman" w:hAnsi="Times New Roman" w:cs="Times New Roman"/>
                <w:sz w:val="20"/>
                <w:szCs w:val="20"/>
              </w:rPr>
              <w:t>10</w:t>
            </w:r>
          </w:p>
        </w:tc>
        <w:tc>
          <w:tcPr>
            <w:tcW w:w="6244" w:type="dxa"/>
            <w:tcBorders>
              <w:top w:val="single" w:color="auto" w:sz="4" w:space="0"/>
              <w:left w:val="nil"/>
              <w:bottom w:val="single" w:color="auto" w:sz="4" w:space="0"/>
              <w:right w:val="single" w:color="auto" w:sz="4" w:space="0"/>
            </w:tcBorders>
            <w:vAlign w:val="center"/>
          </w:tcPr>
          <w:p>
            <w:pPr>
              <w:spacing w:line="63" w:lineRule="atLeast"/>
              <w:jc w:val="left"/>
              <w:rPr>
                <w:rFonts w:ascii="Times New Roman" w:hAnsi="Times New Roman" w:cs="Times New Roman"/>
                <w:sz w:val="20"/>
                <w:szCs w:val="20"/>
              </w:rPr>
            </w:pPr>
            <w:r>
              <w:rPr>
                <w:rFonts w:ascii="Times New Roman" w:hAnsi="Times New Roman" w:cs="Times New Roman"/>
                <w:sz w:val="20"/>
                <w:szCs w:val="20"/>
              </w:rPr>
              <w:t>按照投标文件响应情况进行横向比较，分档评分：评价为优得</w:t>
            </w:r>
            <w:r>
              <w:rPr>
                <w:rFonts w:hint="eastAsia" w:ascii="Times New Roman" w:hAnsi="Times New Roman" w:cs="Times New Roman"/>
                <w:sz w:val="20"/>
                <w:szCs w:val="20"/>
                <w:lang w:eastAsia="zh-CN"/>
              </w:rPr>
              <w:t>权重（分数）的</w:t>
            </w:r>
            <w:r>
              <w:rPr>
                <w:rFonts w:ascii="Times New Roman" w:hAnsi="Times New Roman" w:cs="Times New Roman"/>
                <w:sz w:val="20"/>
                <w:szCs w:val="20"/>
              </w:rPr>
              <w:t>100%；评价为良得</w:t>
            </w:r>
            <w:r>
              <w:rPr>
                <w:rFonts w:hint="eastAsia" w:ascii="Times New Roman" w:hAnsi="Times New Roman" w:cs="Times New Roman"/>
                <w:sz w:val="20"/>
                <w:szCs w:val="20"/>
                <w:lang w:eastAsia="zh-CN"/>
              </w:rPr>
              <w:t>权重（分数）的</w:t>
            </w:r>
            <w:r>
              <w:rPr>
                <w:rFonts w:ascii="Times New Roman" w:hAnsi="Times New Roman" w:cs="Times New Roman"/>
                <w:sz w:val="20"/>
                <w:szCs w:val="20"/>
              </w:rPr>
              <w:t>60%-80%；评价为中得</w:t>
            </w:r>
            <w:r>
              <w:rPr>
                <w:rFonts w:hint="eastAsia" w:ascii="Times New Roman" w:hAnsi="Times New Roman" w:cs="Times New Roman"/>
                <w:sz w:val="20"/>
                <w:szCs w:val="20"/>
                <w:lang w:eastAsia="zh-CN"/>
              </w:rPr>
              <w:t>权重（分数）的</w:t>
            </w:r>
            <w:r>
              <w:rPr>
                <w:rFonts w:ascii="Times New Roman" w:hAnsi="Times New Roman" w:cs="Times New Roman"/>
                <w:sz w:val="20"/>
                <w:szCs w:val="20"/>
              </w:rPr>
              <w:t>20%-40%；评价为差0分。</w:t>
            </w:r>
          </w:p>
        </w:tc>
        <w:tc>
          <w:tcPr>
            <w:tcW w:w="388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p>
        </w:tc>
        <w:tc>
          <w:tcPr>
            <w:tcW w:w="1009" w:type="dxa"/>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p>
        </w:tc>
      </w:tr>
      <w:tr>
        <w:tblPrEx>
          <w:tblLayout w:type="fixed"/>
          <w:tblCellMar>
            <w:top w:w="0" w:type="dxa"/>
            <w:left w:w="108" w:type="dxa"/>
            <w:bottom w:w="0" w:type="dxa"/>
            <w:right w:w="108" w:type="dxa"/>
          </w:tblCellMar>
        </w:tblPrEx>
        <w:trPr>
          <w:trHeight w:val="987" w:hRule="atLeast"/>
          <w:jc w:val="center"/>
        </w:trPr>
        <w:tc>
          <w:tcPr>
            <w:tcW w:w="630" w:type="dxa"/>
            <w:vMerge w:val="continue"/>
            <w:tcBorders>
              <w:left w:val="single" w:color="auto" w:sz="4" w:space="0"/>
              <w:right w:val="single" w:color="auto" w:sz="4" w:space="0"/>
            </w:tcBorders>
            <w:vAlign w:val="center"/>
          </w:tcPr>
          <w:p>
            <w:pPr>
              <w:widowControl/>
              <w:spacing w:line="320" w:lineRule="exact"/>
              <w:jc w:val="left"/>
              <w:rPr>
                <w:rFonts w:ascii="Times New Roman" w:hAnsi="Times New Roman" w:cs="Times New Roman"/>
                <w:szCs w:val="21"/>
              </w:rPr>
            </w:pPr>
          </w:p>
        </w:tc>
        <w:tc>
          <w:tcPr>
            <w:tcW w:w="483" w:type="dxa"/>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4</w:t>
            </w:r>
          </w:p>
        </w:tc>
        <w:tc>
          <w:tcPr>
            <w:tcW w:w="1178" w:type="dxa"/>
            <w:gridSpan w:val="2"/>
            <w:tcBorders>
              <w:top w:val="single" w:color="auto" w:sz="4" w:space="0"/>
              <w:left w:val="nil"/>
              <w:bottom w:val="single" w:color="auto" w:sz="4" w:space="0"/>
              <w:right w:val="single" w:color="auto" w:sz="4" w:space="0"/>
            </w:tcBorders>
            <w:vAlign w:val="center"/>
          </w:tcPr>
          <w:p>
            <w:pPr>
              <w:spacing w:line="63" w:lineRule="atLeast"/>
              <w:jc w:val="center"/>
              <w:rPr>
                <w:rFonts w:ascii="Times New Roman" w:hAnsi="Times New Roman" w:cs="Times New Roman"/>
                <w:sz w:val="20"/>
                <w:szCs w:val="20"/>
              </w:rPr>
            </w:pPr>
            <w:r>
              <w:rPr>
                <w:rFonts w:ascii="Times New Roman" w:hAnsi="Times New Roman" w:cs="Times New Roman"/>
                <w:sz w:val="20"/>
                <w:szCs w:val="20"/>
              </w:rPr>
              <w:t>拟安排的项目负责人情况</w:t>
            </w:r>
          </w:p>
        </w:tc>
        <w:tc>
          <w:tcPr>
            <w:tcW w:w="709" w:type="dxa"/>
            <w:tcBorders>
              <w:top w:val="single" w:color="auto" w:sz="4" w:space="0"/>
              <w:left w:val="nil"/>
              <w:bottom w:val="single" w:color="auto" w:sz="4" w:space="0"/>
              <w:right w:val="single" w:color="auto" w:sz="4" w:space="0"/>
            </w:tcBorders>
            <w:vAlign w:val="center"/>
          </w:tcPr>
          <w:p>
            <w:pPr>
              <w:spacing w:line="63" w:lineRule="atLeast"/>
              <w:jc w:val="center"/>
              <w:rPr>
                <w:rFonts w:ascii="Times New Roman" w:hAnsi="Times New Roman" w:cs="Times New Roman"/>
                <w:sz w:val="20"/>
                <w:szCs w:val="20"/>
              </w:rPr>
            </w:pPr>
            <w:r>
              <w:rPr>
                <w:rFonts w:ascii="Times New Roman" w:hAnsi="Times New Roman" w:cs="Times New Roman"/>
                <w:sz w:val="20"/>
                <w:szCs w:val="20"/>
              </w:rPr>
              <w:t>5</w:t>
            </w:r>
          </w:p>
        </w:tc>
        <w:tc>
          <w:tcPr>
            <w:tcW w:w="6244" w:type="dxa"/>
            <w:tcBorders>
              <w:top w:val="single" w:color="auto" w:sz="4" w:space="0"/>
              <w:left w:val="nil"/>
              <w:bottom w:val="single" w:color="auto" w:sz="4" w:space="0"/>
              <w:right w:val="single" w:color="auto" w:sz="4" w:space="0"/>
            </w:tcBorders>
            <w:vAlign w:val="center"/>
          </w:tcPr>
          <w:p>
            <w:pPr>
              <w:spacing w:line="63" w:lineRule="atLeast"/>
              <w:jc w:val="left"/>
              <w:rPr>
                <w:rFonts w:ascii="Times New Roman" w:hAnsi="Times New Roman" w:cs="Times New Roman"/>
                <w:sz w:val="20"/>
                <w:szCs w:val="20"/>
              </w:rPr>
            </w:pPr>
            <w:r>
              <w:rPr>
                <w:rFonts w:ascii="Times New Roman" w:hAnsi="Times New Roman" w:cs="Times New Roman"/>
                <w:sz w:val="20"/>
                <w:szCs w:val="20"/>
              </w:rPr>
              <w:t>（1）具有高级（含副高）工程师职称的，得</w:t>
            </w:r>
            <w:r>
              <w:rPr>
                <w:rFonts w:hint="eastAsia" w:ascii="Times New Roman" w:hAnsi="Times New Roman" w:cs="Times New Roman"/>
                <w:sz w:val="20"/>
                <w:szCs w:val="20"/>
                <w:lang w:eastAsia="zh-CN"/>
              </w:rPr>
              <w:t>权重（分数）的</w:t>
            </w:r>
            <w:r>
              <w:rPr>
                <w:rFonts w:ascii="Times New Roman" w:hAnsi="Times New Roman" w:cs="Times New Roman"/>
                <w:sz w:val="20"/>
                <w:szCs w:val="20"/>
              </w:rPr>
              <w:t>30%；具有工程师职称的，得</w:t>
            </w:r>
            <w:r>
              <w:rPr>
                <w:rFonts w:hint="eastAsia" w:ascii="Times New Roman" w:hAnsi="Times New Roman" w:cs="Times New Roman"/>
                <w:sz w:val="20"/>
                <w:szCs w:val="20"/>
                <w:lang w:eastAsia="zh-CN"/>
              </w:rPr>
              <w:t>权重（分数）的</w:t>
            </w:r>
            <w:r>
              <w:rPr>
                <w:rFonts w:ascii="Times New Roman" w:hAnsi="Times New Roman" w:cs="Times New Roman"/>
                <w:sz w:val="20"/>
                <w:szCs w:val="20"/>
              </w:rPr>
              <w:t>10%；</w:t>
            </w:r>
          </w:p>
          <w:p>
            <w:pPr>
              <w:spacing w:line="63" w:lineRule="atLeast"/>
              <w:jc w:val="left"/>
              <w:rPr>
                <w:rFonts w:ascii="Times New Roman" w:hAnsi="Times New Roman" w:cs="Times New Roman"/>
                <w:sz w:val="20"/>
                <w:szCs w:val="20"/>
              </w:rPr>
            </w:pPr>
            <w:r>
              <w:rPr>
                <w:rFonts w:ascii="Times New Roman" w:hAnsi="Times New Roman" w:cs="Times New Roman"/>
                <w:sz w:val="20"/>
                <w:szCs w:val="20"/>
              </w:rPr>
              <w:t>（2）具有环境类硕士学位的，得</w:t>
            </w:r>
            <w:r>
              <w:rPr>
                <w:rFonts w:hint="eastAsia" w:ascii="Times New Roman" w:hAnsi="Times New Roman" w:cs="Times New Roman"/>
                <w:sz w:val="20"/>
                <w:szCs w:val="20"/>
                <w:lang w:eastAsia="zh-CN"/>
              </w:rPr>
              <w:t>权重（分数）的</w:t>
            </w:r>
            <w:r>
              <w:rPr>
                <w:rFonts w:hint="eastAsia" w:ascii="Times New Roman" w:hAnsi="Times New Roman" w:cs="Times New Roman"/>
                <w:sz w:val="20"/>
                <w:szCs w:val="20"/>
              </w:rPr>
              <w:t>3</w:t>
            </w:r>
            <w:r>
              <w:rPr>
                <w:rFonts w:ascii="Times New Roman" w:hAnsi="Times New Roman" w:cs="Times New Roman"/>
                <w:sz w:val="20"/>
                <w:szCs w:val="20"/>
              </w:rPr>
              <w:t>0%；</w:t>
            </w:r>
          </w:p>
          <w:p>
            <w:pPr>
              <w:spacing w:line="63" w:lineRule="atLeast"/>
              <w:jc w:val="left"/>
              <w:rPr>
                <w:rFonts w:ascii="Times New Roman" w:hAnsi="Times New Roman" w:cs="Times New Roman"/>
                <w:sz w:val="20"/>
                <w:szCs w:val="20"/>
              </w:rPr>
            </w:pPr>
            <w:r>
              <w:rPr>
                <w:rFonts w:ascii="Times New Roman" w:hAnsi="Times New Roman" w:cs="Times New Roman"/>
                <w:sz w:val="20"/>
                <w:szCs w:val="20"/>
              </w:rPr>
              <w:t>（3）获奖情况：项目负责人获得区级及以上政府部门颁发的环保相关的证书，得</w:t>
            </w:r>
            <w:r>
              <w:rPr>
                <w:rFonts w:hint="eastAsia" w:ascii="Times New Roman" w:hAnsi="Times New Roman" w:cs="Times New Roman"/>
                <w:sz w:val="20"/>
                <w:szCs w:val="20"/>
                <w:lang w:eastAsia="zh-CN"/>
              </w:rPr>
              <w:t>权重（分数）的</w:t>
            </w:r>
            <w:r>
              <w:rPr>
                <w:rFonts w:hint="eastAsia" w:ascii="Times New Roman" w:hAnsi="Times New Roman" w:cs="Times New Roman"/>
                <w:sz w:val="20"/>
                <w:szCs w:val="20"/>
              </w:rPr>
              <w:t>4</w:t>
            </w:r>
            <w:r>
              <w:rPr>
                <w:rFonts w:ascii="Times New Roman" w:hAnsi="Times New Roman" w:cs="Times New Roman"/>
                <w:sz w:val="20"/>
                <w:szCs w:val="20"/>
              </w:rPr>
              <w:t>0%。</w:t>
            </w:r>
          </w:p>
          <w:p>
            <w:pPr>
              <w:spacing w:line="63" w:lineRule="atLeast"/>
              <w:jc w:val="left"/>
              <w:rPr>
                <w:rFonts w:hint="eastAsia" w:ascii="Times New Roman" w:hAnsi="Times New Roman" w:cs="Times New Roman" w:eastAsiaTheme="minorEastAsia"/>
                <w:sz w:val="20"/>
                <w:szCs w:val="20"/>
                <w:lang w:eastAsia="zh-CN"/>
              </w:rPr>
            </w:pPr>
            <w:r>
              <w:rPr>
                <w:rFonts w:ascii="Times New Roman" w:hAnsi="Times New Roman" w:cs="Times New Roman"/>
                <w:sz w:val="20"/>
                <w:szCs w:val="20"/>
              </w:rPr>
              <w:t>注：提供相关证书及投标人为其缴纳的</w:t>
            </w:r>
            <w:r>
              <w:rPr>
                <w:rFonts w:ascii="Times New Roman" w:hAnsi="Times New Roman" w:cs="Times New Roman"/>
                <w:sz w:val="20"/>
                <w:szCs w:val="20"/>
                <w:highlight w:val="none"/>
              </w:rPr>
              <w:t>近</w:t>
            </w:r>
            <w:r>
              <w:rPr>
                <w:rFonts w:hint="eastAsia" w:ascii="Times New Roman" w:hAnsi="Times New Roman" w:cs="Times New Roman"/>
                <w:sz w:val="20"/>
                <w:szCs w:val="20"/>
                <w:highlight w:val="none"/>
                <w:lang w:val="en-US" w:eastAsia="zh-CN"/>
              </w:rPr>
              <w:t>3</w:t>
            </w:r>
            <w:r>
              <w:rPr>
                <w:rFonts w:ascii="Times New Roman" w:hAnsi="Times New Roman" w:cs="Times New Roman"/>
                <w:sz w:val="20"/>
                <w:szCs w:val="20"/>
                <w:highlight w:val="none"/>
              </w:rPr>
              <w:t>个月社保</w:t>
            </w:r>
            <w:r>
              <w:rPr>
                <w:rFonts w:ascii="Times New Roman" w:hAnsi="Times New Roman" w:cs="Times New Roman"/>
                <w:sz w:val="20"/>
                <w:szCs w:val="20"/>
              </w:rPr>
              <w:t>证明复印件（原件备查）</w:t>
            </w:r>
            <w:r>
              <w:rPr>
                <w:rFonts w:hint="eastAsia" w:ascii="Times New Roman" w:hAnsi="Times New Roman" w:cs="Times New Roman"/>
                <w:sz w:val="20"/>
                <w:szCs w:val="20"/>
                <w:lang w:eastAsia="zh-CN"/>
              </w:rPr>
              <w:t>。</w:t>
            </w:r>
            <w:bookmarkStart w:id="0" w:name="_GoBack"/>
            <w:bookmarkEnd w:id="0"/>
          </w:p>
        </w:tc>
        <w:tc>
          <w:tcPr>
            <w:tcW w:w="388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p>
        </w:tc>
        <w:tc>
          <w:tcPr>
            <w:tcW w:w="1009" w:type="dxa"/>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p>
        </w:tc>
      </w:tr>
      <w:tr>
        <w:tblPrEx>
          <w:tblLayout w:type="fixed"/>
          <w:tblCellMar>
            <w:top w:w="0" w:type="dxa"/>
            <w:left w:w="108" w:type="dxa"/>
            <w:bottom w:w="0" w:type="dxa"/>
            <w:right w:w="108" w:type="dxa"/>
          </w:tblCellMar>
        </w:tblPrEx>
        <w:trPr>
          <w:trHeight w:val="987" w:hRule="atLeast"/>
          <w:jc w:val="center"/>
        </w:trPr>
        <w:tc>
          <w:tcPr>
            <w:tcW w:w="630"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cs="Times New Roman"/>
                <w:szCs w:val="21"/>
              </w:rPr>
            </w:pPr>
          </w:p>
        </w:tc>
        <w:tc>
          <w:tcPr>
            <w:tcW w:w="483" w:type="dxa"/>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5</w:t>
            </w:r>
          </w:p>
        </w:tc>
        <w:tc>
          <w:tcPr>
            <w:tcW w:w="1178" w:type="dxa"/>
            <w:gridSpan w:val="2"/>
            <w:tcBorders>
              <w:top w:val="single" w:color="auto" w:sz="4" w:space="0"/>
              <w:left w:val="nil"/>
              <w:bottom w:val="single" w:color="auto" w:sz="4" w:space="0"/>
              <w:right w:val="single" w:color="auto" w:sz="4" w:space="0"/>
            </w:tcBorders>
            <w:vAlign w:val="center"/>
          </w:tcPr>
          <w:p>
            <w:pPr>
              <w:spacing w:line="63" w:lineRule="atLeast"/>
              <w:jc w:val="center"/>
              <w:rPr>
                <w:rFonts w:ascii="Times New Roman" w:hAnsi="Times New Roman" w:cs="Times New Roman"/>
                <w:sz w:val="20"/>
                <w:szCs w:val="20"/>
              </w:rPr>
            </w:pPr>
            <w:r>
              <w:rPr>
                <w:rFonts w:ascii="Times New Roman" w:hAnsi="Times New Roman" w:cs="Times New Roman"/>
                <w:sz w:val="20"/>
                <w:szCs w:val="20"/>
              </w:rPr>
              <w:t>拟安排的项目团队成员（项目负责人除外）情况</w:t>
            </w:r>
          </w:p>
        </w:tc>
        <w:tc>
          <w:tcPr>
            <w:tcW w:w="709" w:type="dxa"/>
            <w:tcBorders>
              <w:top w:val="single" w:color="auto" w:sz="4" w:space="0"/>
              <w:left w:val="nil"/>
              <w:bottom w:val="single" w:color="auto" w:sz="4" w:space="0"/>
              <w:right w:val="single" w:color="auto" w:sz="4" w:space="0"/>
            </w:tcBorders>
            <w:vAlign w:val="center"/>
          </w:tcPr>
          <w:p>
            <w:pPr>
              <w:spacing w:line="63" w:lineRule="atLeast"/>
              <w:jc w:val="center"/>
              <w:rPr>
                <w:rFonts w:ascii="Times New Roman" w:hAnsi="Times New Roman" w:cs="Times New Roman"/>
                <w:sz w:val="20"/>
                <w:szCs w:val="20"/>
              </w:rPr>
            </w:pPr>
            <w:r>
              <w:rPr>
                <w:rFonts w:hint="eastAsia" w:ascii="Times New Roman" w:hAnsi="Times New Roman" w:cs="Times New Roman"/>
                <w:sz w:val="20"/>
                <w:szCs w:val="20"/>
              </w:rPr>
              <w:t>5</w:t>
            </w:r>
          </w:p>
        </w:tc>
        <w:tc>
          <w:tcPr>
            <w:tcW w:w="6244" w:type="dxa"/>
            <w:tcBorders>
              <w:top w:val="single" w:color="auto" w:sz="4" w:space="0"/>
              <w:left w:val="nil"/>
              <w:bottom w:val="single" w:color="auto" w:sz="4" w:space="0"/>
              <w:right w:val="single" w:color="auto" w:sz="4" w:space="0"/>
            </w:tcBorders>
            <w:vAlign w:val="center"/>
          </w:tcPr>
          <w:p>
            <w:pPr>
              <w:spacing w:line="63" w:lineRule="atLeast"/>
              <w:jc w:val="left"/>
              <w:rPr>
                <w:rFonts w:ascii="Times New Roman" w:hAnsi="Times New Roman" w:cs="Times New Roman"/>
                <w:sz w:val="20"/>
                <w:szCs w:val="20"/>
              </w:rPr>
            </w:pPr>
            <w:r>
              <w:rPr>
                <w:rFonts w:ascii="Times New Roman" w:hAnsi="Times New Roman" w:cs="Times New Roman"/>
                <w:sz w:val="20"/>
                <w:szCs w:val="20"/>
              </w:rPr>
              <w:t>拟安排团队成员总人数要求至少</w:t>
            </w:r>
            <w:r>
              <w:rPr>
                <w:rFonts w:hint="eastAsia" w:ascii="Times New Roman" w:hAnsi="Times New Roman" w:cs="Times New Roman"/>
                <w:sz w:val="20"/>
                <w:szCs w:val="20"/>
              </w:rPr>
              <w:t>5</w:t>
            </w:r>
            <w:r>
              <w:rPr>
                <w:rFonts w:ascii="Times New Roman" w:hAnsi="Times New Roman" w:cs="Times New Roman"/>
                <w:sz w:val="20"/>
                <w:szCs w:val="20"/>
              </w:rPr>
              <w:t>人，未达到人数要求的，不得分。拟安排团队成员中：</w:t>
            </w:r>
          </w:p>
          <w:p>
            <w:pPr>
              <w:spacing w:line="63" w:lineRule="atLeast"/>
              <w:jc w:val="left"/>
              <w:rPr>
                <w:rFonts w:ascii="Times New Roman" w:hAnsi="Times New Roman" w:cs="Times New Roman"/>
                <w:sz w:val="20"/>
                <w:szCs w:val="20"/>
              </w:rPr>
            </w:pPr>
            <w:r>
              <w:rPr>
                <w:rFonts w:ascii="Times New Roman" w:hAnsi="Times New Roman" w:cs="Times New Roman"/>
                <w:sz w:val="20"/>
                <w:szCs w:val="20"/>
              </w:rPr>
              <w:t>（1）具有“环境工程”或</w:t>
            </w:r>
            <w:r>
              <w:rPr>
                <w:rFonts w:hint="eastAsia" w:ascii="Times New Roman" w:hAnsi="Times New Roman" w:cs="Times New Roman"/>
                <w:sz w:val="20"/>
                <w:szCs w:val="20"/>
              </w:rPr>
              <w:t>“环境科学”</w:t>
            </w:r>
            <w:r>
              <w:rPr>
                <w:rFonts w:ascii="Times New Roman" w:hAnsi="Times New Roman" w:cs="Times New Roman"/>
                <w:sz w:val="20"/>
                <w:szCs w:val="20"/>
              </w:rPr>
              <w:t>或“环境监测”学历的，每一人得</w:t>
            </w:r>
            <w:r>
              <w:rPr>
                <w:rFonts w:hint="eastAsia" w:ascii="Times New Roman" w:hAnsi="Times New Roman" w:cs="Times New Roman"/>
                <w:sz w:val="20"/>
                <w:szCs w:val="20"/>
                <w:lang w:eastAsia="zh-CN"/>
              </w:rPr>
              <w:t>权重（分数）的</w:t>
            </w:r>
            <w:r>
              <w:rPr>
                <w:rFonts w:ascii="Times New Roman" w:hAnsi="Times New Roman" w:cs="Times New Roman"/>
                <w:sz w:val="20"/>
                <w:szCs w:val="20"/>
              </w:rPr>
              <w:t>10%，最高得</w:t>
            </w:r>
            <w:r>
              <w:rPr>
                <w:rFonts w:hint="eastAsia" w:ascii="Times New Roman" w:hAnsi="Times New Roman" w:cs="Times New Roman"/>
                <w:sz w:val="20"/>
                <w:szCs w:val="20"/>
                <w:lang w:eastAsia="zh-CN"/>
              </w:rPr>
              <w:t>权重（分数）的</w:t>
            </w:r>
            <w:r>
              <w:rPr>
                <w:rFonts w:hint="eastAsia" w:ascii="Times New Roman" w:hAnsi="Times New Roman" w:cs="Times New Roman"/>
                <w:sz w:val="20"/>
                <w:szCs w:val="20"/>
              </w:rPr>
              <w:t>50</w:t>
            </w:r>
            <w:r>
              <w:rPr>
                <w:rFonts w:ascii="Times New Roman" w:hAnsi="Times New Roman" w:cs="Times New Roman"/>
                <w:sz w:val="20"/>
                <w:szCs w:val="20"/>
              </w:rPr>
              <w:t>%。</w:t>
            </w:r>
          </w:p>
          <w:p>
            <w:pPr>
              <w:spacing w:line="63" w:lineRule="atLeast"/>
              <w:jc w:val="left"/>
              <w:rPr>
                <w:rFonts w:ascii="Times New Roman" w:hAnsi="Times New Roman" w:cs="Times New Roman"/>
                <w:sz w:val="20"/>
                <w:szCs w:val="20"/>
              </w:rPr>
            </w:pPr>
            <w:r>
              <w:rPr>
                <w:rFonts w:ascii="Times New Roman" w:hAnsi="Times New Roman" w:cs="Times New Roman"/>
                <w:sz w:val="20"/>
                <w:szCs w:val="20"/>
              </w:rPr>
              <w:t>（2）具有环保类工程师职称（含）以上，每一人得</w:t>
            </w:r>
            <w:r>
              <w:rPr>
                <w:rFonts w:hint="eastAsia" w:ascii="Times New Roman" w:hAnsi="Times New Roman" w:cs="Times New Roman"/>
                <w:sz w:val="20"/>
                <w:szCs w:val="20"/>
                <w:lang w:eastAsia="zh-CN"/>
              </w:rPr>
              <w:t>权重（分数）的</w:t>
            </w:r>
            <w:r>
              <w:rPr>
                <w:rFonts w:hint="eastAsia" w:ascii="Times New Roman" w:hAnsi="Times New Roman" w:cs="Times New Roman"/>
                <w:sz w:val="20"/>
                <w:szCs w:val="20"/>
              </w:rPr>
              <w:t>25</w:t>
            </w:r>
            <w:r>
              <w:rPr>
                <w:rFonts w:ascii="Times New Roman" w:hAnsi="Times New Roman" w:cs="Times New Roman"/>
                <w:sz w:val="20"/>
                <w:szCs w:val="20"/>
              </w:rPr>
              <w:t>%，最高得</w:t>
            </w:r>
            <w:r>
              <w:rPr>
                <w:rFonts w:hint="eastAsia" w:ascii="Times New Roman" w:hAnsi="Times New Roman" w:cs="Times New Roman"/>
                <w:sz w:val="20"/>
                <w:szCs w:val="20"/>
                <w:lang w:eastAsia="zh-CN"/>
              </w:rPr>
              <w:t>权重（分数）的</w:t>
            </w:r>
            <w:r>
              <w:rPr>
                <w:rFonts w:hint="eastAsia" w:ascii="Times New Roman" w:hAnsi="Times New Roman" w:cs="Times New Roman"/>
                <w:sz w:val="20"/>
                <w:szCs w:val="20"/>
              </w:rPr>
              <w:t>50</w:t>
            </w:r>
            <w:r>
              <w:rPr>
                <w:rFonts w:ascii="Times New Roman" w:hAnsi="Times New Roman" w:cs="Times New Roman"/>
                <w:sz w:val="20"/>
                <w:szCs w:val="20"/>
              </w:rPr>
              <w:t>%。</w:t>
            </w:r>
          </w:p>
          <w:p>
            <w:pPr>
              <w:spacing w:line="63" w:lineRule="atLeast"/>
              <w:jc w:val="left"/>
              <w:rPr>
                <w:rFonts w:ascii="Times New Roman" w:hAnsi="Times New Roman" w:cs="Times New Roman"/>
                <w:sz w:val="20"/>
                <w:szCs w:val="20"/>
              </w:rPr>
            </w:pPr>
            <w:r>
              <w:rPr>
                <w:rFonts w:ascii="Times New Roman" w:hAnsi="Times New Roman" w:cs="Times New Roman"/>
                <w:sz w:val="20"/>
                <w:szCs w:val="20"/>
              </w:rPr>
              <w:t>注：提供相关证书及投标人为其缴纳的</w:t>
            </w:r>
            <w:r>
              <w:rPr>
                <w:rFonts w:ascii="Times New Roman" w:hAnsi="Times New Roman" w:cs="Times New Roman"/>
                <w:sz w:val="20"/>
                <w:szCs w:val="20"/>
                <w:highlight w:val="none"/>
              </w:rPr>
              <w:t>近</w:t>
            </w:r>
            <w:r>
              <w:rPr>
                <w:rFonts w:hint="eastAsia" w:ascii="Times New Roman" w:hAnsi="Times New Roman" w:cs="Times New Roman"/>
                <w:sz w:val="20"/>
                <w:szCs w:val="20"/>
                <w:highlight w:val="none"/>
                <w:lang w:val="en-US" w:eastAsia="zh-CN"/>
              </w:rPr>
              <w:t>1</w:t>
            </w:r>
            <w:r>
              <w:rPr>
                <w:rFonts w:ascii="Times New Roman" w:hAnsi="Times New Roman" w:cs="Times New Roman"/>
                <w:sz w:val="20"/>
                <w:szCs w:val="20"/>
                <w:highlight w:val="none"/>
              </w:rPr>
              <w:t>个月社保</w:t>
            </w:r>
            <w:r>
              <w:rPr>
                <w:rFonts w:ascii="Times New Roman" w:hAnsi="Times New Roman" w:cs="Times New Roman"/>
                <w:sz w:val="20"/>
                <w:szCs w:val="20"/>
              </w:rPr>
              <w:t>证明复印件（原件备查）。</w:t>
            </w:r>
          </w:p>
        </w:tc>
        <w:tc>
          <w:tcPr>
            <w:tcW w:w="388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p>
        </w:tc>
        <w:tc>
          <w:tcPr>
            <w:tcW w:w="1009" w:type="dxa"/>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p>
        </w:tc>
      </w:tr>
      <w:tr>
        <w:tblPrEx>
          <w:tblLayout w:type="fixed"/>
          <w:tblCellMar>
            <w:top w:w="0" w:type="dxa"/>
            <w:left w:w="108" w:type="dxa"/>
            <w:bottom w:w="0" w:type="dxa"/>
            <w:right w:w="108" w:type="dxa"/>
          </w:tblCellMar>
        </w:tblPrEx>
        <w:trPr>
          <w:trHeight w:val="548"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hint="eastAsia" w:ascii="Times New Roman" w:hAnsi="Times New Roman" w:cs="Times New Roman" w:eastAsiaTheme="minorEastAsia"/>
                <w:szCs w:val="21"/>
                <w:lang w:eastAsia="zh-CN"/>
              </w:rPr>
            </w:pPr>
            <w:r>
              <w:rPr>
                <w:rFonts w:hint="eastAsia" w:ascii="Times New Roman" w:hAnsi="Times New Roman" w:cs="Times New Roman"/>
                <w:szCs w:val="21"/>
                <w:lang w:eastAsia="zh-CN"/>
              </w:rPr>
              <w:t>三</w:t>
            </w:r>
          </w:p>
        </w:tc>
        <w:tc>
          <w:tcPr>
            <w:tcW w:w="2370"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综合实力部分（权重</w:t>
            </w:r>
            <w:r>
              <w:rPr>
                <w:rFonts w:hint="eastAsia" w:ascii="Times New Roman" w:hAnsi="Times New Roman" w:cs="Times New Roman"/>
                <w:szCs w:val="21"/>
              </w:rPr>
              <w:t>30</w:t>
            </w:r>
            <w:r>
              <w:rPr>
                <w:rFonts w:ascii="Times New Roman" w:hAnsi="Times New Roman" w:cs="Times New Roman"/>
                <w:szCs w:val="21"/>
              </w:rPr>
              <w:t>）</w:t>
            </w:r>
          </w:p>
        </w:tc>
        <w:tc>
          <w:tcPr>
            <w:tcW w:w="6244" w:type="dxa"/>
            <w:vMerge w:val="restart"/>
            <w:tcBorders>
              <w:top w:val="single" w:color="auto" w:sz="4" w:space="0"/>
              <w:left w:val="nil"/>
              <w:right w:val="single" w:color="auto" w:sz="4" w:space="0"/>
            </w:tcBorders>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评分准则</w:t>
            </w:r>
          </w:p>
        </w:tc>
        <w:tc>
          <w:tcPr>
            <w:tcW w:w="3889" w:type="dxa"/>
            <w:gridSpan w:val="2"/>
            <w:vMerge w:val="restart"/>
            <w:tcBorders>
              <w:top w:val="single" w:color="auto" w:sz="4" w:space="0"/>
              <w:left w:val="nil"/>
              <w:right w:val="single" w:color="auto" w:sz="4" w:space="0"/>
            </w:tcBorders>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评分记录</w:t>
            </w:r>
          </w:p>
        </w:tc>
        <w:tc>
          <w:tcPr>
            <w:tcW w:w="1009" w:type="dxa"/>
            <w:vMerge w:val="restart"/>
            <w:tcBorders>
              <w:top w:val="single" w:color="auto" w:sz="4" w:space="0"/>
              <w:left w:val="nil"/>
              <w:right w:val="single" w:color="auto" w:sz="4" w:space="0"/>
            </w:tcBorders>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评分</w:t>
            </w:r>
          </w:p>
        </w:tc>
      </w:tr>
      <w:tr>
        <w:tblPrEx>
          <w:tblLayout w:type="fixed"/>
          <w:tblCellMar>
            <w:top w:w="0" w:type="dxa"/>
            <w:left w:w="108" w:type="dxa"/>
            <w:bottom w:w="0" w:type="dxa"/>
            <w:right w:w="108" w:type="dxa"/>
          </w:tblCellMar>
        </w:tblPrEx>
        <w:trPr>
          <w:trHeight w:val="20" w:hRule="atLeast"/>
          <w:jc w:val="center"/>
        </w:trPr>
        <w:tc>
          <w:tcPr>
            <w:tcW w:w="630" w:type="dxa"/>
            <w:vMerge w:val="restart"/>
            <w:tcBorders>
              <w:top w:val="nil"/>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Times New Roman" w:hAnsi="Times New Roman" w:cs="Times New Roman"/>
                <w:szCs w:val="21"/>
              </w:rPr>
            </w:pPr>
          </w:p>
        </w:tc>
        <w:tc>
          <w:tcPr>
            <w:tcW w:w="483" w:type="dxa"/>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序号</w:t>
            </w:r>
          </w:p>
        </w:tc>
        <w:tc>
          <w:tcPr>
            <w:tcW w:w="1178"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评分因素</w:t>
            </w:r>
          </w:p>
        </w:tc>
        <w:tc>
          <w:tcPr>
            <w:tcW w:w="709" w:type="dxa"/>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权重</w:t>
            </w:r>
          </w:p>
        </w:tc>
        <w:tc>
          <w:tcPr>
            <w:tcW w:w="6244" w:type="dxa"/>
            <w:vMerge w:val="continue"/>
            <w:tcBorders>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p>
        </w:tc>
        <w:tc>
          <w:tcPr>
            <w:tcW w:w="3889" w:type="dxa"/>
            <w:gridSpan w:val="2"/>
            <w:vMerge w:val="continue"/>
            <w:tcBorders>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p>
        </w:tc>
        <w:tc>
          <w:tcPr>
            <w:tcW w:w="1009" w:type="dxa"/>
            <w:vMerge w:val="continue"/>
            <w:tcBorders>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p>
        </w:tc>
      </w:tr>
      <w:tr>
        <w:tblPrEx>
          <w:tblLayout w:type="fixed"/>
          <w:tblCellMar>
            <w:top w:w="0" w:type="dxa"/>
            <w:left w:w="108" w:type="dxa"/>
            <w:bottom w:w="0" w:type="dxa"/>
            <w:right w:w="108" w:type="dxa"/>
          </w:tblCellMar>
        </w:tblPrEx>
        <w:trPr>
          <w:trHeight w:val="20" w:hRule="atLeast"/>
          <w:jc w:val="center"/>
        </w:trPr>
        <w:tc>
          <w:tcPr>
            <w:tcW w:w="63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cs="Times New Roman"/>
                <w:szCs w:val="21"/>
              </w:rPr>
            </w:pPr>
          </w:p>
        </w:tc>
        <w:tc>
          <w:tcPr>
            <w:tcW w:w="483" w:type="dxa"/>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 w:val="20"/>
                <w:szCs w:val="20"/>
              </w:rPr>
            </w:pPr>
            <w:r>
              <w:rPr>
                <w:rFonts w:ascii="Times New Roman" w:hAnsi="Times New Roman" w:cs="Times New Roman"/>
                <w:sz w:val="20"/>
                <w:szCs w:val="20"/>
              </w:rPr>
              <w:t>1</w:t>
            </w:r>
          </w:p>
        </w:tc>
        <w:tc>
          <w:tcPr>
            <w:tcW w:w="1178"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 w:val="20"/>
                <w:szCs w:val="20"/>
              </w:rPr>
            </w:pPr>
            <w:r>
              <w:rPr>
                <w:rFonts w:ascii="Times New Roman" w:hAnsi="Times New Roman" w:cs="Times New Roman"/>
                <w:sz w:val="20"/>
                <w:szCs w:val="20"/>
              </w:rPr>
              <w:t>资质条件</w:t>
            </w:r>
          </w:p>
        </w:tc>
        <w:tc>
          <w:tcPr>
            <w:tcW w:w="709" w:type="dxa"/>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 w:val="20"/>
                <w:szCs w:val="20"/>
              </w:rPr>
            </w:pPr>
            <w:r>
              <w:rPr>
                <w:rFonts w:ascii="Times New Roman" w:hAnsi="Times New Roman" w:cs="Times New Roman"/>
                <w:sz w:val="20"/>
                <w:szCs w:val="20"/>
              </w:rPr>
              <w:t>5</w:t>
            </w:r>
          </w:p>
        </w:tc>
        <w:tc>
          <w:tcPr>
            <w:tcW w:w="6244" w:type="dxa"/>
            <w:tcBorders>
              <w:top w:val="single" w:color="auto" w:sz="4" w:space="0"/>
              <w:left w:val="nil"/>
              <w:bottom w:val="single" w:color="auto" w:sz="4" w:space="0"/>
              <w:right w:val="single" w:color="auto" w:sz="4" w:space="0"/>
            </w:tcBorders>
            <w:vAlign w:val="center"/>
          </w:tcPr>
          <w:p>
            <w:pPr>
              <w:spacing w:line="320" w:lineRule="exac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lang w:eastAsia="zh-CN"/>
              </w:rPr>
              <w:t>（</w:t>
            </w:r>
            <w:r>
              <w:rPr>
                <w:rFonts w:hint="eastAsia" w:ascii="Times New Roman" w:hAnsi="Times New Roman" w:cs="Times New Roman"/>
                <w:sz w:val="20"/>
                <w:szCs w:val="20"/>
                <w:highlight w:val="none"/>
                <w:lang w:val="en-US" w:eastAsia="zh-CN"/>
              </w:rPr>
              <w:t>1</w:t>
            </w:r>
            <w:r>
              <w:rPr>
                <w:rFonts w:hint="eastAsia" w:ascii="Times New Roman" w:hAnsi="Times New Roman" w:cs="Times New Roman"/>
                <w:sz w:val="20"/>
                <w:szCs w:val="20"/>
                <w:highlight w:val="none"/>
                <w:lang w:eastAsia="zh-CN"/>
              </w:rPr>
              <w:t>）</w:t>
            </w:r>
            <w:r>
              <w:rPr>
                <w:rFonts w:ascii="Times New Roman" w:hAnsi="Times New Roman" w:cs="Times New Roman"/>
                <w:sz w:val="20"/>
                <w:szCs w:val="20"/>
                <w:highlight w:val="none"/>
              </w:rPr>
              <w:t>具有深圳市政府采购供应商资格得</w:t>
            </w:r>
            <w:r>
              <w:rPr>
                <w:rFonts w:hint="eastAsia" w:ascii="Times New Roman" w:hAnsi="Times New Roman" w:cs="Times New Roman"/>
                <w:sz w:val="20"/>
                <w:szCs w:val="20"/>
                <w:lang w:eastAsia="zh-CN"/>
              </w:rPr>
              <w:t>权重（分数）的</w:t>
            </w:r>
            <w:r>
              <w:rPr>
                <w:rFonts w:hint="eastAsia" w:ascii="Times New Roman" w:hAnsi="Times New Roman" w:cs="Times New Roman"/>
                <w:sz w:val="20"/>
                <w:szCs w:val="20"/>
                <w:highlight w:val="none"/>
                <w:lang w:val="en-US" w:eastAsia="zh-CN"/>
              </w:rPr>
              <w:t>5</w:t>
            </w:r>
            <w:r>
              <w:rPr>
                <w:rFonts w:ascii="Times New Roman" w:hAnsi="Times New Roman" w:cs="Times New Roman"/>
                <w:sz w:val="20"/>
                <w:szCs w:val="20"/>
                <w:highlight w:val="none"/>
              </w:rPr>
              <w:t>0%。</w:t>
            </w:r>
          </w:p>
          <w:p>
            <w:pPr>
              <w:spacing w:line="320" w:lineRule="exact"/>
              <w:rPr>
                <w:rFonts w:ascii="Times New Roman" w:hAnsi="Times New Roman" w:cs="Times New Roman"/>
                <w:sz w:val="20"/>
                <w:szCs w:val="20"/>
                <w:highlight w:val="none"/>
              </w:rPr>
            </w:pPr>
            <w:r>
              <w:rPr>
                <w:rFonts w:ascii="Times New Roman" w:hAnsi="Times New Roman" w:cs="Times New Roman"/>
                <w:sz w:val="20"/>
                <w:szCs w:val="20"/>
                <w:highlight w:val="none"/>
              </w:rPr>
              <w:t>注：投标人需提供深圳市政府采购供应商注册卡复印件（原件备查）。</w:t>
            </w:r>
          </w:p>
          <w:p>
            <w:pPr>
              <w:numPr>
                <w:ilvl w:val="0"/>
                <w:numId w:val="0"/>
              </w:numPr>
              <w:spacing w:line="320" w:lineRule="exact"/>
              <w:rPr>
                <w:rFonts w:ascii="Times New Roman" w:hAnsi="Times New Roman" w:cs="Times New Roman"/>
                <w:sz w:val="20"/>
                <w:szCs w:val="20"/>
                <w:highlight w:val="yellow"/>
              </w:rPr>
            </w:pPr>
            <w:r>
              <w:rPr>
                <w:rFonts w:hint="eastAsia" w:ascii="Times New Roman" w:hAnsi="Times New Roman" w:cs="Times New Roman"/>
                <w:sz w:val="20"/>
                <w:szCs w:val="20"/>
                <w:highlight w:val="none"/>
                <w:lang w:eastAsia="zh-CN"/>
              </w:rPr>
              <w:t>（</w:t>
            </w:r>
            <w:r>
              <w:rPr>
                <w:rFonts w:hint="eastAsia" w:ascii="Times New Roman" w:hAnsi="Times New Roman" w:cs="Times New Roman"/>
                <w:sz w:val="20"/>
                <w:szCs w:val="20"/>
                <w:highlight w:val="none"/>
                <w:lang w:val="en-US" w:eastAsia="zh-CN"/>
              </w:rPr>
              <w:t>2</w:t>
            </w:r>
            <w:r>
              <w:rPr>
                <w:rFonts w:hint="eastAsia" w:ascii="Times New Roman" w:hAnsi="Times New Roman" w:cs="Times New Roman"/>
                <w:sz w:val="20"/>
                <w:szCs w:val="20"/>
                <w:highlight w:val="none"/>
                <w:lang w:eastAsia="zh-CN"/>
              </w:rPr>
              <w:t>）是</w:t>
            </w:r>
            <w:r>
              <w:rPr>
                <w:rFonts w:hint="eastAsia" w:ascii="Times New Roman" w:hAnsi="Times New Roman" w:cs="Times New Roman"/>
                <w:sz w:val="20"/>
                <w:szCs w:val="20"/>
                <w:highlight w:val="none"/>
              </w:rPr>
              <w:t>在中国境内注册的独立法人，</w:t>
            </w:r>
            <w:r>
              <w:rPr>
                <w:rFonts w:hint="eastAsia" w:ascii="Times New Roman" w:hAnsi="Times New Roman" w:cs="Times New Roman"/>
                <w:sz w:val="20"/>
                <w:szCs w:val="20"/>
                <w:highlight w:val="none"/>
                <w:lang w:eastAsia="zh-CN"/>
              </w:rPr>
              <w:t>且</w:t>
            </w:r>
            <w:r>
              <w:rPr>
                <w:rFonts w:hint="eastAsia" w:ascii="Times New Roman" w:hAnsi="Times New Roman" w:cs="Times New Roman"/>
                <w:sz w:val="20"/>
                <w:szCs w:val="20"/>
                <w:highlight w:val="none"/>
              </w:rPr>
              <w:t>在深圳市民政局颁发的深圳市具备承接政府转移职能和购买服务的社会组织目录中</w:t>
            </w:r>
            <w:r>
              <w:rPr>
                <w:rFonts w:hint="eastAsia" w:ascii="Times New Roman" w:hAnsi="Times New Roman" w:cs="Times New Roman"/>
                <w:sz w:val="20"/>
                <w:szCs w:val="20"/>
                <w:highlight w:val="none"/>
                <w:lang w:eastAsia="zh-CN"/>
              </w:rPr>
              <w:t>的</w:t>
            </w:r>
            <w:r>
              <w:rPr>
                <w:rFonts w:ascii="Times New Roman" w:hAnsi="Times New Roman" w:cs="Times New Roman"/>
                <w:sz w:val="20"/>
                <w:szCs w:val="20"/>
                <w:highlight w:val="none"/>
              </w:rPr>
              <w:t>得</w:t>
            </w:r>
            <w:r>
              <w:rPr>
                <w:rFonts w:hint="eastAsia" w:ascii="Times New Roman" w:hAnsi="Times New Roman" w:cs="Times New Roman"/>
                <w:sz w:val="20"/>
                <w:szCs w:val="20"/>
                <w:lang w:eastAsia="zh-CN"/>
              </w:rPr>
              <w:t>权重（分数）的</w:t>
            </w:r>
            <w:r>
              <w:rPr>
                <w:rFonts w:hint="eastAsia" w:ascii="Times New Roman" w:hAnsi="Times New Roman" w:cs="Times New Roman"/>
                <w:sz w:val="20"/>
                <w:szCs w:val="20"/>
                <w:highlight w:val="none"/>
                <w:lang w:val="en-US" w:eastAsia="zh-CN"/>
              </w:rPr>
              <w:t>5</w:t>
            </w:r>
            <w:r>
              <w:rPr>
                <w:rFonts w:ascii="Times New Roman" w:hAnsi="Times New Roman" w:cs="Times New Roman"/>
                <w:sz w:val="20"/>
                <w:szCs w:val="20"/>
                <w:highlight w:val="none"/>
              </w:rPr>
              <w:t>0%。</w:t>
            </w:r>
          </w:p>
          <w:p>
            <w:pPr>
              <w:numPr>
                <w:ilvl w:val="0"/>
                <w:numId w:val="0"/>
              </w:numPr>
              <w:spacing w:line="320" w:lineRule="exact"/>
              <w:rPr>
                <w:rFonts w:ascii="Times New Roman" w:hAnsi="Times New Roman" w:cs="Times New Roman"/>
                <w:sz w:val="20"/>
                <w:szCs w:val="20"/>
                <w:highlight w:val="yellow"/>
              </w:rPr>
            </w:pPr>
            <w:r>
              <w:rPr>
                <w:rFonts w:hint="eastAsia" w:ascii="Times New Roman" w:hAnsi="Times New Roman" w:cs="Times New Roman"/>
                <w:sz w:val="20"/>
                <w:szCs w:val="20"/>
                <w:highlight w:val="none"/>
                <w:lang w:eastAsia="zh-CN"/>
              </w:rPr>
              <w:t>注：</w:t>
            </w:r>
            <w:r>
              <w:rPr>
                <w:rFonts w:ascii="Times New Roman" w:hAnsi="Times New Roman" w:cs="Times New Roman"/>
                <w:sz w:val="20"/>
                <w:szCs w:val="20"/>
                <w:highlight w:val="none"/>
              </w:rPr>
              <w:t>投标人需</w:t>
            </w:r>
            <w:r>
              <w:rPr>
                <w:rFonts w:hint="eastAsia" w:ascii="Times New Roman" w:hAnsi="Times New Roman" w:cs="Times New Roman"/>
                <w:sz w:val="20"/>
                <w:szCs w:val="20"/>
                <w:highlight w:val="none"/>
              </w:rPr>
              <w:t>提供相应证明</w:t>
            </w:r>
            <w:r>
              <w:rPr>
                <w:rFonts w:hint="eastAsia" w:ascii="Times New Roman" w:hAnsi="Times New Roman" w:cs="Times New Roman"/>
                <w:sz w:val="20"/>
                <w:szCs w:val="20"/>
                <w:highlight w:val="none"/>
                <w:lang w:eastAsia="zh-CN"/>
              </w:rPr>
              <w:t>文件复印件</w:t>
            </w:r>
            <w:r>
              <w:rPr>
                <w:rFonts w:hint="eastAsia" w:ascii="Times New Roman" w:hAnsi="Times New Roman" w:cs="Times New Roman"/>
                <w:sz w:val="20"/>
                <w:szCs w:val="20"/>
                <w:highlight w:val="none"/>
              </w:rPr>
              <w:t>。</w:t>
            </w:r>
          </w:p>
        </w:tc>
        <w:tc>
          <w:tcPr>
            <w:tcW w:w="388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p>
        </w:tc>
        <w:tc>
          <w:tcPr>
            <w:tcW w:w="1009" w:type="dxa"/>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p>
        </w:tc>
      </w:tr>
      <w:tr>
        <w:tblPrEx>
          <w:tblLayout w:type="fixed"/>
          <w:tblCellMar>
            <w:top w:w="0" w:type="dxa"/>
            <w:left w:w="108" w:type="dxa"/>
            <w:bottom w:w="0" w:type="dxa"/>
            <w:right w:w="108" w:type="dxa"/>
          </w:tblCellMar>
        </w:tblPrEx>
        <w:trPr>
          <w:trHeight w:val="20" w:hRule="atLeast"/>
          <w:jc w:val="center"/>
        </w:trPr>
        <w:tc>
          <w:tcPr>
            <w:tcW w:w="63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cs="Times New Roman"/>
                <w:szCs w:val="21"/>
              </w:rPr>
            </w:pPr>
          </w:p>
        </w:tc>
        <w:tc>
          <w:tcPr>
            <w:tcW w:w="483" w:type="dxa"/>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 w:val="20"/>
                <w:szCs w:val="20"/>
              </w:rPr>
            </w:pPr>
            <w:r>
              <w:rPr>
                <w:rFonts w:ascii="Times New Roman" w:hAnsi="Times New Roman" w:cs="Times New Roman"/>
                <w:sz w:val="20"/>
                <w:szCs w:val="20"/>
              </w:rPr>
              <w:t>2</w:t>
            </w:r>
          </w:p>
        </w:tc>
        <w:tc>
          <w:tcPr>
            <w:tcW w:w="1178"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 w:val="20"/>
                <w:szCs w:val="20"/>
              </w:rPr>
            </w:pPr>
            <w:r>
              <w:rPr>
                <w:rFonts w:ascii="Times New Roman" w:hAnsi="Times New Roman" w:cs="Times New Roman"/>
                <w:sz w:val="20"/>
                <w:szCs w:val="20"/>
              </w:rPr>
              <w:t>投标人同类项目业绩情况</w:t>
            </w:r>
          </w:p>
        </w:tc>
        <w:tc>
          <w:tcPr>
            <w:tcW w:w="709" w:type="dxa"/>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 w:val="20"/>
                <w:szCs w:val="20"/>
              </w:rPr>
            </w:pPr>
            <w:r>
              <w:rPr>
                <w:rFonts w:hint="eastAsia" w:ascii="Times New Roman" w:hAnsi="Times New Roman" w:cs="Times New Roman"/>
                <w:sz w:val="20"/>
                <w:szCs w:val="20"/>
              </w:rPr>
              <w:t>20</w:t>
            </w:r>
          </w:p>
        </w:tc>
        <w:tc>
          <w:tcPr>
            <w:tcW w:w="6244" w:type="dxa"/>
            <w:tcBorders>
              <w:top w:val="single" w:color="auto" w:sz="4" w:space="0"/>
              <w:left w:val="nil"/>
              <w:bottom w:val="single" w:color="auto" w:sz="4" w:space="0"/>
              <w:right w:val="single" w:color="auto" w:sz="4" w:space="0"/>
            </w:tcBorders>
          </w:tcPr>
          <w:p>
            <w:pPr>
              <w:spacing w:line="63" w:lineRule="atLeast"/>
              <w:jc w:val="left"/>
              <w:rPr>
                <w:rFonts w:ascii="Times New Roman" w:hAnsi="Times New Roman" w:cs="Times New Roman"/>
                <w:sz w:val="20"/>
                <w:szCs w:val="20"/>
              </w:rPr>
            </w:pPr>
            <w:r>
              <w:rPr>
                <w:rFonts w:ascii="Times New Roman" w:hAnsi="Times New Roman" w:cs="Times New Roman"/>
                <w:sz w:val="20"/>
                <w:szCs w:val="20"/>
              </w:rPr>
              <w:t>（1） 投标人近三年承担过深圳市人居环境委员会或各区（新区）环保部门委托的污染源调查、质量核查控制方面的技术服务项目，项目名称须有“污染源普查”或“质量核查”字样之一，每提供一个合同得</w:t>
            </w:r>
            <w:r>
              <w:rPr>
                <w:rFonts w:hint="eastAsia" w:ascii="Times New Roman" w:hAnsi="Times New Roman" w:cs="Times New Roman"/>
                <w:sz w:val="20"/>
                <w:szCs w:val="20"/>
                <w:lang w:eastAsia="zh-CN"/>
              </w:rPr>
              <w:t>权重（分数）的</w:t>
            </w:r>
            <w:r>
              <w:rPr>
                <w:rFonts w:ascii="Times New Roman" w:hAnsi="Times New Roman" w:cs="Times New Roman"/>
                <w:sz w:val="20"/>
                <w:szCs w:val="20"/>
              </w:rPr>
              <w:t>30%，最高得</w:t>
            </w:r>
            <w:r>
              <w:rPr>
                <w:rFonts w:hint="eastAsia" w:ascii="Times New Roman" w:hAnsi="Times New Roman" w:cs="Times New Roman"/>
                <w:sz w:val="20"/>
                <w:szCs w:val="20"/>
                <w:lang w:eastAsia="zh-CN"/>
              </w:rPr>
              <w:t>权重（分数）的</w:t>
            </w:r>
            <w:r>
              <w:rPr>
                <w:rFonts w:ascii="Times New Roman" w:hAnsi="Times New Roman" w:cs="Times New Roman"/>
                <w:sz w:val="20"/>
                <w:szCs w:val="20"/>
              </w:rPr>
              <w:t>60%；</w:t>
            </w:r>
          </w:p>
          <w:p>
            <w:pPr>
              <w:spacing w:line="63" w:lineRule="atLeast"/>
              <w:jc w:val="left"/>
              <w:rPr>
                <w:rFonts w:ascii="Times New Roman" w:hAnsi="Times New Roman" w:cs="Times New Roman"/>
                <w:sz w:val="20"/>
                <w:szCs w:val="20"/>
              </w:rPr>
            </w:pPr>
            <w:r>
              <w:rPr>
                <w:rFonts w:ascii="Times New Roman" w:hAnsi="Times New Roman" w:cs="Times New Roman"/>
                <w:sz w:val="20"/>
                <w:szCs w:val="20"/>
              </w:rPr>
              <w:t>（2） 投标人近三年承担过区级及以上政府部门委托的生态环保核查类项目，项目名称须有“调查”或“审核”或“考核”或“核查”字样之一，每提供一个合同得</w:t>
            </w:r>
            <w:r>
              <w:rPr>
                <w:rFonts w:hint="eastAsia" w:ascii="Times New Roman" w:hAnsi="Times New Roman" w:cs="Times New Roman"/>
                <w:sz w:val="20"/>
                <w:szCs w:val="20"/>
                <w:lang w:eastAsia="zh-CN"/>
              </w:rPr>
              <w:t>权重（分数）的</w:t>
            </w:r>
            <w:r>
              <w:rPr>
                <w:rFonts w:ascii="Times New Roman" w:hAnsi="Times New Roman" w:cs="Times New Roman"/>
                <w:sz w:val="20"/>
                <w:szCs w:val="20"/>
              </w:rPr>
              <w:t>10%，最高得</w:t>
            </w:r>
            <w:r>
              <w:rPr>
                <w:rFonts w:hint="eastAsia" w:ascii="Times New Roman" w:hAnsi="Times New Roman" w:cs="Times New Roman"/>
                <w:sz w:val="20"/>
                <w:szCs w:val="20"/>
                <w:lang w:eastAsia="zh-CN"/>
              </w:rPr>
              <w:t>权重（分数）的</w:t>
            </w:r>
            <w:r>
              <w:rPr>
                <w:rFonts w:ascii="Times New Roman" w:hAnsi="Times New Roman" w:cs="Times New Roman"/>
                <w:sz w:val="20"/>
                <w:szCs w:val="20"/>
              </w:rPr>
              <w:t xml:space="preserve">40%。 </w:t>
            </w:r>
          </w:p>
          <w:p>
            <w:pPr>
              <w:spacing w:line="63" w:lineRule="atLeast"/>
              <w:jc w:val="left"/>
              <w:rPr>
                <w:rFonts w:ascii="Times New Roman" w:hAnsi="Times New Roman" w:cs="Times New Roman"/>
                <w:sz w:val="20"/>
                <w:szCs w:val="20"/>
              </w:rPr>
            </w:pPr>
            <w:r>
              <w:rPr>
                <w:rFonts w:ascii="Times New Roman" w:hAnsi="Times New Roman" w:cs="Times New Roman"/>
                <w:sz w:val="20"/>
                <w:szCs w:val="20"/>
              </w:rPr>
              <w:t>注：1）业绩须提供合同关键信息复印件（原件备查）；2）合同签订时间</w:t>
            </w:r>
            <w:r>
              <w:rPr>
                <w:rFonts w:ascii="Times New Roman" w:hAnsi="Times New Roman" w:cs="Times New Roman"/>
                <w:sz w:val="20"/>
                <w:szCs w:val="20"/>
                <w:highlight w:val="none"/>
              </w:rPr>
              <w:t>为2015年</w:t>
            </w:r>
            <w:r>
              <w:rPr>
                <w:rFonts w:hint="eastAsia" w:ascii="Times New Roman" w:hAnsi="Times New Roman" w:cs="Times New Roman"/>
                <w:sz w:val="20"/>
                <w:szCs w:val="20"/>
                <w:highlight w:val="none"/>
                <w:lang w:val="en-US" w:eastAsia="zh-CN"/>
              </w:rPr>
              <w:t>1</w:t>
            </w:r>
            <w:r>
              <w:rPr>
                <w:rFonts w:ascii="Times New Roman" w:hAnsi="Times New Roman" w:cs="Times New Roman"/>
                <w:sz w:val="20"/>
                <w:szCs w:val="20"/>
                <w:highlight w:val="none"/>
              </w:rPr>
              <w:t>月1日至投标</w:t>
            </w:r>
            <w:r>
              <w:rPr>
                <w:rFonts w:ascii="Times New Roman" w:hAnsi="Times New Roman" w:cs="Times New Roman"/>
                <w:sz w:val="20"/>
                <w:szCs w:val="20"/>
              </w:rPr>
              <w:t>截止时间前。</w:t>
            </w:r>
          </w:p>
        </w:tc>
        <w:tc>
          <w:tcPr>
            <w:tcW w:w="388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 w:val="22"/>
              </w:rPr>
            </w:pPr>
          </w:p>
        </w:tc>
        <w:tc>
          <w:tcPr>
            <w:tcW w:w="1009" w:type="dxa"/>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 w:val="22"/>
              </w:rPr>
            </w:pPr>
          </w:p>
        </w:tc>
      </w:tr>
      <w:tr>
        <w:tblPrEx>
          <w:tblLayout w:type="fixed"/>
          <w:tblCellMar>
            <w:top w:w="0" w:type="dxa"/>
            <w:left w:w="108" w:type="dxa"/>
            <w:bottom w:w="0" w:type="dxa"/>
            <w:right w:w="108" w:type="dxa"/>
          </w:tblCellMar>
        </w:tblPrEx>
        <w:trPr>
          <w:trHeight w:val="20" w:hRule="atLeast"/>
          <w:jc w:val="center"/>
        </w:trPr>
        <w:tc>
          <w:tcPr>
            <w:tcW w:w="63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cs="Times New Roman"/>
                <w:szCs w:val="21"/>
              </w:rPr>
            </w:pPr>
          </w:p>
        </w:tc>
        <w:tc>
          <w:tcPr>
            <w:tcW w:w="483" w:type="dxa"/>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3</w:t>
            </w:r>
          </w:p>
        </w:tc>
        <w:tc>
          <w:tcPr>
            <w:tcW w:w="1178"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r>
              <w:rPr>
                <w:rFonts w:ascii="Times New Roman" w:hAnsi="Times New Roman" w:cs="Times New Roman"/>
                <w:sz w:val="20"/>
                <w:szCs w:val="20"/>
              </w:rPr>
              <w:t>投标人纳税（营业收入、财务）情况</w:t>
            </w:r>
          </w:p>
        </w:tc>
        <w:tc>
          <w:tcPr>
            <w:tcW w:w="709" w:type="dxa"/>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5</w:t>
            </w:r>
          </w:p>
        </w:tc>
        <w:tc>
          <w:tcPr>
            <w:tcW w:w="6244" w:type="dxa"/>
            <w:tcBorders>
              <w:top w:val="single" w:color="auto" w:sz="4" w:space="0"/>
              <w:left w:val="nil"/>
              <w:bottom w:val="single" w:color="auto" w:sz="4" w:space="0"/>
              <w:right w:val="single" w:color="auto" w:sz="4" w:space="0"/>
            </w:tcBorders>
          </w:tcPr>
          <w:p>
            <w:pPr>
              <w:snapToGrid w:val="0"/>
              <w:spacing w:line="320" w:lineRule="exact"/>
              <w:rPr>
                <w:rFonts w:ascii="Times New Roman" w:hAnsi="Times New Roman" w:cs="Times New Roman"/>
                <w:szCs w:val="21"/>
              </w:rPr>
            </w:pPr>
            <w:r>
              <w:rPr>
                <w:rFonts w:ascii="Times New Roman" w:hAnsi="Times New Roman" w:cs="Times New Roman"/>
                <w:sz w:val="20"/>
                <w:szCs w:val="20"/>
              </w:rPr>
              <w:t>投标人纳税（营业收入、财务）情况：须提供</w:t>
            </w:r>
            <w:r>
              <w:rPr>
                <w:rFonts w:hint="eastAsia" w:ascii="Times New Roman" w:hAnsi="Times New Roman" w:cs="Times New Roman"/>
                <w:sz w:val="20"/>
                <w:szCs w:val="20"/>
                <w:highlight w:val="none"/>
                <w:lang w:eastAsia="zh-CN"/>
              </w:rPr>
              <w:t>近三年</w:t>
            </w:r>
            <w:r>
              <w:rPr>
                <w:rFonts w:ascii="Times New Roman" w:hAnsi="Times New Roman" w:cs="Times New Roman"/>
                <w:sz w:val="20"/>
                <w:szCs w:val="20"/>
                <w:highlight w:val="none"/>
              </w:rPr>
              <w:t>财</w:t>
            </w:r>
            <w:r>
              <w:rPr>
                <w:rFonts w:ascii="Times New Roman" w:hAnsi="Times New Roman" w:cs="Times New Roman"/>
                <w:sz w:val="20"/>
                <w:szCs w:val="20"/>
              </w:rPr>
              <w:t>务审计报告。</w:t>
            </w:r>
          </w:p>
        </w:tc>
        <w:tc>
          <w:tcPr>
            <w:tcW w:w="3889" w:type="dxa"/>
            <w:gridSpan w:val="2"/>
            <w:tcBorders>
              <w:top w:val="single" w:color="auto" w:sz="4" w:space="0"/>
              <w:left w:val="nil"/>
              <w:bottom w:val="single" w:color="auto" w:sz="4" w:space="0"/>
              <w:right w:val="single" w:color="auto" w:sz="4" w:space="0"/>
            </w:tcBorders>
            <w:vAlign w:val="center"/>
          </w:tcPr>
          <w:p>
            <w:pPr>
              <w:snapToGrid w:val="0"/>
              <w:spacing w:line="320" w:lineRule="exact"/>
              <w:jc w:val="center"/>
              <w:rPr>
                <w:rFonts w:ascii="Times New Roman" w:hAnsi="Times New Roman" w:cs="Times New Roman"/>
                <w:szCs w:val="21"/>
                <w:u w:val="single"/>
              </w:rPr>
            </w:pPr>
          </w:p>
        </w:tc>
        <w:tc>
          <w:tcPr>
            <w:tcW w:w="1009" w:type="dxa"/>
            <w:tcBorders>
              <w:top w:val="single" w:color="auto" w:sz="4" w:space="0"/>
              <w:left w:val="nil"/>
              <w:bottom w:val="single" w:color="auto" w:sz="4" w:space="0"/>
              <w:right w:val="single" w:color="auto" w:sz="4" w:space="0"/>
            </w:tcBorders>
            <w:vAlign w:val="center"/>
          </w:tcPr>
          <w:p>
            <w:pPr>
              <w:snapToGrid w:val="0"/>
              <w:spacing w:line="320" w:lineRule="exact"/>
              <w:jc w:val="center"/>
              <w:rPr>
                <w:rFonts w:ascii="Times New Roman" w:hAnsi="Times New Roman" w:cs="Times New Roman"/>
                <w:szCs w:val="21"/>
                <w:u w:val="single"/>
              </w:rPr>
            </w:pPr>
          </w:p>
        </w:tc>
      </w:tr>
      <w:tr>
        <w:tblPrEx>
          <w:tblLayout w:type="fixed"/>
          <w:tblCellMar>
            <w:top w:w="0" w:type="dxa"/>
            <w:left w:w="108" w:type="dxa"/>
            <w:bottom w:w="0" w:type="dxa"/>
            <w:right w:w="108" w:type="dxa"/>
          </w:tblCellMar>
        </w:tblPrEx>
        <w:trPr>
          <w:trHeight w:val="20" w:hRule="atLeast"/>
          <w:jc w:val="center"/>
        </w:trPr>
        <w:tc>
          <w:tcPr>
            <w:tcW w:w="630" w:type="dxa"/>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imes New Roman" w:hAnsi="Times New Roman" w:cs="Times New Roman" w:eastAsiaTheme="minorEastAsia"/>
                <w:szCs w:val="21"/>
                <w:lang w:eastAsia="zh-CN"/>
              </w:rPr>
            </w:pPr>
            <w:r>
              <w:rPr>
                <w:rFonts w:hint="eastAsia" w:ascii="Times New Roman" w:hAnsi="Times New Roman" w:cs="Times New Roman"/>
                <w:szCs w:val="21"/>
                <w:lang w:eastAsia="zh-CN"/>
              </w:rPr>
              <w:t>四</w:t>
            </w:r>
          </w:p>
        </w:tc>
        <w:tc>
          <w:tcPr>
            <w:tcW w:w="2370"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服务部分（权重10）</w:t>
            </w:r>
          </w:p>
        </w:tc>
        <w:tc>
          <w:tcPr>
            <w:tcW w:w="6244" w:type="dxa"/>
            <w:vMerge w:val="restart"/>
            <w:tcBorders>
              <w:top w:val="single" w:color="auto" w:sz="4" w:space="0"/>
              <w:left w:val="nil"/>
              <w:right w:val="single" w:color="auto" w:sz="4" w:space="0"/>
            </w:tcBorders>
            <w:vAlign w:val="center"/>
          </w:tcPr>
          <w:p>
            <w:pPr>
              <w:spacing w:line="320" w:lineRule="exact"/>
              <w:jc w:val="center"/>
              <w:rPr>
                <w:rFonts w:ascii="Times New Roman" w:hAnsi="Times New Roman" w:cs="Times New Roman"/>
                <w:sz w:val="20"/>
                <w:szCs w:val="20"/>
              </w:rPr>
            </w:pPr>
            <w:r>
              <w:rPr>
                <w:rFonts w:ascii="Times New Roman" w:hAnsi="Times New Roman" w:cs="Times New Roman"/>
                <w:szCs w:val="21"/>
              </w:rPr>
              <w:t>评分准则</w:t>
            </w:r>
          </w:p>
        </w:tc>
        <w:tc>
          <w:tcPr>
            <w:tcW w:w="3889" w:type="dxa"/>
            <w:gridSpan w:val="2"/>
            <w:vMerge w:val="restart"/>
            <w:tcBorders>
              <w:top w:val="single" w:color="auto" w:sz="4" w:space="0"/>
              <w:left w:val="nil"/>
              <w:right w:val="single" w:color="auto" w:sz="4" w:space="0"/>
            </w:tcBorders>
            <w:vAlign w:val="center"/>
          </w:tcPr>
          <w:p>
            <w:pPr>
              <w:spacing w:line="320" w:lineRule="exact"/>
              <w:jc w:val="center"/>
              <w:rPr>
                <w:rFonts w:ascii="Times New Roman" w:hAnsi="Times New Roman" w:cs="Times New Roman"/>
                <w:szCs w:val="21"/>
                <w:u w:val="single"/>
              </w:rPr>
            </w:pPr>
            <w:r>
              <w:rPr>
                <w:rFonts w:ascii="Times New Roman" w:hAnsi="Times New Roman" w:cs="Times New Roman"/>
                <w:szCs w:val="21"/>
              </w:rPr>
              <w:t>评分记录</w:t>
            </w:r>
          </w:p>
        </w:tc>
        <w:tc>
          <w:tcPr>
            <w:tcW w:w="1009" w:type="dxa"/>
            <w:vMerge w:val="restart"/>
            <w:tcBorders>
              <w:top w:val="single" w:color="auto" w:sz="4" w:space="0"/>
              <w:left w:val="nil"/>
              <w:right w:val="single" w:color="auto" w:sz="4" w:space="0"/>
            </w:tcBorders>
            <w:vAlign w:val="center"/>
          </w:tcPr>
          <w:p>
            <w:pPr>
              <w:spacing w:line="320" w:lineRule="exact"/>
              <w:jc w:val="center"/>
              <w:rPr>
                <w:rFonts w:ascii="Times New Roman" w:hAnsi="Times New Roman" w:cs="Times New Roman"/>
                <w:szCs w:val="21"/>
                <w:u w:val="single"/>
              </w:rPr>
            </w:pPr>
            <w:r>
              <w:rPr>
                <w:rFonts w:ascii="Times New Roman" w:hAnsi="Times New Roman" w:cs="Times New Roman"/>
                <w:szCs w:val="21"/>
              </w:rPr>
              <w:t>评分</w:t>
            </w:r>
          </w:p>
        </w:tc>
      </w:tr>
      <w:tr>
        <w:tblPrEx>
          <w:tblLayout w:type="fixed"/>
          <w:tblCellMar>
            <w:top w:w="0" w:type="dxa"/>
            <w:left w:w="108" w:type="dxa"/>
            <w:bottom w:w="0" w:type="dxa"/>
            <w:right w:w="108" w:type="dxa"/>
          </w:tblCellMar>
        </w:tblPrEx>
        <w:trPr>
          <w:trHeight w:val="20" w:hRule="atLeast"/>
          <w:jc w:val="center"/>
        </w:trPr>
        <w:tc>
          <w:tcPr>
            <w:tcW w:w="630" w:type="dxa"/>
            <w:vMerge w:val="restart"/>
            <w:tcBorders>
              <w:top w:val="nil"/>
              <w:left w:val="single" w:color="auto" w:sz="4" w:space="0"/>
              <w:right w:val="single" w:color="auto" w:sz="4" w:space="0"/>
            </w:tcBorders>
            <w:vAlign w:val="center"/>
          </w:tcPr>
          <w:p>
            <w:pPr>
              <w:widowControl/>
              <w:spacing w:line="320" w:lineRule="exact"/>
              <w:jc w:val="left"/>
              <w:rPr>
                <w:rFonts w:ascii="Times New Roman" w:hAnsi="Times New Roman" w:cs="Times New Roman"/>
                <w:szCs w:val="21"/>
              </w:rPr>
            </w:pPr>
          </w:p>
        </w:tc>
        <w:tc>
          <w:tcPr>
            <w:tcW w:w="483" w:type="dxa"/>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序号</w:t>
            </w:r>
          </w:p>
        </w:tc>
        <w:tc>
          <w:tcPr>
            <w:tcW w:w="1178"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评分因素</w:t>
            </w:r>
          </w:p>
        </w:tc>
        <w:tc>
          <w:tcPr>
            <w:tcW w:w="709" w:type="dxa"/>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权重</w:t>
            </w:r>
          </w:p>
        </w:tc>
        <w:tc>
          <w:tcPr>
            <w:tcW w:w="6244" w:type="dxa"/>
            <w:vMerge w:val="continue"/>
            <w:tcBorders>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p>
        </w:tc>
        <w:tc>
          <w:tcPr>
            <w:tcW w:w="3889" w:type="dxa"/>
            <w:gridSpan w:val="2"/>
            <w:vMerge w:val="continue"/>
            <w:tcBorders>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p>
        </w:tc>
        <w:tc>
          <w:tcPr>
            <w:tcW w:w="1009" w:type="dxa"/>
            <w:vMerge w:val="continue"/>
            <w:tcBorders>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p>
        </w:tc>
      </w:tr>
      <w:tr>
        <w:tblPrEx>
          <w:tblLayout w:type="fixed"/>
          <w:tblCellMar>
            <w:top w:w="0" w:type="dxa"/>
            <w:left w:w="108" w:type="dxa"/>
            <w:bottom w:w="0" w:type="dxa"/>
            <w:right w:w="108" w:type="dxa"/>
          </w:tblCellMar>
        </w:tblPrEx>
        <w:trPr>
          <w:trHeight w:val="20" w:hRule="atLeast"/>
          <w:jc w:val="center"/>
        </w:trPr>
        <w:tc>
          <w:tcPr>
            <w:tcW w:w="630" w:type="dxa"/>
            <w:vMerge w:val="continue"/>
            <w:tcBorders>
              <w:left w:val="single" w:color="auto" w:sz="4" w:space="0"/>
              <w:right w:val="single" w:color="auto" w:sz="4" w:space="0"/>
            </w:tcBorders>
            <w:vAlign w:val="center"/>
          </w:tcPr>
          <w:p>
            <w:pPr>
              <w:widowControl/>
              <w:spacing w:line="320" w:lineRule="exact"/>
              <w:jc w:val="left"/>
              <w:rPr>
                <w:rFonts w:ascii="Times New Roman" w:hAnsi="Times New Roman" w:cs="Times New Roman"/>
                <w:szCs w:val="21"/>
              </w:rPr>
            </w:pPr>
          </w:p>
        </w:tc>
        <w:tc>
          <w:tcPr>
            <w:tcW w:w="483" w:type="dxa"/>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1</w:t>
            </w:r>
          </w:p>
        </w:tc>
        <w:tc>
          <w:tcPr>
            <w:tcW w:w="1178"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r>
              <w:rPr>
                <w:rFonts w:ascii="Times New Roman" w:hAnsi="Times New Roman" w:cs="Times New Roman"/>
                <w:sz w:val="20"/>
                <w:szCs w:val="20"/>
              </w:rPr>
              <w:t>项目完成（服务期满）后的服务承诺</w:t>
            </w:r>
          </w:p>
        </w:tc>
        <w:tc>
          <w:tcPr>
            <w:tcW w:w="709" w:type="dxa"/>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5</w:t>
            </w:r>
          </w:p>
        </w:tc>
        <w:tc>
          <w:tcPr>
            <w:tcW w:w="6244" w:type="dxa"/>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r>
              <w:rPr>
                <w:rFonts w:ascii="Times New Roman" w:hAnsi="Times New Roman" w:cs="Times New Roman"/>
                <w:sz w:val="20"/>
                <w:szCs w:val="20"/>
              </w:rPr>
              <w:t>按照投标文件响应情况进行横向比较，分档评分：评价为优得</w:t>
            </w:r>
            <w:r>
              <w:rPr>
                <w:rFonts w:hint="eastAsia" w:ascii="Times New Roman" w:hAnsi="Times New Roman" w:cs="Times New Roman"/>
                <w:sz w:val="20"/>
                <w:szCs w:val="20"/>
                <w:lang w:eastAsia="zh-CN"/>
              </w:rPr>
              <w:t>权重（分数）的</w:t>
            </w:r>
            <w:r>
              <w:rPr>
                <w:rFonts w:ascii="Times New Roman" w:hAnsi="Times New Roman" w:cs="Times New Roman"/>
                <w:sz w:val="20"/>
                <w:szCs w:val="20"/>
              </w:rPr>
              <w:t>100%；评价为良得</w:t>
            </w:r>
            <w:r>
              <w:rPr>
                <w:rFonts w:hint="eastAsia" w:ascii="Times New Roman" w:hAnsi="Times New Roman" w:cs="Times New Roman"/>
                <w:sz w:val="20"/>
                <w:szCs w:val="20"/>
                <w:lang w:eastAsia="zh-CN"/>
              </w:rPr>
              <w:t>权重（分数）的</w:t>
            </w:r>
            <w:r>
              <w:rPr>
                <w:rFonts w:ascii="Times New Roman" w:hAnsi="Times New Roman" w:cs="Times New Roman"/>
                <w:sz w:val="20"/>
                <w:szCs w:val="20"/>
              </w:rPr>
              <w:t>50%；评价为中得</w:t>
            </w:r>
            <w:r>
              <w:rPr>
                <w:rFonts w:hint="eastAsia" w:ascii="Times New Roman" w:hAnsi="Times New Roman" w:cs="Times New Roman"/>
                <w:sz w:val="20"/>
                <w:szCs w:val="20"/>
                <w:lang w:eastAsia="zh-CN"/>
              </w:rPr>
              <w:t>权重（分数）的</w:t>
            </w:r>
            <w:r>
              <w:rPr>
                <w:rFonts w:ascii="Times New Roman" w:hAnsi="Times New Roman" w:cs="Times New Roman"/>
                <w:sz w:val="20"/>
                <w:szCs w:val="20"/>
              </w:rPr>
              <w:t>20%；评价为差得0分。。</w:t>
            </w:r>
          </w:p>
        </w:tc>
        <w:tc>
          <w:tcPr>
            <w:tcW w:w="388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p>
        </w:tc>
        <w:tc>
          <w:tcPr>
            <w:tcW w:w="1009" w:type="dxa"/>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p>
        </w:tc>
      </w:tr>
      <w:tr>
        <w:tblPrEx>
          <w:tblLayout w:type="fixed"/>
          <w:tblCellMar>
            <w:top w:w="0" w:type="dxa"/>
            <w:left w:w="108" w:type="dxa"/>
            <w:bottom w:w="0" w:type="dxa"/>
            <w:right w:w="108" w:type="dxa"/>
          </w:tblCellMar>
        </w:tblPrEx>
        <w:trPr>
          <w:trHeight w:val="20" w:hRule="atLeast"/>
          <w:jc w:val="center"/>
        </w:trPr>
        <w:tc>
          <w:tcPr>
            <w:tcW w:w="630"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cs="Times New Roman"/>
                <w:szCs w:val="21"/>
              </w:rPr>
            </w:pPr>
          </w:p>
        </w:tc>
        <w:tc>
          <w:tcPr>
            <w:tcW w:w="483" w:type="dxa"/>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2</w:t>
            </w:r>
          </w:p>
        </w:tc>
        <w:tc>
          <w:tcPr>
            <w:tcW w:w="1178"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r>
              <w:rPr>
                <w:rFonts w:ascii="Times New Roman" w:hAnsi="Times New Roman" w:cs="Times New Roman"/>
                <w:sz w:val="20"/>
                <w:szCs w:val="20"/>
              </w:rPr>
              <w:t>信用情况</w:t>
            </w:r>
          </w:p>
        </w:tc>
        <w:tc>
          <w:tcPr>
            <w:tcW w:w="709" w:type="dxa"/>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5</w:t>
            </w:r>
          </w:p>
        </w:tc>
        <w:tc>
          <w:tcPr>
            <w:tcW w:w="6244" w:type="dxa"/>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r>
              <w:rPr>
                <w:rFonts w:ascii="Times New Roman" w:hAnsi="Times New Roman" w:cs="Times New Roman"/>
                <w:sz w:val="20"/>
                <w:szCs w:val="20"/>
              </w:rPr>
              <w:t>根据深圳信用网(www.szcredit.com.cn)和政府采购行政处罚记录查询情况，投标人没有“警示信息”的得</w:t>
            </w:r>
            <w:r>
              <w:rPr>
                <w:rFonts w:hint="eastAsia" w:ascii="Times New Roman" w:hAnsi="Times New Roman" w:cs="Times New Roman"/>
                <w:sz w:val="20"/>
                <w:szCs w:val="20"/>
                <w:lang w:eastAsia="zh-CN"/>
              </w:rPr>
              <w:t>权重（分数）的</w:t>
            </w:r>
            <w:r>
              <w:rPr>
                <w:rFonts w:ascii="Times New Roman" w:hAnsi="Times New Roman" w:cs="Times New Roman"/>
                <w:sz w:val="20"/>
                <w:szCs w:val="20"/>
              </w:rPr>
              <w:t>100%，有“警示信息”的得0分。</w:t>
            </w:r>
          </w:p>
        </w:tc>
        <w:tc>
          <w:tcPr>
            <w:tcW w:w="388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p>
        </w:tc>
        <w:tc>
          <w:tcPr>
            <w:tcW w:w="1009" w:type="dxa"/>
            <w:tcBorders>
              <w:top w:val="single" w:color="auto" w:sz="4" w:space="0"/>
              <w:left w:val="nil"/>
              <w:bottom w:val="single" w:color="auto" w:sz="4" w:space="0"/>
              <w:right w:val="single" w:color="auto" w:sz="4" w:space="0"/>
            </w:tcBorders>
            <w:vAlign w:val="center"/>
          </w:tcPr>
          <w:p>
            <w:pPr>
              <w:spacing w:line="320" w:lineRule="exact"/>
              <w:jc w:val="center"/>
              <w:rPr>
                <w:rFonts w:ascii="Times New Roman" w:hAnsi="Times New Roman" w:cs="Times New Roman"/>
                <w:szCs w:val="21"/>
              </w:rPr>
            </w:pPr>
          </w:p>
        </w:tc>
      </w:tr>
      <w:tr>
        <w:tblPrEx>
          <w:tblLayout w:type="fixed"/>
          <w:tblCellMar>
            <w:top w:w="0" w:type="dxa"/>
            <w:left w:w="108" w:type="dxa"/>
            <w:bottom w:w="0" w:type="dxa"/>
            <w:right w:w="108" w:type="dxa"/>
          </w:tblCellMar>
        </w:tblPrEx>
        <w:trPr>
          <w:trHeight w:val="579" w:hRule="atLeast"/>
          <w:jc w:val="center"/>
        </w:trPr>
        <w:tc>
          <w:tcPr>
            <w:tcW w:w="112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szCs w:val="21"/>
              </w:rPr>
            </w:pPr>
            <w:r>
              <w:rPr>
                <w:rFonts w:ascii="Times New Roman" w:hAnsi="Times New Roman" w:cs="Times New Roman"/>
                <w:szCs w:val="21"/>
              </w:rPr>
              <w:t>投标人</w:t>
            </w:r>
          </w:p>
        </w:tc>
        <w:tc>
          <w:tcPr>
            <w:tcW w:w="812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szCs w:val="21"/>
                <w:u w:val="single"/>
              </w:rPr>
            </w:pPr>
          </w:p>
        </w:tc>
        <w:tc>
          <w:tcPr>
            <w:tcW w:w="388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szCs w:val="21"/>
              </w:rPr>
            </w:pPr>
            <w:r>
              <w:rPr>
                <w:rFonts w:ascii="Times New Roman" w:hAnsi="Times New Roman" w:cs="Times New Roman"/>
                <w:szCs w:val="21"/>
              </w:rPr>
              <w:t>总得分</w:t>
            </w:r>
          </w:p>
        </w:tc>
        <w:tc>
          <w:tcPr>
            <w:tcW w:w="1009" w:type="dxa"/>
            <w:tcBorders>
              <w:top w:val="single" w:color="auto" w:sz="4" w:space="0"/>
              <w:left w:val="nil"/>
              <w:bottom w:val="single" w:color="auto" w:sz="4" w:space="0"/>
              <w:right w:val="single" w:color="auto" w:sz="4" w:space="0"/>
            </w:tcBorders>
            <w:vAlign w:val="center"/>
          </w:tcPr>
          <w:p>
            <w:pPr>
              <w:snapToGrid w:val="0"/>
              <w:spacing w:line="320" w:lineRule="exact"/>
              <w:jc w:val="center"/>
              <w:rPr>
                <w:rFonts w:ascii="Times New Roman" w:hAnsi="Times New Roman" w:cs="Times New Roman"/>
                <w:szCs w:val="21"/>
                <w:u w:val="single"/>
              </w:rPr>
            </w:pPr>
          </w:p>
        </w:tc>
      </w:tr>
      <w:tr>
        <w:tblPrEx>
          <w:tblLayout w:type="fixed"/>
          <w:tblCellMar>
            <w:top w:w="0" w:type="dxa"/>
            <w:left w:w="108" w:type="dxa"/>
            <w:bottom w:w="0" w:type="dxa"/>
            <w:right w:w="108" w:type="dxa"/>
          </w:tblCellMar>
        </w:tblPrEx>
        <w:trPr>
          <w:trHeight w:val="20" w:hRule="atLeast"/>
          <w:jc w:val="center"/>
        </w:trPr>
        <w:tc>
          <w:tcPr>
            <w:tcW w:w="112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szCs w:val="21"/>
              </w:rPr>
            </w:pPr>
            <w:r>
              <w:rPr>
                <w:rFonts w:ascii="Times New Roman" w:hAnsi="Times New Roman" w:cs="Times New Roman"/>
                <w:szCs w:val="21"/>
              </w:rPr>
              <w:t>谈判组</w:t>
            </w:r>
          </w:p>
          <w:p>
            <w:pPr>
              <w:snapToGrid w:val="0"/>
              <w:spacing w:line="320" w:lineRule="exact"/>
              <w:jc w:val="center"/>
              <w:rPr>
                <w:rFonts w:ascii="Times New Roman" w:hAnsi="Times New Roman" w:cs="Times New Roman"/>
                <w:szCs w:val="21"/>
              </w:rPr>
            </w:pPr>
            <w:r>
              <w:rPr>
                <w:rFonts w:ascii="Times New Roman" w:hAnsi="Times New Roman" w:cs="Times New Roman"/>
                <w:szCs w:val="21"/>
              </w:rPr>
              <w:t>签名</w:t>
            </w:r>
          </w:p>
        </w:tc>
        <w:tc>
          <w:tcPr>
            <w:tcW w:w="812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szCs w:val="21"/>
              </w:rPr>
            </w:pPr>
          </w:p>
        </w:tc>
        <w:tc>
          <w:tcPr>
            <w:tcW w:w="1054"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szCs w:val="21"/>
              </w:rPr>
            </w:pPr>
            <w:r>
              <w:rPr>
                <w:rFonts w:ascii="Times New Roman" w:hAnsi="Times New Roman" w:cs="Times New Roman"/>
                <w:szCs w:val="21"/>
              </w:rPr>
              <w:t>日期</w:t>
            </w:r>
          </w:p>
        </w:tc>
        <w:tc>
          <w:tcPr>
            <w:tcW w:w="384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szCs w:val="21"/>
              </w:rPr>
            </w:pPr>
          </w:p>
        </w:tc>
      </w:tr>
    </w:tbl>
    <w:p>
      <w:pPr>
        <w:spacing w:line="500" w:lineRule="exact"/>
        <w:ind w:firstLine="560" w:firstLineChars="200"/>
        <w:rPr>
          <w:rFonts w:ascii="Times New Roman" w:hAnsi="Times New Roman" w:cs="Times New Roman"/>
          <w:sz w:val="28"/>
          <w:szCs w:val="28"/>
        </w:rPr>
      </w:pPr>
      <w:r>
        <w:rPr>
          <w:rFonts w:ascii="Times New Roman" w:hAnsi="Times New Roman" w:cs="Times New Roman"/>
          <w:sz w:val="28"/>
          <w:szCs w:val="28"/>
        </w:rPr>
        <w:t>注：以所有通过符合性检查和不可偏离项检查的投标报价计算。</w:t>
      </w:r>
    </w:p>
    <w:p>
      <w:pPr>
        <w:spacing w:line="500" w:lineRule="exact"/>
        <w:ind w:firstLine="560" w:firstLineChars="200"/>
        <w:rPr>
          <w:rFonts w:ascii="Times New Roman" w:hAnsi="Times New Roman" w:cs="Times New Roman"/>
          <w:sz w:val="28"/>
          <w:szCs w:val="28"/>
        </w:rPr>
      </w:pPr>
      <w:r>
        <w:rPr>
          <w:rFonts w:ascii="Times New Roman" w:hAnsi="Times New Roman" w:cs="Times New Roman"/>
          <w:sz w:val="28"/>
          <w:szCs w:val="28"/>
        </w:rPr>
        <w:t>1. 投标价格高于评标基准价的，价格分为零；</w:t>
      </w:r>
    </w:p>
    <w:p>
      <w:pPr>
        <w:spacing w:line="500" w:lineRule="exact"/>
        <w:ind w:firstLine="560" w:firstLineChars="200"/>
        <w:rPr>
          <w:rFonts w:ascii="Times New Roman" w:hAnsi="Times New Roman" w:cs="Times New Roman"/>
          <w:sz w:val="28"/>
          <w:szCs w:val="28"/>
        </w:rPr>
      </w:pPr>
      <w:r>
        <w:rPr>
          <w:rFonts w:ascii="Times New Roman" w:hAnsi="Times New Roman" w:cs="Times New Roman"/>
          <w:sz w:val="28"/>
          <w:szCs w:val="28"/>
        </w:rPr>
        <w:t>2. 防范报价过低：投标人不得以低于成本的报价竞标。投标人报价低于本项目评标基准价的80%时（如评标基准价为10万，则报价低于8万时)，项目谈判组有权要求其对成本构成进行介绍，并要求投标人用书面的形式进行低价说明（在保证质量的前提下，能够大幅节省经费的手段或原因）；如投标人没有合理的理由或不按要求提供低价说明，可视为不被接受的有风险的报价，项目谈判组则另行选择投标人。</w:t>
      </w:r>
    </w:p>
    <w:p>
      <w:pPr>
        <w:rPr>
          <w:rFonts w:ascii="Times New Roman" w:hAnsi="Times New Roman" w:cs="Times New Roman"/>
        </w:rPr>
      </w:pPr>
    </w:p>
    <w:sectPr>
      <w:pgSz w:w="16838" w:h="11906" w:orient="landscape"/>
      <w:pgMar w:top="993"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91D7D"/>
    <w:rsid w:val="000479CE"/>
    <w:rsid w:val="00055BD1"/>
    <w:rsid w:val="000A662F"/>
    <w:rsid w:val="00101357"/>
    <w:rsid w:val="00106F04"/>
    <w:rsid w:val="001721ED"/>
    <w:rsid w:val="001745BA"/>
    <w:rsid w:val="00186699"/>
    <w:rsid w:val="00187568"/>
    <w:rsid w:val="0019167F"/>
    <w:rsid w:val="00191D7D"/>
    <w:rsid w:val="001A77DC"/>
    <w:rsid w:val="001B5DDD"/>
    <w:rsid w:val="001C44D3"/>
    <w:rsid w:val="00200EC6"/>
    <w:rsid w:val="00235F2A"/>
    <w:rsid w:val="002501DE"/>
    <w:rsid w:val="0027589B"/>
    <w:rsid w:val="002978F3"/>
    <w:rsid w:val="002A3BFA"/>
    <w:rsid w:val="002A487C"/>
    <w:rsid w:val="002B377E"/>
    <w:rsid w:val="002B758F"/>
    <w:rsid w:val="002C2656"/>
    <w:rsid w:val="002F1F22"/>
    <w:rsid w:val="003226A3"/>
    <w:rsid w:val="003631E7"/>
    <w:rsid w:val="003B345F"/>
    <w:rsid w:val="003F1EA0"/>
    <w:rsid w:val="003F4958"/>
    <w:rsid w:val="00434FA2"/>
    <w:rsid w:val="00442F60"/>
    <w:rsid w:val="00482A41"/>
    <w:rsid w:val="00496C4E"/>
    <w:rsid w:val="004B32FF"/>
    <w:rsid w:val="004B6B12"/>
    <w:rsid w:val="00513E2B"/>
    <w:rsid w:val="00521F18"/>
    <w:rsid w:val="00531F44"/>
    <w:rsid w:val="00550E5D"/>
    <w:rsid w:val="00583229"/>
    <w:rsid w:val="00584D84"/>
    <w:rsid w:val="00596F92"/>
    <w:rsid w:val="005A7577"/>
    <w:rsid w:val="005E0232"/>
    <w:rsid w:val="00610C40"/>
    <w:rsid w:val="00615AE5"/>
    <w:rsid w:val="0065769D"/>
    <w:rsid w:val="00691241"/>
    <w:rsid w:val="006A4259"/>
    <w:rsid w:val="006E1B39"/>
    <w:rsid w:val="00706979"/>
    <w:rsid w:val="007172DA"/>
    <w:rsid w:val="00773751"/>
    <w:rsid w:val="007B6A93"/>
    <w:rsid w:val="007E0705"/>
    <w:rsid w:val="007F19C1"/>
    <w:rsid w:val="0083552E"/>
    <w:rsid w:val="00842A62"/>
    <w:rsid w:val="00867312"/>
    <w:rsid w:val="008947CB"/>
    <w:rsid w:val="00895182"/>
    <w:rsid w:val="009011F6"/>
    <w:rsid w:val="0096191D"/>
    <w:rsid w:val="009655BA"/>
    <w:rsid w:val="009730BE"/>
    <w:rsid w:val="009F4DB9"/>
    <w:rsid w:val="00A13EA5"/>
    <w:rsid w:val="00A4302A"/>
    <w:rsid w:val="00A70234"/>
    <w:rsid w:val="00A718A9"/>
    <w:rsid w:val="00A72DD3"/>
    <w:rsid w:val="00A866F5"/>
    <w:rsid w:val="00AA0B04"/>
    <w:rsid w:val="00AC302C"/>
    <w:rsid w:val="00AE2142"/>
    <w:rsid w:val="00AE7F95"/>
    <w:rsid w:val="00AF2F91"/>
    <w:rsid w:val="00B07BF4"/>
    <w:rsid w:val="00B362D8"/>
    <w:rsid w:val="00B40245"/>
    <w:rsid w:val="00B46FBB"/>
    <w:rsid w:val="00B506E8"/>
    <w:rsid w:val="00B50FBB"/>
    <w:rsid w:val="00B607F1"/>
    <w:rsid w:val="00B62E9A"/>
    <w:rsid w:val="00B71D3F"/>
    <w:rsid w:val="00BA1714"/>
    <w:rsid w:val="00BA6ACF"/>
    <w:rsid w:val="00BF61D6"/>
    <w:rsid w:val="00C177B3"/>
    <w:rsid w:val="00C227D1"/>
    <w:rsid w:val="00C23A7E"/>
    <w:rsid w:val="00C248A1"/>
    <w:rsid w:val="00C9114A"/>
    <w:rsid w:val="00C95FBA"/>
    <w:rsid w:val="00C9719A"/>
    <w:rsid w:val="00CA6219"/>
    <w:rsid w:val="00CE5616"/>
    <w:rsid w:val="00D311BE"/>
    <w:rsid w:val="00D36EAE"/>
    <w:rsid w:val="00D9611F"/>
    <w:rsid w:val="00DB487A"/>
    <w:rsid w:val="00DD01FE"/>
    <w:rsid w:val="00DE1D25"/>
    <w:rsid w:val="00E11114"/>
    <w:rsid w:val="00E51096"/>
    <w:rsid w:val="00E5352A"/>
    <w:rsid w:val="00E96DA2"/>
    <w:rsid w:val="00EB7D00"/>
    <w:rsid w:val="00EC007A"/>
    <w:rsid w:val="00EE0E7C"/>
    <w:rsid w:val="00EE3DEB"/>
    <w:rsid w:val="00F51336"/>
    <w:rsid w:val="00F6539E"/>
    <w:rsid w:val="00F81247"/>
    <w:rsid w:val="00F91E18"/>
    <w:rsid w:val="00F92154"/>
    <w:rsid w:val="00FA3E79"/>
    <w:rsid w:val="0CBF5880"/>
    <w:rsid w:val="3B082902"/>
    <w:rsid w:val="3DB944E5"/>
    <w:rsid w:val="4C3C7BD7"/>
    <w:rsid w:val="510376B7"/>
    <w:rsid w:val="7A947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 w:type="paragraph" w:customStyle="1" w:styleId="8">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9">
    <w:name w:val="Table Paragraph"/>
    <w:basedOn w:val="1"/>
    <w:qFormat/>
    <w:uiPriority w:val="1"/>
    <w:pPr>
      <w:autoSpaceDE w:val="0"/>
      <w:autoSpaceDN w:val="0"/>
      <w:jc w:val="left"/>
    </w:pPr>
    <w:rPr>
      <w:rFonts w:ascii="宋体" w:hAnsi="宋体" w:eastAsia="宋体" w:cs="宋体"/>
      <w:kern w:val="0"/>
      <w:sz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Pages>
  <Words>258</Words>
  <Characters>1476</Characters>
  <Lines>12</Lines>
  <Paragraphs>3</Paragraphs>
  <TotalTime>2</TotalTime>
  <ScaleCrop>false</ScaleCrop>
  <LinksUpToDate>false</LinksUpToDate>
  <CharactersWithSpaces>1731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2017-12-11T08:34:00Z</dcterms:created>
  <dc:creator>刘健</dc:creator>
  <cp:lastModifiedBy>admin</cp:lastModifiedBy>
  <dcterms:modified xsi:type="dcterms:W3CDTF">2018-07-26T02:33:02Z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